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FC0CB" w14:textId="4F3BFCEB" w:rsidR="00F20083" w:rsidRDefault="00270141" w:rsidP="00001F7B">
      <w:pPr>
        <w:rPr>
          <w:rFonts w:cstheme="minorHAnsi"/>
          <w:sz w:val="28"/>
          <w:szCs w:val="28"/>
        </w:rPr>
      </w:pPr>
      <w:r w:rsidRPr="00001F7B">
        <w:rPr>
          <w:rFonts w:cstheme="minorHAnsi"/>
          <w:b/>
          <w:bCs/>
          <w:sz w:val="28"/>
          <w:szCs w:val="28"/>
        </w:rPr>
        <w:t>R</w:t>
      </w:r>
      <w:r w:rsidR="00DB1D52" w:rsidRPr="00001F7B">
        <w:rPr>
          <w:rFonts w:cstheme="minorHAnsi"/>
          <w:b/>
          <w:bCs/>
          <w:sz w:val="28"/>
          <w:szCs w:val="28"/>
        </w:rPr>
        <w:t xml:space="preserve">eview of </w:t>
      </w:r>
      <w:r w:rsidR="00B97362" w:rsidRPr="00001F7B">
        <w:rPr>
          <w:rFonts w:cstheme="minorHAnsi"/>
          <w:b/>
          <w:bCs/>
          <w:sz w:val="28"/>
          <w:szCs w:val="28"/>
        </w:rPr>
        <w:t>Issues regarding the interpretation of CMR</w:t>
      </w:r>
      <w:r w:rsidR="00472642" w:rsidRPr="00001F7B">
        <w:rPr>
          <w:rFonts w:cstheme="minorHAnsi"/>
          <w:b/>
          <w:bCs/>
          <w:sz w:val="28"/>
          <w:szCs w:val="28"/>
        </w:rPr>
        <w:t xml:space="preserve"> for CMR</w:t>
      </w:r>
      <w:r w:rsidR="00402262">
        <w:rPr>
          <w:rFonts w:cstheme="minorHAnsi"/>
          <w:b/>
          <w:bCs/>
          <w:sz w:val="28"/>
          <w:szCs w:val="28"/>
        </w:rPr>
        <w:t>-AC</w:t>
      </w:r>
      <w:r w:rsidR="009925D4" w:rsidRPr="00001F7B">
        <w:rPr>
          <w:rFonts w:cstheme="minorHAnsi"/>
          <w:b/>
          <w:bCs/>
          <w:sz w:val="28"/>
          <w:szCs w:val="28"/>
        </w:rPr>
        <w:br/>
      </w:r>
      <w:r w:rsidR="00F20083">
        <w:rPr>
          <w:rFonts w:cstheme="minorHAnsi"/>
          <w:b/>
          <w:bCs/>
          <w:sz w:val="28"/>
          <w:szCs w:val="28"/>
        </w:rPr>
        <w:br/>
      </w:r>
      <w:r w:rsidR="00F20083">
        <w:rPr>
          <w:rFonts w:cstheme="minorHAnsi"/>
          <w:sz w:val="28"/>
          <w:szCs w:val="28"/>
        </w:rPr>
        <w:t>David A Glass</w:t>
      </w:r>
    </w:p>
    <w:p w14:paraId="69238409" w14:textId="77777777" w:rsidR="00F20083" w:rsidRPr="00F20083" w:rsidRDefault="00F20083" w:rsidP="00001F7B">
      <w:pPr>
        <w:rPr>
          <w:rFonts w:cstheme="minorHAnsi"/>
          <w:sz w:val="28"/>
          <w:szCs w:val="28"/>
        </w:rPr>
      </w:pPr>
    </w:p>
    <w:p w14:paraId="310CE3EC" w14:textId="6F9994B2" w:rsidR="00427EB1" w:rsidRPr="00001F7B" w:rsidRDefault="00427EB1" w:rsidP="00001F7B">
      <w:pPr>
        <w:rPr>
          <w:rFonts w:cstheme="minorHAnsi"/>
        </w:rPr>
      </w:pPr>
      <w:r w:rsidRPr="00001F7B">
        <w:rPr>
          <w:rFonts w:cstheme="minorHAnsi"/>
        </w:rPr>
        <w:t xml:space="preserve">I will start with a paper which sets the context to the debate about methodologies for interpretation of uniform law conventions and their possible application to CMR. At the end of the paper some </w:t>
      </w:r>
      <w:r w:rsidR="00270141" w:rsidRPr="00001F7B">
        <w:rPr>
          <w:rFonts w:cstheme="minorHAnsi"/>
        </w:rPr>
        <w:t xml:space="preserve">suggested </w:t>
      </w:r>
      <w:r w:rsidRPr="00001F7B">
        <w:rPr>
          <w:rFonts w:cstheme="minorHAnsi"/>
        </w:rPr>
        <w:t>conclusions and comments about resolving issues identified in the paper</w:t>
      </w:r>
      <w:r w:rsidR="000B7639" w:rsidRPr="00001F7B">
        <w:rPr>
          <w:rFonts w:cstheme="minorHAnsi"/>
        </w:rPr>
        <w:t xml:space="preserve"> </w:t>
      </w:r>
      <w:r w:rsidRPr="00001F7B">
        <w:rPr>
          <w:rFonts w:cstheme="minorHAnsi"/>
        </w:rPr>
        <w:t xml:space="preserve">will be made.  In </w:t>
      </w:r>
      <w:r w:rsidR="0067705A" w:rsidRPr="00001F7B">
        <w:rPr>
          <w:rFonts w:cstheme="minorHAnsi"/>
        </w:rPr>
        <w:t>addition,</w:t>
      </w:r>
      <w:r w:rsidRPr="00001F7B">
        <w:rPr>
          <w:rFonts w:cstheme="minorHAnsi"/>
        </w:rPr>
        <w:t xml:space="preserve"> I will make a start on an A</w:t>
      </w:r>
      <w:r w:rsidR="0067705A" w:rsidRPr="00001F7B">
        <w:rPr>
          <w:rFonts w:cstheme="minorHAnsi"/>
        </w:rPr>
        <w:t>nnex</w:t>
      </w:r>
      <w:r w:rsidRPr="00001F7B">
        <w:rPr>
          <w:rFonts w:cstheme="minorHAnsi"/>
        </w:rPr>
        <w:t xml:space="preserve"> </w:t>
      </w:r>
      <w:r w:rsidR="003118E9" w:rsidRPr="00001F7B">
        <w:rPr>
          <w:rFonts w:cstheme="minorHAnsi"/>
        </w:rPr>
        <w:t xml:space="preserve">Folder </w:t>
      </w:r>
      <w:r w:rsidRPr="00001F7B">
        <w:rPr>
          <w:rFonts w:cstheme="minorHAnsi"/>
        </w:rPr>
        <w:t>which can be use</w:t>
      </w:r>
      <w:r w:rsidR="0067705A" w:rsidRPr="00001F7B">
        <w:rPr>
          <w:rFonts w:cstheme="minorHAnsi"/>
        </w:rPr>
        <w:t>d</w:t>
      </w:r>
      <w:r w:rsidRPr="00001F7B">
        <w:rPr>
          <w:rFonts w:cstheme="minorHAnsi"/>
        </w:rPr>
        <w:t xml:space="preserve"> to gather detailed information about </w:t>
      </w:r>
      <w:r w:rsidR="009A2F2F" w:rsidRPr="00001F7B">
        <w:rPr>
          <w:rFonts w:cstheme="minorHAnsi"/>
        </w:rPr>
        <w:t xml:space="preserve">the historical and current </w:t>
      </w:r>
      <w:r w:rsidR="00270141" w:rsidRPr="00001F7B">
        <w:rPr>
          <w:rFonts w:cstheme="minorHAnsi"/>
        </w:rPr>
        <w:t xml:space="preserve">national </w:t>
      </w:r>
      <w:r w:rsidR="009A2F2F" w:rsidRPr="00001F7B">
        <w:rPr>
          <w:rFonts w:cstheme="minorHAnsi"/>
        </w:rPr>
        <w:t>approaches to interpretation particularly in respect of CMR</w:t>
      </w:r>
      <w:r w:rsidR="00270141" w:rsidRPr="00001F7B">
        <w:rPr>
          <w:rFonts w:cstheme="minorHAnsi"/>
        </w:rPr>
        <w:t>.</w:t>
      </w:r>
    </w:p>
    <w:p w14:paraId="6A0691DD" w14:textId="6B254F6D" w:rsidR="00270141" w:rsidRPr="00001F7B" w:rsidRDefault="00270141" w:rsidP="00001F7B">
      <w:pPr>
        <w:rPr>
          <w:rFonts w:cstheme="minorHAnsi"/>
        </w:rPr>
      </w:pPr>
      <w:r w:rsidRPr="00001F7B">
        <w:rPr>
          <w:rFonts w:cstheme="minorHAnsi"/>
        </w:rPr>
        <w:t xml:space="preserve">The object of the review is to make sure that our consideration of interpretative considerations </w:t>
      </w:r>
      <w:r w:rsidR="00B5412D" w:rsidRPr="00001F7B">
        <w:rPr>
          <w:rFonts w:cstheme="minorHAnsi"/>
        </w:rPr>
        <w:t>is</w:t>
      </w:r>
      <w:r w:rsidRPr="00001F7B">
        <w:rPr>
          <w:rFonts w:cstheme="minorHAnsi"/>
        </w:rPr>
        <w:t xml:space="preserve"> thorough and ha</w:t>
      </w:r>
      <w:r w:rsidR="00B5412D" w:rsidRPr="00001F7B">
        <w:rPr>
          <w:rFonts w:cstheme="minorHAnsi"/>
        </w:rPr>
        <w:t>s</w:t>
      </w:r>
      <w:r w:rsidRPr="00001F7B">
        <w:rPr>
          <w:rFonts w:cstheme="minorHAnsi"/>
        </w:rPr>
        <w:t xml:space="preserve"> dealt with any possible objections to our conclusions.</w:t>
      </w:r>
    </w:p>
    <w:p w14:paraId="42E8C577" w14:textId="037C33FE" w:rsidR="009A2F2F" w:rsidRPr="00E35B47" w:rsidRDefault="009A2F2F" w:rsidP="00001F7B">
      <w:pPr>
        <w:rPr>
          <w:rFonts w:cstheme="minorHAnsi"/>
          <w:b/>
          <w:bCs/>
          <w:sz w:val="24"/>
          <w:szCs w:val="24"/>
        </w:rPr>
      </w:pPr>
      <w:r w:rsidRPr="00E35B47">
        <w:rPr>
          <w:rFonts w:cstheme="minorHAnsi"/>
          <w:b/>
          <w:bCs/>
          <w:sz w:val="24"/>
          <w:szCs w:val="24"/>
        </w:rPr>
        <w:t>Background and Discussion Paper</w:t>
      </w:r>
    </w:p>
    <w:p w14:paraId="40460D3A" w14:textId="2FEABA7E" w:rsidR="00B97362" w:rsidRPr="00E35B47" w:rsidRDefault="002F6A26" w:rsidP="00001F7B">
      <w:pPr>
        <w:rPr>
          <w:rFonts w:cstheme="minorHAnsi"/>
          <w:b/>
          <w:bCs/>
          <w:sz w:val="24"/>
          <w:szCs w:val="24"/>
        </w:rPr>
      </w:pPr>
      <w:r w:rsidRPr="00E35B47">
        <w:rPr>
          <w:rFonts w:cstheme="minorHAnsi"/>
          <w:b/>
          <w:bCs/>
          <w:sz w:val="24"/>
          <w:szCs w:val="24"/>
        </w:rPr>
        <w:t>1</w:t>
      </w:r>
      <w:r w:rsidR="00C65086" w:rsidRPr="00E35B47">
        <w:rPr>
          <w:rFonts w:cstheme="minorHAnsi"/>
          <w:b/>
          <w:bCs/>
          <w:sz w:val="24"/>
          <w:szCs w:val="24"/>
        </w:rPr>
        <w:t xml:space="preserve"> </w:t>
      </w:r>
      <w:r w:rsidRPr="00E35B47">
        <w:rPr>
          <w:rFonts w:cstheme="minorHAnsi"/>
          <w:b/>
          <w:bCs/>
          <w:sz w:val="24"/>
          <w:szCs w:val="24"/>
        </w:rPr>
        <w:t xml:space="preserve"> </w:t>
      </w:r>
      <w:r w:rsidR="00A03FF0" w:rsidRPr="00E35B47">
        <w:rPr>
          <w:rFonts w:cstheme="minorHAnsi"/>
          <w:b/>
          <w:bCs/>
          <w:sz w:val="24"/>
          <w:szCs w:val="24"/>
        </w:rPr>
        <w:t xml:space="preserve">Introduction: </w:t>
      </w:r>
      <w:r w:rsidR="00B97362" w:rsidRPr="00E35B47">
        <w:rPr>
          <w:rFonts w:cstheme="minorHAnsi"/>
          <w:b/>
          <w:bCs/>
          <w:sz w:val="24"/>
          <w:szCs w:val="24"/>
        </w:rPr>
        <w:t>Uniformity</w:t>
      </w:r>
      <w:r w:rsidR="00DD4813" w:rsidRPr="00E35B47">
        <w:rPr>
          <w:rFonts w:cstheme="minorHAnsi"/>
          <w:b/>
          <w:bCs/>
          <w:sz w:val="24"/>
          <w:szCs w:val="24"/>
        </w:rPr>
        <w:t xml:space="preserve">, </w:t>
      </w:r>
      <w:r w:rsidR="00823A5C" w:rsidRPr="00E35B47">
        <w:rPr>
          <w:rFonts w:cstheme="minorHAnsi"/>
          <w:b/>
          <w:bCs/>
          <w:sz w:val="24"/>
          <w:szCs w:val="24"/>
        </w:rPr>
        <w:t>Autonomous</w:t>
      </w:r>
      <w:r w:rsidR="00B97362" w:rsidRPr="00E35B47">
        <w:rPr>
          <w:rFonts w:cstheme="minorHAnsi"/>
          <w:b/>
          <w:bCs/>
          <w:sz w:val="24"/>
          <w:szCs w:val="24"/>
        </w:rPr>
        <w:t xml:space="preserve"> </w:t>
      </w:r>
      <w:r w:rsidR="008E31E6" w:rsidRPr="00E35B47">
        <w:rPr>
          <w:rFonts w:cstheme="minorHAnsi"/>
          <w:b/>
          <w:bCs/>
          <w:sz w:val="24"/>
          <w:szCs w:val="24"/>
        </w:rPr>
        <w:t xml:space="preserve">Interpretation </w:t>
      </w:r>
      <w:r w:rsidR="00B97362" w:rsidRPr="00E35B47">
        <w:rPr>
          <w:rFonts w:cstheme="minorHAnsi"/>
          <w:b/>
          <w:bCs/>
          <w:sz w:val="24"/>
          <w:szCs w:val="24"/>
        </w:rPr>
        <w:t>and the V</w:t>
      </w:r>
      <w:r w:rsidR="00156973" w:rsidRPr="00E35B47">
        <w:rPr>
          <w:rFonts w:cstheme="minorHAnsi"/>
          <w:b/>
          <w:bCs/>
          <w:sz w:val="24"/>
          <w:szCs w:val="24"/>
        </w:rPr>
        <w:t>ienna Convention on the Law of Treaties</w:t>
      </w:r>
      <w:r w:rsidR="00E06195" w:rsidRPr="00E35B47">
        <w:rPr>
          <w:rFonts w:cstheme="minorHAnsi"/>
          <w:b/>
          <w:bCs/>
          <w:sz w:val="24"/>
          <w:szCs w:val="24"/>
        </w:rPr>
        <w:t xml:space="preserve"> (VCLT)</w:t>
      </w:r>
    </w:p>
    <w:p w14:paraId="06AAA620" w14:textId="30D16850" w:rsidR="00DE3414" w:rsidRPr="00001F7B" w:rsidRDefault="00C65086" w:rsidP="00001F7B">
      <w:pPr>
        <w:rPr>
          <w:rFonts w:cstheme="minorHAnsi"/>
        </w:rPr>
      </w:pPr>
      <w:r w:rsidRPr="00001F7B">
        <w:rPr>
          <w:rFonts w:cstheme="minorHAnsi"/>
          <w:b/>
          <w:bCs/>
        </w:rPr>
        <w:t>1.1</w:t>
      </w:r>
      <w:r w:rsidRPr="00001F7B">
        <w:rPr>
          <w:rFonts w:cstheme="minorHAnsi"/>
        </w:rPr>
        <w:t xml:space="preserve"> </w:t>
      </w:r>
      <w:r w:rsidR="00B97362" w:rsidRPr="00001F7B">
        <w:rPr>
          <w:rFonts w:cstheme="minorHAnsi"/>
        </w:rPr>
        <w:t xml:space="preserve">Well before </w:t>
      </w:r>
      <w:r w:rsidR="003255AA" w:rsidRPr="00001F7B">
        <w:rPr>
          <w:rFonts w:cstheme="minorHAnsi"/>
        </w:rPr>
        <w:t xml:space="preserve">the </w:t>
      </w:r>
      <w:r w:rsidR="00B97362" w:rsidRPr="00001F7B">
        <w:rPr>
          <w:rFonts w:cstheme="minorHAnsi"/>
        </w:rPr>
        <w:t xml:space="preserve">VCLT was adopted </w:t>
      </w:r>
      <w:r w:rsidR="00FA3D7B">
        <w:rPr>
          <w:rFonts w:cstheme="minorHAnsi"/>
        </w:rPr>
        <w:t xml:space="preserve">in 1969 </w:t>
      </w:r>
      <w:r w:rsidR="00B97362" w:rsidRPr="00001F7B">
        <w:rPr>
          <w:rFonts w:cstheme="minorHAnsi"/>
        </w:rPr>
        <w:t>domestic courts had to deal with the appropriate principles and methods to be employed when interpreting international rules</w:t>
      </w:r>
      <w:r w:rsidR="00E06195" w:rsidRPr="00001F7B">
        <w:rPr>
          <w:rFonts w:cstheme="minorHAnsi"/>
        </w:rPr>
        <w:t xml:space="preserve"> designed</w:t>
      </w:r>
      <w:r w:rsidR="000C1C3C" w:rsidRPr="00001F7B">
        <w:rPr>
          <w:rFonts w:cstheme="minorHAnsi"/>
        </w:rPr>
        <w:t xml:space="preserve"> to provide a regime of uniform </w:t>
      </w:r>
      <w:r w:rsidR="003118E9" w:rsidRPr="00001F7B">
        <w:rPr>
          <w:rFonts w:cstheme="minorHAnsi"/>
        </w:rPr>
        <w:t xml:space="preserve">private </w:t>
      </w:r>
      <w:r w:rsidR="000C1C3C" w:rsidRPr="00001F7B">
        <w:rPr>
          <w:rFonts w:cstheme="minorHAnsi"/>
        </w:rPr>
        <w:t>law</w:t>
      </w:r>
      <w:r w:rsidR="00E06195" w:rsidRPr="00001F7B">
        <w:rPr>
          <w:rFonts w:cstheme="minorHAnsi"/>
        </w:rPr>
        <w:t>.</w:t>
      </w:r>
      <w:r w:rsidR="000C1C3C" w:rsidRPr="00001F7B">
        <w:rPr>
          <w:rFonts w:cstheme="minorHAnsi"/>
        </w:rPr>
        <w:t xml:space="preserve"> </w:t>
      </w:r>
      <w:r w:rsidR="00FA26C8" w:rsidRPr="00001F7B">
        <w:rPr>
          <w:rFonts w:cstheme="minorHAnsi"/>
        </w:rPr>
        <w:t xml:space="preserve">It has been said that a traditional view </w:t>
      </w:r>
      <w:r w:rsidR="00EF196B" w:rsidRPr="00001F7B">
        <w:rPr>
          <w:rFonts w:cstheme="minorHAnsi"/>
        </w:rPr>
        <w:t>wa</w:t>
      </w:r>
      <w:r w:rsidR="00FA26C8" w:rsidRPr="00001F7B">
        <w:rPr>
          <w:rFonts w:cstheme="minorHAnsi"/>
        </w:rPr>
        <w:t>s that domestic rules of interpretation appl</w:t>
      </w:r>
      <w:r w:rsidR="00E51905" w:rsidRPr="00001F7B">
        <w:rPr>
          <w:rFonts w:cstheme="minorHAnsi"/>
        </w:rPr>
        <w:t>ied to such</w:t>
      </w:r>
      <w:r w:rsidR="00FA26C8" w:rsidRPr="00001F7B">
        <w:rPr>
          <w:rFonts w:cstheme="minorHAnsi"/>
        </w:rPr>
        <w:t xml:space="preserve"> </w:t>
      </w:r>
      <w:r w:rsidR="00BF2D6B" w:rsidRPr="00001F7B">
        <w:rPr>
          <w:rFonts w:cstheme="minorHAnsi"/>
        </w:rPr>
        <w:t xml:space="preserve">law </w:t>
      </w:r>
      <w:r w:rsidR="00FA26C8" w:rsidRPr="00001F7B">
        <w:rPr>
          <w:rFonts w:cstheme="minorHAnsi"/>
        </w:rPr>
        <w:t xml:space="preserve">on the basis of either the </w:t>
      </w:r>
      <w:r w:rsidR="00FA26C8" w:rsidRPr="00001F7B">
        <w:rPr>
          <w:rFonts w:cstheme="minorHAnsi"/>
          <w:i/>
          <w:iCs/>
        </w:rPr>
        <w:t xml:space="preserve">lex </w:t>
      </w:r>
      <w:proofErr w:type="spellStart"/>
      <w:r w:rsidR="00FA26C8" w:rsidRPr="00001F7B">
        <w:rPr>
          <w:rFonts w:cstheme="minorHAnsi"/>
          <w:i/>
          <w:iCs/>
        </w:rPr>
        <w:t>fori</w:t>
      </w:r>
      <w:proofErr w:type="spellEnd"/>
      <w:r w:rsidR="00FA26C8" w:rsidRPr="00001F7B">
        <w:rPr>
          <w:rFonts w:cstheme="minorHAnsi"/>
        </w:rPr>
        <w:t xml:space="preserve"> or </w:t>
      </w:r>
      <w:r w:rsidR="00FA26C8" w:rsidRPr="00001F7B">
        <w:rPr>
          <w:rFonts w:cstheme="minorHAnsi"/>
          <w:i/>
          <w:iCs/>
        </w:rPr>
        <w:t xml:space="preserve">lex </w:t>
      </w:r>
      <w:proofErr w:type="spellStart"/>
      <w:r w:rsidR="00FA26C8" w:rsidRPr="00001F7B">
        <w:rPr>
          <w:rFonts w:cstheme="minorHAnsi"/>
          <w:i/>
          <w:iCs/>
        </w:rPr>
        <w:t>causae</w:t>
      </w:r>
      <w:proofErr w:type="spellEnd"/>
      <w:r w:rsidR="00FA26C8" w:rsidRPr="00001F7B">
        <w:rPr>
          <w:rFonts w:cstheme="minorHAnsi"/>
        </w:rPr>
        <w:t xml:space="preserve"> </w:t>
      </w:r>
      <w:r w:rsidR="00010B51" w:rsidRPr="00001F7B">
        <w:rPr>
          <w:rFonts w:cstheme="minorHAnsi"/>
        </w:rPr>
        <w:t xml:space="preserve">but that </w:t>
      </w:r>
      <w:r w:rsidR="00807D9A" w:rsidRPr="00001F7B">
        <w:rPr>
          <w:rFonts w:cstheme="minorHAnsi"/>
        </w:rPr>
        <w:t xml:space="preserve">legal </w:t>
      </w:r>
      <w:r w:rsidR="00010B51" w:rsidRPr="00001F7B">
        <w:rPr>
          <w:rFonts w:cstheme="minorHAnsi"/>
        </w:rPr>
        <w:t>opinion</w:t>
      </w:r>
      <w:r w:rsidR="00F13409" w:rsidRPr="00001F7B">
        <w:rPr>
          <w:rFonts w:cstheme="minorHAnsi"/>
        </w:rPr>
        <w:t xml:space="preserve"> </w:t>
      </w:r>
      <w:r w:rsidR="00BD4481" w:rsidRPr="00001F7B">
        <w:rPr>
          <w:rFonts w:cstheme="minorHAnsi"/>
        </w:rPr>
        <w:t>predominantly rejects this</w:t>
      </w:r>
      <w:r w:rsidR="00D86AAF" w:rsidRPr="00001F7B">
        <w:rPr>
          <w:rFonts w:cstheme="minorHAnsi"/>
        </w:rPr>
        <w:t>.</w:t>
      </w:r>
      <w:r w:rsidR="00D86AAF" w:rsidRPr="00001F7B">
        <w:rPr>
          <w:rStyle w:val="FootnoteReference"/>
          <w:rFonts w:cstheme="minorHAnsi"/>
        </w:rPr>
        <w:footnoteReference w:id="2"/>
      </w:r>
      <w:r w:rsidR="00D86AAF" w:rsidRPr="00001F7B">
        <w:rPr>
          <w:rFonts w:cstheme="minorHAnsi"/>
        </w:rPr>
        <w:t xml:space="preserve"> </w:t>
      </w:r>
      <w:r w:rsidR="003C3E46" w:rsidRPr="00001F7B">
        <w:rPr>
          <w:rFonts w:cstheme="minorHAnsi"/>
        </w:rPr>
        <w:t xml:space="preserve"> Quite apart from opinion</w:t>
      </w:r>
      <w:r w:rsidR="0038015A" w:rsidRPr="00001F7B">
        <w:rPr>
          <w:rFonts w:cstheme="minorHAnsi"/>
        </w:rPr>
        <w:t>, whilst</w:t>
      </w:r>
      <w:r w:rsidR="003C3E46" w:rsidRPr="00001F7B">
        <w:rPr>
          <w:rFonts w:cstheme="minorHAnsi"/>
        </w:rPr>
        <w:t xml:space="preserve"> </w:t>
      </w:r>
      <w:r w:rsidR="00807D9A" w:rsidRPr="00001F7B">
        <w:rPr>
          <w:rFonts w:cstheme="minorHAnsi"/>
        </w:rPr>
        <w:t xml:space="preserve">national courts </w:t>
      </w:r>
      <w:r w:rsidR="004C3D89" w:rsidRPr="00001F7B">
        <w:rPr>
          <w:rFonts w:cstheme="minorHAnsi"/>
        </w:rPr>
        <w:t xml:space="preserve">in some CMR states </w:t>
      </w:r>
      <w:r w:rsidR="0038015A" w:rsidRPr="00001F7B">
        <w:rPr>
          <w:rFonts w:cstheme="minorHAnsi"/>
        </w:rPr>
        <w:t xml:space="preserve">may have </w:t>
      </w:r>
      <w:r w:rsidR="009C2284" w:rsidRPr="00001F7B">
        <w:rPr>
          <w:rFonts w:cstheme="minorHAnsi"/>
        </w:rPr>
        <w:t>been inward looking</w:t>
      </w:r>
      <w:r w:rsidR="009D5025" w:rsidRPr="00001F7B">
        <w:rPr>
          <w:rFonts w:cstheme="minorHAnsi"/>
        </w:rPr>
        <w:t xml:space="preserve"> </w:t>
      </w:r>
      <w:r w:rsidR="00CB0502" w:rsidRPr="00001F7B">
        <w:rPr>
          <w:rFonts w:cstheme="minorHAnsi"/>
        </w:rPr>
        <w:t>at first</w:t>
      </w:r>
      <w:r w:rsidR="003118E9" w:rsidRPr="00001F7B">
        <w:rPr>
          <w:rFonts w:cstheme="minorHAnsi"/>
        </w:rPr>
        <w:t>,</w:t>
      </w:r>
      <w:r w:rsidR="00CB0502" w:rsidRPr="00001F7B">
        <w:rPr>
          <w:rFonts w:cstheme="minorHAnsi"/>
        </w:rPr>
        <w:t xml:space="preserve"> </w:t>
      </w:r>
      <w:r w:rsidR="00623086" w:rsidRPr="00001F7B">
        <w:rPr>
          <w:rFonts w:cstheme="minorHAnsi"/>
        </w:rPr>
        <w:t xml:space="preserve">over time </w:t>
      </w:r>
      <w:r w:rsidR="004C3D89" w:rsidRPr="00001F7B">
        <w:rPr>
          <w:rFonts w:cstheme="minorHAnsi"/>
        </w:rPr>
        <w:t>there has been growing recognition</w:t>
      </w:r>
      <w:r w:rsidR="00862C69" w:rsidRPr="00001F7B">
        <w:rPr>
          <w:rFonts w:cstheme="minorHAnsi"/>
        </w:rPr>
        <w:t xml:space="preserve"> </w:t>
      </w:r>
      <w:r w:rsidR="009D5025" w:rsidRPr="00001F7B">
        <w:rPr>
          <w:rFonts w:cstheme="minorHAnsi"/>
        </w:rPr>
        <w:t>in CMR states</w:t>
      </w:r>
      <w:r w:rsidR="008538AE" w:rsidRPr="00001F7B">
        <w:rPr>
          <w:rFonts w:cstheme="minorHAnsi"/>
        </w:rPr>
        <w:t xml:space="preserve"> </w:t>
      </w:r>
      <w:r w:rsidR="00EE2DFB" w:rsidRPr="00001F7B">
        <w:rPr>
          <w:rFonts w:cstheme="minorHAnsi"/>
        </w:rPr>
        <w:t xml:space="preserve">that </w:t>
      </w:r>
      <w:r w:rsidR="00862C69" w:rsidRPr="00001F7B">
        <w:rPr>
          <w:rFonts w:cstheme="minorHAnsi"/>
        </w:rPr>
        <w:t>principles and methods designed to promote uniformity should be adopted</w:t>
      </w:r>
      <w:r w:rsidR="008521F1" w:rsidRPr="00001F7B">
        <w:rPr>
          <w:rFonts w:cstheme="minorHAnsi"/>
        </w:rPr>
        <w:t>,</w:t>
      </w:r>
      <w:r w:rsidR="00D86AAF" w:rsidRPr="00001F7B">
        <w:rPr>
          <w:rStyle w:val="FootnoteReference"/>
          <w:rFonts w:cstheme="minorHAnsi"/>
        </w:rPr>
        <w:footnoteReference w:id="3"/>
      </w:r>
      <w:r w:rsidR="008521F1" w:rsidRPr="00001F7B">
        <w:rPr>
          <w:rFonts w:cstheme="minorHAnsi"/>
        </w:rPr>
        <w:t xml:space="preserve"> </w:t>
      </w:r>
      <w:r w:rsidR="0053067F" w:rsidRPr="00001F7B">
        <w:rPr>
          <w:rFonts w:cstheme="minorHAnsi"/>
        </w:rPr>
        <w:t xml:space="preserve">rather than rely too heavily </w:t>
      </w:r>
      <w:r w:rsidR="00807D9A" w:rsidRPr="00001F7B">
        <w:rPr>
          <w:rFonts w:cstheme="minorHAnsi"/>
        </w:rPr>
        <w:t xml:space="preserve">on </w:t>
      </w:r>
      <w:r w:rsidR="0053067F" w:rsidRPr="00001F7B">
        <w:rPr>
          <w:rFonts w:cstheme="minorHAnsi"/>
        </w:rPr>
        <w:t>nationally based techniques.</w:t>
      </w:r>
      <w:r w:rsidR="00D86AAF" w:rsidRPr="00001F7B">
        <w:rPr>
          <w:rStyle w:val="FootnoteReference"/>
          <w:rFonts w:cstheme="minorHAnsi"/>
        </w:rPr>
        <w:footnoteReference w:id="4"/>
      </w:r>
      <w:r w:rsidR="00F16942" w:rsidRPr="00001F7B">
        <w:rPr>
          <w:rFonts w:cstheme="minorHAnsi"/>
        </w:rPr>
        <w:t xml:space="preserve"> </w:t>
      </w:r>
    </w:p>
    <w:p w14:paraId="7FE3506B" w14:textId="5BE82674" w:rsidR="00DD4813" w:rsidRPr="00001F7B" w:rsidRDefault="002F1E31" w:rsidP="00001F7B">
      <w:pPr>
        <w:rPr>
          <w:rFonts w:cstheme="minorHAnsi"/>
          <w:b/>
          <w:bCs/>
        </w:rPr>
      </w:pPr>
      <w:r w:rsidRPr="00001F7B">
        <w:rPr>
          <w:rFonts w:cstheme="minorHAnsi"/>
          <w:b/>
          <w:bCs/>
        </w:rPr>
        <w:t>1.</w:t>
      </w:r>
      <w:r w:rsidR="00DE3414" w:rsidRPr="00001F7B">
        <w:rPr>
          <w:rFonts w:cstheme="minorHAnsi"/>
          <w:b/>
          <w:bCs/>
        </w:rPr>
        <w:t>2</w:t>
      </w:r>
      <w:r w:rsidRPr="00001F7B">
        <w:rPr>
          <w:rFonts w:cstheme="minorHAnsi"/>
          <w:b/>
          <w:bCs/>
        </w:rPr>
        <w:t xml:space="preserve"> </w:t>
      </w:r>
      <w:r w:rsidR="00DD4813" w:rsidRPr="00001F7B">
        <w:rPr>
          <w:rFonts w:cstheme="minorHAnsi"/>
          <w:b/>
          <w:bCs/>
        </w:rPr>
        <w:t xml:space="preserve">Uniformity and the Autonomous approach </w:t>
      </w:r>
    </w:p>
    <w:p w14:paraId="5C940A59" w14:textId="61B19F1B" w:rsidR="00BA6372" w:rsidRPr="00001F7B" w:rsidRDefault="00905C52" w:rsidP="00001F7B">
      <w:pPr>
        <w:rPr>
          <w:rFonts w:cstheme="minorHAnsi"/>
        </w:rPr>
      </w:pPr>
      <w:r w:rsidRPr="00001F7B">
        <w:rPr>
          <w:rFonts w:cstheme="minorHAnsi"/>
        </w:rPr>
        <w:t xml:space="preserve">This last point raises the </w:t>
      </w:r>
      <w:r w:rsidR="00B0193B" w:rsidRPr="00001F7B">
        <w:rPr>
          <w:rFonts w:cstheme="minorHAnsi"/>
        </w:rPr>
        <w:t xml:space="preserve">relevance of what may be termed the </w:t>
      </w:r>
      <w:r w:rsidR="00F16942" w:rsidRPr="00001F7B">
        <w:rPr>
          <w:rFonts w:cstheme="minorHAnsi"/>
        </w:rPr>
        <w:t>autonom</w:t>
      </w:r>
      <w:r w:rsidRPr="00001F7B">
        <w:rPr>
          <w:rFonts w:cstheme="minorHAnsi"/>
        </w:rPr>
        <w:t>ous approach</w:t>
      </w:r>
      <w:r w:rsidR="00B0193B" w:rsidRPr="00001F7B">
        <w:rPr>
          <w:rFonts w:cstheme="minorHAnsi"/>
        </w:rPr>
        <w:t xml:space="preserve"> to interpretation</w:t>
      </w:r>
      <w:r w:rsidRPr="00001F7B">
        <w:rPr>
          <w:rFonts w:cstheme="minorHAnsi"/>
        </w:rPr>
        <w:t>.</w:t>
      </w:r>
      <w:r w:rsidR="00B0193B" w:rsidRPr="00001F7B">
        <w:rPr>
          <w:rFonts w:cstheme="minorHAnsi"/>
        </w:rPr>
        <w:t xml:space="preserve"> </w:t>
      </w:r>
      <w:r w:rsidR="0098202A" w:rsidRPr="00001F7B">
        <w:rPr>
          <w:rFonts w:cstheme="minorHAnsi"/>
        </w:rPr>
        <w:t>Discussion of the autonomous approach seems to be mainly made in the context of the Vienna Convention on the International Sale of Goods (CISG)</w:t>
      </w:r>
      <w:r w:rsidR="00D5357B" w:rsidRPr="00001F7B">
        <w:rPr>
          <w:rFonts w:cstheme="minorHAnsi"/>
        </w:rPr>
        <w:t>, although seen as relevant to uniform private law conventions generally</w:t>
      </w:r>
      <w:r w:rsidR="00CD45B0" w:rsidRPr="00001F7B">
        <w:rPr>
          <w:rFonts w:cstheme="minorHAnsi"/>
        </w:rPr>
        <w:t>.</w:t>
      </w:r>
      <w:r w:rsidR="008521F1" w:rsidRPr="00001F7B">
        <w:rPr>
          <w:rStyle w:val="FootnoteReference"/>
          <w:rFonts w:cstheme="minorHAnsi"/>
        </w:rPr>
        <w:footnoteReference w:id="5"/>
      </w:r>
      <w:r w:rsidR="0098202A" w:rsidRPr="00001F7B">
        <w:rPr>
          <w:rFonts w:cstheme="minorHAnsi"/>
        </w:rPr>
        <w:t xml:space="preserve"> </w:t>
      </w:r>
      <w:r w:rsidR="00CD45B0" w:rsidRPr="00001F7B">
        <w:rPr>
          <w:rFonts w:cstheme="minorHAnsi"/>
        </w:rPr>
        <w:t xml:space="preserve">It </w:t>
      </w:r>
      <w:r w:rsidR="0098202A" w:rsidRPr="00001F7B">
        <w:rPr>
          <w:rFonts w:cstheme="minorHAnsi"/>
        </w:rPr>
        <w:t xml:space="preserve">is </w:t>
      </w:r>
      <w:r w:rsidR="003255AA" w:rsidRPr="00001F7B">
        <w:rPr>
          <w:rFonts w:cstheme="minorHAnsi"/>
        </w:rPr>
        <w:t xml:space="preserve">sometimes seen as contrasting with the rules on </w:t>
      </w:r>
      <w:r w:rsidR="003255AA" w:rsidRPr="00001F7B">
        <w:rPr>
          <w:rFonts w:cstheme="minorHAnsi"/>
        </w:rPr>
        <w:lastRenderedPageBreak/>
        <w:t>interpretation contained in the VCLT</w:t>
      </w:r>
      <w:r w:rsidR="00D5357B" w:rsidRPr="00001F7B">
        <w:rPr>
          <w:rFonts w:cstheme="minorHAnsi"/>
        </w:rPr>
        <w:t xml:space="preserve"> (the Vienna Rules</w:t>
      </w:r>
      <w:r w:rsidR="00944771" w:rsidRPr="00001F7B">
        <w:rPr>
          <w:rFonts w:cstheme="minorHAnsi"/>
        </w:rPr>
        <w:t>)</w:t>
      </w:r>
      <w:r w:rsidR="00E13AF1" w:rsidRPr="00001F7B">
        <w:rPr>
          <w:rFonts w:cstheme="minorHAnsi"/>
        </w:rPr>
        <w:t>.</w:t>
      </w:r>
      <w:r w:rsidR="00D5357B" w:rsidRPr="00001F7B">
        <w:rPr>
          <w:rStyle w:val="FootnoteReference"/>
          <w:rFonts w:cstheme="minorHAnsi"/>
        </w:rPr>
        <w:footnoteReference w:id="6"/>
      </w:r>
      <w:r w:rsidR="00D5357B" w:rsidRPr="00001F7B">
        <w:rPr>
          <w:rFonts w:cstheme="minorHAnsi"/>
        </w:rPr>
        <w:t xml:space="preserve"> This is</w:t>
      </w:r>
      <w:r w:rsidR="003255AA" w:rsidRPr="00001F7B">
        <w:rPr>
          <w:rFonts w:cstheme="minorHAnsi"/>
        </w:rPr>
        <w:t xml:space="preserve"> on the basis that rules of public international law are not appropriate for the interpretation </w:t>
      </w:r>
      <w:r w:rsidR="00025B3E" w:rsidRPr="00001F7B">
        <w:rPr>
          <w:rFonts w:cstheme="minorHAnsi"/>
        </w:rPr>
        <w:t xml:space="preserve">of treaties providing for </w:t>
      </w:r>
      <w:r w:rsidR="003255AA" w:rsidRPr="00001F7B">
        <w:rPr>
          <w:rFonts w:cstheme="minorHAnsi"/>
        </w:rPr>
        <w:t>rules</w:t>
      </w:r>
      <w:r w:rsidR="00025B3E" w:rsidRPr="00001F7B">
        <w:rPr>
          <w:rFonts w:cstheme="minorHAnsi"/>
        </w:rPr>
        <w:t xml:space="preserve"> of international private law (especially the CISG)</w:t>
      </w:r>
      <w:r w:rsidR="00CA25D7" w:rsidRPr="00001F7B">
        <w:rPr>
          <w:rFonts w:cstheme="minorHAnsi"/>
        </w:rPr>
        <w:t>,</w:t>
      </w:r>
      <w:r w:rsidR="00025B3E" w:rsidRPr="00001F7B">
        <w:rPr>
          <w:rStyle w:val="FootnoteReference"/>
          <w:rFonts w:cstheme="minorHAnsi"/>
        </w:rPr>
        <w:footnoteReference w:id="7"/>
      </w:r>
      <w:r w:rsidR="00025B3E" w:rsidRPr="00001F7B">
        <w:rPr>
          <w:rFonts w:cstheme="minorHAnsi"/>
        </w:rPr>
        <w:t xml:space="preserve"> </w:t>
      </w:r>
      <w:r w:rsidR="008E7369" w:rsidRPr="00001F7B">
        <w:rPr>
          <w:rFonts w:cstheme="minorHAnsi"/>
        </w:rPr>
        <w:t>since these principles are geared primarily to bilateral treaties and to establishing the obligations of states under them.</w:t>
      </w:r>
      <w:r w:rsidR="008E7369" w:rsidRPr="00001F7B">
        <w:rPr>
          <w:rStyle w:val="FootnoteReference"/>
          <w:rFonts w:cstheme="minorHAnsi"/>
        </w:rPr>
        <w:footnoteReference w:id="8"/>
      </w:r>
      <w:r w:rsidR="008E7369" w:rsidRPr="00001F7B">
        <w:rPr>
          <w:rFonts w:cstheme="minorHAnsi"/>
        </w:rPr>
        <w:t xml:space="preserve"> </w:t>
      </w:r>
      <w:r w:rsidR="00AD5D3F" w:rsidRPr="00001F7B">
        <w:rPr>
          <w:rFonts w:cstheme="minorHAnsi"/>
        </w:rPr>
        <w:t>A</w:t>
      </w:r>
      <w:r w:rsidR="008E7369" w:rsidRPr="00001F7B">
        <w:rPr>
          <w:rFonts w:cstheme="minorHAnsi"/>
        </w:rPr>
        <w:t xml:space="preserve">rguments have been </w:t>
      </w:r>
      <w:r w:rsidR="00AD5D3F" w:rsidRPr="00001F7B">
        <w:rPr>
          <w:rFonts w:cstheme="minorHAnsi"/>
        </w:rPr>
        <w:t>made</w:t>
      </w:r>
      <w:r w:rsidR="008E7369" w:rsidRPr="00001F7B">
        <w:rPr>
          <w:rFonts w:cstheme="minorHAnsi"/>
        </w:rPr>
        <w:t xml:space="preserve"> to refute this.</w:t>
      </w:r>
      <w:r w:rsidR="00E430DB" w:rsidRPr="00001F7B">
        <w:rPr>
          <w:rStyle w:val="FootnoteReference"/>
          <w:rFonts w:cstheme="minorHAnsi"/>
        </w:rPr>
        <w:footnoteReference w:id="9"/>
      </w:r>
      <w:r w:rsidR="004A61F9" w:rsidRPr="00001F7B">
        <w:rPr>
          <w:rFonts w:cstheme="minorHAnsi"/>
        </w:rPr>
        <w:t xml:space="preserve"> Particularly strong is the view that “any multilateral, law-unifying treaty is a contract governed by international law from which legal rights and obligations among contracting States result.”</w:t>
      </w:r>
      <w:r w:rsidR="002052A5" w:rsidRPr="00001F7B">
        <w:rPr>
          <w:rStyle w:val="FootnoteReference"/>
          <w:rFonts w:cstheme="minorHAnsi"/>
        </w:rPr>
        <w:footnoteReference w:id="10"/>
      </w:r>
      <w:r w:rsidR="00BA6372" w:rsidRPr="00001F7B">
        <w:rPr>
          <w:rFonts w:cstheme="minorHAnsi"/>
        </w:rPr>
        <w:t xml:space="preserve"> </w:t>
      </w:r>
      <w:r w:rsidR="00DF4690" w:rsidRPr="00001F7B">
        <w:rPr>
          <w:rFonts w:cstheme="minorHAnsi"/>
        </w:rPr>
        <w:t>The success of the argument against the distinction can be seen in</w:t>
      </w:r>
      <w:r w:rsidR="00BA6372" w:rsidRPr="00001F7B">
        <w:rPr>
          <w:rFonts w:cstheme="minorHAnsi"/>
        </w:rPr>
        <w:t xml:space="preserve"> the growing recognition of the use of the principles of interpretation adopted by VCLT (the Vienna Rules) </w:t>
      </w:r>
      <w:r w:rsidR="00DF4690" w:rsidRPr="00001F7B">
        <w:rPr>
          <w:rFonts w:cstheme="minorHAnsi"/>
        </w:rPr>
        <w:t>across a range of treaties including</w:t>
      </w:r>
      <w:r w:rsidR="00BA6372" w:rsidRPr="00001F7B">
        <w:rPr>
          <w:rFonts w:cstheme="minorHAnsi"/>
        </w:rPr>
        <w:t xml:space="preserve"> uniform laws</w:t>
      </w:r>
      <w:r w:rsidR="008511DA" w:rsidRPr="00001F7B">
        <w:rPr>
          <w:rFonts w:cstheme="minorHAnsi"/>
        </w:rPr>
        <w:t xml:space="preserve"> which will </w:t>
      </w:r>
      <w:r w:rsidR="00FA3D7B">
        <w:rPr>
          <w:rFonts w:cstheme="minorHAnsi"/>
        </w:rPr>
        <w:t xml:space="preserve">be </w:t>
      </w:r>
      <w:r w:rsidR="008511DA" w:rsidRPr="00001F7B">
        <w:rPr>
          <w:rFonts w:cstheme="minorHAnsi"/>
        </w:rPr>
        <w:t>reviewed below.</w:t>
      </w:r>
    </w:p>
    <w:p w14:paraId="6CC0D6E4" w14:textId="5EA21E2D" w:rsidR="00476E42" w:rsidRPr="00001F7B" w:rsidRDefault="00C40F9F" w:rsidP="00001F7B">
      <w:pPr>
        <w:rPr>
          <w:rFonts w:cstheme="minorHAnsi"/>
        </w:rPr>
      </w:pPr>
      <w:r w:rsidRPr="00001F7B">
        <w:rPr>
          <w:rFonts w:cstheme="minorHAnsi"/>
        </w:rPr>
        <w:t>Is there then a fundamental dichotomy between the Vienna Rules and the autonomous approach</w:t>
      </w:r>
      <w:r w:rsidR="00476E42" w:rsidRPr="00001F7B">
        <w:rPr>
          <w:rFonts w:cstheme="minorHAnsi"/>
        </w:rPr>
        <w:t xml:space="preserve"> so that adoption of the Rules will see the end of autonomy? This can be explored initially here by consideration of what i</w:t>
      </w:r>
      <w:r w:rsidR="00184B87" w:rsidRPr="00001F7B">
        <w:rPr>
          <w:rFonts w:cstheme="minorHAnsi"/>
        </w:rPr>
        <w:t xml:space="preserve">t is suggested that autonomy involves.  </w:t>
      </w:r>
    </w:p>
    <w:p w14:paraId="206C8DFC" w14:textId="347CA80F" w:rsidR="00817699" w:rsidRPr="00001F7B" w:rsidRDefault="00782A6A" w:rsidP="00001F7B">
      <w:pPr>
        <w:rPr>
          <w:rFonts w:cstheme="minorHAnsi"/>
        </w:rPr>
      </w:pPr>
      <w:r w:rsidRPr="00001F7B">
        <w:rPr>
          <w:rFonts w:cstheme="minorHAnsi"/>
        </w:rPr>
        <w:t>I</w:t>
      </w:r>
      <w:r w:rsidR="00184B87" w:rsidRPr="00001F7B">
        <w:rPr>
          <w:rFonts w:cstheme="minorHAnsi"/>
        </w:rPr>
        <w:t>t reflects</w:t>
      </w:r>
      <w:r w:rsidR="008648A7" w:rsidRPr="00001F7B">
        <w:rPr>
          <w:rFonts w:cstheme="minorHAnsi"/>
        </w:rPr>
        <w:t xml:space="preserve"> several</w:t>
      </w:r>
      <w:r w:rsidRPr="00001F7B">
        <w:rPr>
          <w:rFonts w:cstheme="minorHAnsi"/>
        </w:rPr>
        <w:t xml:space="preserve"> idea</w:t>
      </w:r>
      <w:r w:rsidR="008648A7" w:rsidRPr="00001F7B">
        <w:rPr>
          <w:rFonts w:cstheme="minorHAnsi"/>
        </w:rPr>
        <w:t>s</w:t>
      </w:r>
      <w:r w:rsidRPr="00001F7B">
        <w:rPr>
          <w:rFonts w:cstheme="minorHAnsi"/>
        </w:rPr>
        <w:t xml:space="preserve"> </w:t>
      </w:r>
      <w:r w:rsidR="008648A7" w:rsidRPr="00001F7B">
        <w:rPr>
          <w:rFonts w:cstheme="minorHAnsi"/>
        </w:rPr>
        <w:t xml:space="preserve">in </w:t>
      </w:r>
      <w:r w:rsidR="00BE7445" w:rsidRPr="00001F7B">
        <w:rPr>
          <w:rFonts w:cstheme="minorHAnsi"/>
        </w:rPr>
        <w:t xml:space="preserve">respect of </w:t>
      </w:r>
      <w:r w:rsidR="00B0193B" w:rsidRPr="00001F7B">
        <w:rPr>
          <w:rFonts w:cstheme="minorHAnsi"/>
        </w:rPr>
        <w:t xml:space="preserve"> </w:t>
      </w:r>
      <w:r w:rsidRPr="00001F7B">
        <w:rPr>
          <w:rFonts w:cstheme="minorHAnsi"/>
        </w:rPr>
        <w:t>uniform convention</w:t>
      </w:r>
      <w:r w:rsidR="00B0193B" w:rsidRPr="00001F7B">
        <w:rPr>
          <w:rFonts w:cstheme="minorHAnsi"/>
        </w:rPr>
        <w:t>s</w:t>
      </w:r>
      <w:r w:rsidRPr="00001F7B">
        <w:rPr>
          <w:rFonts w:cstheme="minorHAnsi"/>
        </w:rPr>
        <w:t xml:space="preserve"> </w:t>
      </w:r>
      <w:r w:rsidR="008648A7" w:rsidRPr="00001F7B">
        <w:rPr>
          <w:rFonts w:cstheme="minorHAnsi"/>
        </w:rPr>
        <w:t>in that</w:t>
      </w:r>
      <w:r w:rsidR="00BE7445" w:rsidRPr="00001F7B">
        <w:rPr>
          <w:rFonts w:cstheme="minorHAnsi"/>
        </w:rPr>
        <w:t>:</w:t>
      </w:r>
      <w:r w:rsidR="00184B87" w:rsidRPr="00001F7B">
        <w:rPr>
          <w:rFonts w:cstheme="minorHAnsi"/>
        </w:rPr>
        <w:t xml:space="preserve"> </w:t>
      </w:r>
      <w:r w:rsidR="008648A7" w:rsidRPr="00001F7B">
        <w:rPr>
          <w:rFonts w:cstheme="minorHAnsi"/>
        </w:rPr>
        <w:t>they involve special legislation separate fro</w:t>
      </w:r>
      <w:r w:rsidR="00CA7144" w:rsidRPr="00001F7B">
        <w:rPr>
          <w:rFonts w:cstheme="minorHAnsi"/>
        </w:rPr>
        <w:t xml:space="preserve">m standard </w:t>
      </w:r>
      <w:r w:rsidR="008648A7" w:rsidRPr="00001F7B">
        <w:rPr>
          <w:rFonts w:cstheme="minorHAnsi"/>
        </w:rPr>
        <w:t>domestic law</w:t>
      </w:r>
      <w:r w:rsidR="0086497A" w:rsidRPr="00001F7B">
        <w:rPr>
          <w:rFonts w:cstheme="minorHAnsi"/>
        </w:rPr>
        <w:t>;</w:t>
      </w:r>
      <w:r w:rsidR="004C4225" w:rsidRPr="00001F7B">
        <w:rPr>
          <w:rStyle w:val="FootnoteReference"/>
          <w:rFonts w:cstheme="minorHAnsi"/>
        </w:rPr>
        <w:footnoteReference w:id="11"/>
      </w:r>
      <w:r w:rsidR="008648A7" w:rsidRPr="00001F7B">
        <w:rPr>
          <w:rFonts w:cstheme="minorHAnsi"/>
        </w:rPr>
        <w:t xml:space="preserve"> </w:t>
      </w:r>
      <w:r w:rsidR="0086497A" w:rsidRPr="00001F7B">
        <w:rPr>
          <w:rFonts w:cstheme="minorHAnsi"/>
        </w:rPr>
        <w:t xml:space="preserve">that their international character and nature as creating uniform rules </w:t>
      </w:r>
      <w:r w:rsidR="00E8407F" w:rsidRPr="00001F7B">
        <w:rPr>
          <w:rFonts w:cstheme="minorHAnsi"/>
        </w:rPr>
        <w:t>requires independence from the meanings and concepts of domestic law;</w:t>
      </w:r>
      <w:r w:rsidR="00E8407F" w:rsidRPr="00001F7B">
        <w:rPr>
          <w:rStyle w:val="FootnoteReference"/>
          <w:rFonts w:cstheme="minorHAnsi"/>
        </w:rPr>
        <w:footnoteReference w:id="12"/>
      </w:r>
      <w:r w:rsidR="008648A7" w:rsidRPr="00001F7B">
        <w:rPr>
          <w:rFonts w:cstheme="minorHAnsi"/>
        </w:rPr>
        <w:t xml:space="preserve"> </w:t>
      </w:r>
      <w:r w:rsidR="00E8407F" w:rsidRPr="00001F7B">
        <w:rPr>
          <w:rFonts w:cstheme="minorHAnsi"/>
        </w:rPr>
        <w:t>and that this approach promotes uniformity</w:t>
      </w:r>
      <w:r w:rsidR="00E8407F" w:rsidRPr="00001F7B">
        <w:rPr>
          <w:rStyle w:val="FootnoteReference"/>
          <w:rFonts w:cstheme="minorHAnsi"/>
        </w:rPr>
        <w:footnoteReference w:id="13"/>
      </w:r>
      <w:r w:rsidR="00E8407F" w:rsidRPr="00001F7B">
        <w:rPr>
          <w:rFonts w:cstheme="minorHAnsi"/>
        </w:rPr>
        <w:t xml:space="preserve"> by reducing divergence and</w:t>
      </w:r>
      <w:r w:rsidR="00740334" w:rsidRPr="00001F7B">
        <w:rPr>
          <w:rFonts w:cstheme="minorHAnsi"/>
        </w:rPr>
        <w:t xml:space="preserve"> its</w:t>
      </w:r>
      <w:r w:rsidR="00E8407F" w:rsidRPr="00001F7B">
        <w:rPr>
          <w:rFonts w:cstheme="minorHAnsi"/>
        </w:rPr>
        <w:t xml:space="preserve"> consequent </w:t>
      </w:r>
      <w:r w:rsidR="00675E73" w:rsidRPr="00001F7B">
        <w:rPr>
          <w:rFonts w:cstheme="minorHAnsi"/>
        </w:rPr>
        <w:t>potential for forum shopping.</w:t>
      </w:r>
      <w:r w:rsidR="00675E73" w:rsidRPr="00001F7B">
        <w:rPr>
          <w:rStyle w:val="FootnoteReference"/>
          <w:rFonts w:cstheme="minorHAnsi"/>
        </w:rPr>
        <w:footnoteReference w:id="14"/>
      </w:r>
      <w:r w:rsidR="00675E73" w:rsidRPr="00001F7B">
        <w:rPr>
          <w:rFonts w:cstheme="minorHAnsi"/>
        </w:rPr>
        <w:t xml:space="preserve"> </w:t>
      </w:r>
      <w:r w:rsidR="00905C52" w:rsidRPr="00001F7B">
        <w:rPr>
          <w:rFonts w:cstheme="minorHAnsi"/>
        </w:rPr>
        <w:t>This encompasses two aspects</w:t>
      </w:r>
      <w:r w:rsidR="002975B1" w:rsidRPr="00001F7B">
        <w:rPr>
          <w:rFonts w:cstheme="minorHAnsi"/>
        </w:rPr>
        <w:t>: autonomy in methods of interpretation (i.e. courts should not rely too heavily on their domestic law methods of statutory interpretation but adopt those methods thought more appropriate for the interpretation of uniform rules</w:t>
      </w:r>
      <w:r w:rsidR="00542FB2" w:rsidRPr="00001F7B">
        <w:rPr>
          <w:rFonts w:cstheme="minorHAnsi"/>
        </w:rPr>
        <w:t>)</w:t>
      </w:r>
      <w:r w:rsidR="002975B1" w:rsidRPr="00001F7B">
        <w:rPr>
          <w:rFonts w:cstheme="minorHAnsi"/>
        </w:rPr>
        <w:t xml:space="preserve"> and autonomy in the process of interpretation itself in interpretating the </w:t>
      </w:r>
      <w:r w:rsidR="006D4DD7" w:rsidRPr="00001F7B">
        <w:rPr>
          <w:rFonts w:cstheme="minorHAnsi"/>
        </w:rPr>
        <w:t>words used without reference to the court’s own law.</w:t>
      </w:r>
      <w:r w:rsidR="00FF7624" w:rsidRPr="00001F7B">
        <w:rPr>
          <w:rStyle w:val="FootnoteReference"/>
          <w:rFonts w:cstheme="minorHAnsi"/>
        </w:rPr>
        <w:footnoteReference w:id="15"/>
      </w:r>
      <w:r w:rsidR="00FB45C8" w:rsidRPr="00001F7B">
        <w:rPr>
          <w:rFonts w:cstheme="minorHAnsi"/>
        </w:rPr>
        <w:t xml:space="preserve"> </w:t>
      </w:r>
      <w:r w:rsidR="006D4DD7" w:rsidRPr="00001F7B">
        <w:rPr>
          <w:rFonts w:cstheme="minorHAnsi"/>
        </w:rPr>
        <w:t xml:space="preserve"> </w:t>
      </w:r>
      <w:r w:rsidR="00B12A8A" w:rsidRPr="00001F7B">
        <w:rPr>
          <w:rFonts w:cstheme="minorHAnsi"/>
        </w:rPr>
        <w:t>Whilst much of the debate has revolved around the use of express interpretive provisions such as Article 7</w:t>
      </w:r>
      <w:r w:rsidR="00040FEB" w:rsidRPr="00001F7B">
        <w:rPr>
          <w:rFonts w:cstheme="minorHAnsi"/>
        </w:rPr>
        <w:t>.</w:t>
      </w:r>
      <w:r w:rsidR="00B12A8A" w:rsidRPr="00001F7B">
        <w:rPr>
          <w:rFonts w:cstheme="minorHAnsi"/>
        </w:rPr>
        <w:t>2 of the CISG, the n</w:t>
      </w:r>
      <w:r w:rsidR="007220AF" w:rsidRPr="00001F7B">
        <w:rPr>
          <w:rFonts w:cstheme="minorHAnsi"/>
        </w:rPr>
        <w:t xml:space="preserve">ature of </w:t>
      </w:r>
      <w:r w:rsidR="006D00C0" w:rsidRPr="00001F7B">
        <w:rPr>
          <w:rFonts w:cstheme="minorHAnsi"/>
        </w:rPr>
        <w:t>international un</w:t>
      </w:r>
      <w:r w:rsidR="009540CC">
        <w:rPr>
          <w:rFonts w:cstheme="minorHAnsi"/>
        </w:rPr>
        <w:t>i</w:t>
      </w:r>
      <w:r w:rsidR="006D00C0" w:rsidRPr="00001F7B">
        <w:rPr>
          <w:rFonts w:cstheme="minorHAnsi"/>
        </w:rPr>
        <w:t>form law</w:t>
      </w:r>
      <w:r w:rsidR="007220AF" w:rsidRPr="00001F7B">
        <w:rPr>
          <w:rFonts w:cstheme="minorHAnsi"/>
        </w:rPr>
        <w:t xml:space="preserve"> </w:t>
      </w:r>
      <w:r w:rsidR="00A32ABE" w:rsidRPr="00001F7B">
        <w:rPr>
          <w:rFonts w:cstheme="minorHAnsi"/>
        </w:rPr>
        <w:t xml:space="preserve">conventions </w:t>
      </w:r>
      <w:r w:rsidR="007220AF" w:rsidRPr="00001F7B">
        <w:rPr>
          <w:rFonts w:cstheme="minorHAnsi"/>
        </w:rPr>
        <w:t>generally</w:t>
      </w:r>
      <w:r w:rsidR="006D00C0" w:rsidRPr="00001F7B">
        <w:rPr>
          <w:rFonts w:cstheme="minorHAnsi"/>
        </w:rPr>
        <w:t xml:space="preserve"> suggest</w:t>
      </w:r>
      <w:r w:rsidR="00E46390" w:rsidRPr="00001F7B">
        <w:rPr>
          <w:rFonts w:cstheme="minorHAnsi"/>
        </w:rPr>
        <w:t>s that much</w:t>
      </w:r>
      <w:r w:rsidR="006D00C0" w:rsidRPr="00001F7B">
        <w:rPr>
          <w:rFonts w:cstheme="minorHAnsi"/>
        </w:rPr>
        <w:t xml:space="preserve"> the same appro</w:t>
      </w:r>
      <w:r w:rsidR="004B477C" w:rsidRPr="00001F7B">
        <w:rPr>
          <w:rFonts w:cstheme="minorHAnsi"/>
        </w:rPr>
        <w:t>a</w:t>
      </w:r>
      <w:r w:rsidR="006D00C0" w:rsidRPr="00001F7B">
        <w:rPr>
          <w:rFonts w:cstheme="minorHAnsi"/>
        </w:rPr>
        <w:t xml:space="preserve">ch should </w:t>
      </w:r>
      <w:r w:rsidR="004B477C" w:rsidRPr="00001F7B">
        <w:rPr>
          <w:rFonts w:cstheme="minorHAnsi"/>
        </w:rPr>
        <w:t>be applied sinc</w:t>
      </w:r>
      <w:r w:rsidR="007220AF" w:rsidRPr="00001F7B">
        <w:rPr>
          <w:rFonts w:cstheme="minorHAnsi"/>
        </w:rPr>
        <w:t>e they are</w:t>
      </w:r>
      <w:r w:rsidR="004B477C" w:rsidRPr="00001F7B">
        <w:rPr>
          <w:rFonts w:cstheme="minorHAnsi"/>
        </w:rPr>
        <w:t xml:space="preserve"> an autonomous part of the civil law.</w:t>
      </w:r>
      <w:r w:rsidR="004B477C" w:rsidRPr="00001F7B">
        <w:rPr>
          <w:rStyle w:val="FootnoteReference"/>
          <w:rFonts w:cstheme="minorHAnsi"/>
        </w:rPr>
        <w:footnoteReference w:id="16"/>
      </w:r>
      <w:r w:rsidR="00BE7445" w:rsidRPr="00001F7B">
        <w:rPr>
          <w:rFonts w:cstheme="minorHAnsi"/>
        </w:rPr>
        <w:t xml:space="preserve"> </w:t>
      </w:r>
      <w:r w:rsidR="00A70F19" w:rsidRPr="00001F7B">
        <w:rPr>
          <w:rFonts w:cstheme="minorHAnsi"/>
        </w:rPr>
        <w:br/>
      </w:r>
      <w:r w:rsidR="00BE7445" w:rsidRPr="00001F7B">
        <w:rPr>
          <w:rFonts w:cstheme="minorHAnsi"/>
        </w:rPr>
        <w:br/>
        <w:t xml:space="preserve">The autonomous approach is said to have </w:t>
      </w:r>
      <w:r w:rsidR="00CB26E4" w:rsidRPr="00001F7B">
        <w:rPr>
          <w:rFonts w:cstheme="minorHAnsi"/>
        </w:rPr>
        <w:t>two sense</w:t>
      </w:r>
      <w:r w:rsidR="00876703" w:rsidRPr="00001F7B">
        <w:rPr>
          <w:rFonts w:cstheme="minorHAnsi"/>
        </w:rPr>
        <w:t>s, negative and positive</w:t>
      </w:r>
      <w:r w:rsidR="00BE7445" w:rsidRPr="00001F7B">
        <w:rPr>
          <w:rFonts w:cstheme="minorHAnsi"/>
        </w:rPr>
        <w:t>.</w:t>
      </w:r>
      <w:r w:rsidR="005519E4" w:rsidRPr="00001F7B">
        <w:rPr>
          <w:rFonts w:cstheme="minorHAnsi"/>
        </w:rPr>
        <w:t xml:space="preserve"> The negative </w:t>
      </w:r>
      <w:r w:rsidR="00CB26E4" w:rsidRPr="00001F7B">
        <w:rPr>
          <w:rFonts w:cstheme="minorHAnsi"/>
        </w:rPr>
        <w:t xml:space="preserve">sense is the commonly stated sense which </w:t>
      </w:r>
      <w:r w:rsidR="005519E4" w:rsidRPr="00001F7B">
        <w:rPr>
          <w:rFonts w:cstheme="minorHAnsi"/>
        </w:rPr>
        <w:t>eschews direct reliance on domestic concepts and methods.</w:t>
      </w:r>
      <w:r w:rsidR="005519E4" w:rsidRPr="00001F7B">
        <w:rPr>
          <w:rStyle w:val="FootnoteReference"/>
          <w:rFonts w:cstheme="minorHAnsi"/>
        </w:rPr>
        <w:footnoteReference w:id="17"/>
      </w:r>
      <w:r w:rsidR="00CB26E4" w:rsidRPr="00001F7B">
        <w:rPr>
          <w:rFonts w:cstheme="minorHAnsi"/>
        </w:rPr>
        <w:t xml:space="preserve"> </w:t>
      </w:r>
      <w:r w:rsidR="00CF5654" w:rsidRPr="00001F7B">
        <w:rPr>
          <w:rFonts w:cstheme="minorHAnsi"/>
        </w:rPr>
        <w:t xml:space="preserve">This sense </w:t>
      </w:r>
      <w:r w:rsidR="00694AF7" w:rsidRPr="00001F7B">
        <w:rPr>
          <w:rFonts w:cstheme="minorHAnsi"/>
        </w:rPr>
        <w:t>has been</w:t>
      </w:r>
      <w:r w:rsidR="0057763A" w:rsidRPr="00001F7B">
        <w:rPr>
          <w:rFonts w:cstheme="minorHAnsi"/>
        </w:rPr>
        <w:t xml:space="preserve"> </w:t>
      </w:r>
      <w:r w:rsidR="00876703" w:rsidRPr="00001F7B">
        <w:rPr>
          <w:rFonts w:cstheme="minorHAnsi"/>
        </w:rPr>
        <w:t>said to</w:t>
      </w:r>
      <w:r w:rsidR="00CF5654" w:rsidRPr="00001F7B">
        <w:rPr>
          <w:rFonts w:cstheme="minorHAnsi"/>
        </w:rPr>
        <w:t xml:space="preserve"> have weak</w:t>
      </w:r>
      <w:r w:rsidR="00876703" w:rsidRPr="00001F7B">
        <w:rPr>
          <w:rFonts w:cstheme="minorHAnsi"/>
        </w:rPr>
        <w:t>,</w:t>
      </w:r>
      <w:r w:rsidR="00CF5654" w:rsidRPr="00001F7B">
        <w:rPr>
          <w:rFonts w:cstheme="minorHAnsi"/>
        </w:rPr>
        <w:t xml:space="preserve"> strong</w:t>
      </w:r>
      <w:r w:rsidR="00876703" w:rsidRPr="00001F7B">
        <w:rPr>
          <w:rFonts w:cstheme="minorHAnsi"/>
        </w:rPr>
        <w:t xml:space="preserve"> or</w:t>
      </w:r>
      <w:r w:rsidR="00CF5654" w:rsidRPr="00001F7B">
        <w:rPr>
          <w:rFonts w:cstheme="minorHAnsi"/>
        </w:rPr>
        <w:t xml:space="preserve"> uniform versions</w:t>
      </w:r>
      <w:r w:rsidR="0057763A" w:rsidRPr="00001F7B">
        <w:rPr>
          <w:rFonts w:cstheme="minorHAnsi"/>
        </w:rPr>
        <w:t>.</w:t>
      </w:r>
      <w:r w:rsidR="0097367E" w:rsidRPr="00001F7B">
        <w:rPr>
          <w:rStyle w:val="FootnoteReference"/>
          <w:rFonts w:cstheme="minorHAnsi"/>
        </w:rPr>
        <w:footnoteReference w:id="18"/>
      </w:r>
      <w:r w:rsidR="00CF5654" w:rsidRPr="00001F7B">
        <w:rPr>
          <w:rFonts w:cstheme="minorHAnsi"/>
        </w:rPr>
        <w:t xml:space="preserve"> </w:t>
      </w:r>
      <w:r w:rsidR="00876703" w:rsidRPr="00001F7B">
        <w:rPr>
          <w:rFonts w:cstheme="minorHAnsi"/>
        </w:rPr>
        <w:t>The</w:t>
      </w:r>
      <w:r w:rsidR="00CB26E4" w:rsidRPr="00001F7B">
        <w:rPr>
          <w:rFonts w:cstheme="minorHAnsi"/>
        </w:rPr>
        <w:t xml:space="preserve"> positive sense</w:t>
      </w:r>
      <w:r w:rsidR="00B046F6" w:rsidRPr="00001F7B">
        <w:rPr>
          <w:rFonts w:cstheme="minorHAnsi"/>
        </w:rPr>
        <w:t xml:space="preserve"> generally indicates that a Convention’s terms and concepts are to be interpreted in the context o</w:t>
      </w:r>
      <w:r w:rsidR="00A8510C" w:rsidRPr="00001F7B">
        <w:rPr>
          <w:rFonts w:cstheme="minorHAnsi"/>
        </w:rPr>
        <w:t>f</w:t>
      </w:r>
      <w:r w:rsidR="00B046F6" w:rsidRPr="00001F7B">
        <w:rPr>
          <w:rFonts w:cstheme="minorHAnsi"/>
        </w:rPr>
        <w:t xml:space="preserve"> the Convention itself</w:t>
      </w:r>
      <w:r w:rsidR="002238E5" w:rsidRPr="00001F7B">
        <w:rPr>
          <w:rFonts w:cstheme="minorHAnsi"/>
        </w:rPr>
        <w:t>,</w:t>
      </w:r>
      <w:r w:rsidR="00BD115C" w:rsidRPr="00001F7B">
        <w:rPr>
          <w:rFonts w:cstheme="minorHAnsi"/>
        </w:rPr>
        <w:t xml:space="preserve"> i.e.,</w:t>
      </w:r>
      <w:r w:rsidR="002238E5" w:rsidRPr="00001F7B">
        <w:rPr>
          <w:rFonts w:cstheme="minorHAnsi"/>
        </w:rPr>
        <w:t xml:space="preserve"> “If they are to be regarded as independent terms and concepts, they must be interpreted by reference to the Convention’s own system and objectives.”</w:t>
      </w:r>
      <w:r w:rsidR="00B046F6" w:rsidRPr="00001F7B">
        <w:rPr>
          <w:rStyle w:val="FootnoteReference"/>
          <w:rFonts w:cstheme="minorHAnsi"/>
        </w:rPr>
        <w:footnoteReference w:id="19"/>
      </w:r>
      <w:r w:rsidR="00A8510C" w:rsidRPr="00001F7B">
        <w:rPr>
          <w:rFonts w:cstheme="minorHAnsi"/>
        </w:rPr>
        <w:t xml:space="preserve"> </w:t>
      </w:r>
      <w:r w:rsidR="00873B51" w:rsidRPr="00001F7B">
        <w:rPr>
          <w:rFonts w:cstheme="minorHAnsi"/>
        </w:rPr>
        <w:t xml:space="preserve">Connected with this are varying views as to </w:t>
      </w:r>
      <w:r w:rsidR="00CD5BC4" w:rsidRPr="00001F7B">
        <w:rPr>
          <w:rFonts w:cstheme="minorHAnsi"/>
        </w:rPr>
        <w:t xml:space="preserve">methodology. As Roth and </w:t>
      </w:r>
      <w:proofErr w:type="spellStart"/>
      <w:r w:rsidR="00CD5BC4" w:rsidRPr="00001F7B">
        <w:rPr>
          <w:rFonts w:cstheme="minorHAnsi"/>
        </w:rPr>
        <w:t>Happ</w:t>
      </w:r>
      <w:proofErr w:type="spellEnd"/>
      <w:r w:rsidR="00CD5BC4" w:rsidRPr="00001F7B">
        <w:rPr>
          <w:rFonts w:cstheme="minorHAnsi"/>
        </w:rPr>
        <w:t xml:space="preserve"> state</w:t>
      </w:r>
      <w:r w:rsidR="005E6A94" w:rsidRPr="00001F7B">
        <w:rPr>
          <w:rFonts w:cstheme="minorHAnsi"/>
        </w:rPr>
        <w:t>,</w:t>
      </w:r>
      <w:r w:rsidR="005E6A94" w:rsidRPr="00001F7B">
        <w:rPr>
          <w:rStyle w:val="FootnoteReference"/>
          <w:rFonts w:cstheme="minorHAnsi"/>
        </w:rPr>
        <w:footnoteReference w:id="20"/>
      </w:r>
      <w:r w:rsidR="001D6067" w:rsidRPr="00001F7B">
        <w:rPr>
          <w:rFonts w:cstheme="minorHAnsi"/>
        </w:rPr>
        <w:t xml:space="preserve"> the meaning of words and phrases used in a uniform law instrument must be found within that instrument but that as regards methodology, it is usually not sufficient to confine oneself to consideration of the legal instrument to be interpreted since this tends to be silent on this issue.</w:t>
      </w:r>
      <w:r w:rsidR="00D0506B" w:rsidRPr="00001F7B">
        <w:rPr>
          <w:rStyle w:val="FootnoteReference"/>
          <w:rFonts w:cstheme="minorHAnsi"/>
        </w:rPr>
        <w:footnoteReference w:id="21"/>
      </w:r>
      <w:r w:rsidR="00D0506B" w:rsidRPr="00001F7B">
        <w:rPr>
          <w:rFonts w:cstheme="minorHAnsi"/>
        </w:rPr>
        <w:t xml:space="preserve">  </w:t>
      </w:r>
      <w:r w:rsidR="00167D52" w:rsidRPr="00001F7B">
        <w:rPr>
          <w:rFonts w:cstheme="minorHAnsi"/>
        </w:rPr>
        <w:t>T</w:t>
      </w:r>
      <w:r w:rsidR="00BE704C" w:rsidRPr="00001F7B">
        <w:rPr>
          <w:rFonts w:cstheme="minorHAnsi"/>
        </w:rPr>
        <w:t>hey conclude that “the advocates of autonomous interpretation may actually be said to derive the meaning of terms from the wording in context, bearing object and purpose in mind and resorting to the preparatory work of the treaty where necessary.”</w:t>
      </w:r>
      <w:r w:rsidR="00D25BC8" w:rsidRPr="00001F7B">
        <w:rPr>
          <w:rStyle w:val="FootnoteReference"/>
          <w:rFonts w:cstheme="minorHAnsi"/>
        </w:rPr>
        <w:footnoteReference w:id="22"/>
      </w:r>
      <w:r w:rsidR="0050332E" w:rsidRPr="00001F7B">
        <w:rPr>
          <w:rFonts w:cstheme="minorHAnsi"/>
        </w:rPr>
        <w:t xml:space="preserve"> </w:t>
      </w:r>
      <w:r w:rsidR="00165D05" w:rsidRPr="00001F7B">
        <w:rPr>
          <w:rFonts w:cstheme="minorHAnsi"/>
        </w:rPr>
        <w:t xml:space="preserve"> </w:t>
      </w:r>
      <w:r w:rsidR="00BA6317" w:rsidRPr="00001F7B">
        <w:rPr>
          <w:rFonts w:cstheme="minorHAnsi"/>
        </w:rPr>
        <w:t xml:space="preserve">A further element </w:t>
      </w:r>
      <w:r w:rsidR="00B10764" w:rsidRPr="00001F7B">
        <w:rPr>
          <w:rFonts w:cstheme="minorHAnsi"/>
        </w:rPr>
        <w:t xml:space="preserve">to be added is reference to </w:t>
      </w:r>
      <w:r w:rsidR="00932840" w:rsidRPr="00001F7B">
        <w:rPr>
          <w:rFonts w:cstheme="minorHAnsi"/>
        </w:rPr>
        <w:t>foreign decisions on the issue in point.</w:t>
      </w:r>
      <w:r w:rsidR="00932840" w:rsidRPr="00001F7B">
        <w:rPr>
          <w:rStyle w:val="FootnoteReference"/>
          <w:rFonts w:cstheme="minorHAnsi"/>
        </w:rPr>
        <w:footnoteReference w:id="23"/>
      </w:r>
      <w:r w:rsidR="00932840" w:rsidRPr="00001F7B">
        <w:rPr>
          <w:rFonts w:cstheme="minorHAnsi"/>
        </w:rPr>
        <w:t xml:space="preserve">  </w:t>
      </w:r>
      <w:proofErr w:type="spellStart"/>
      <w:r w:rsidR="00935983" w:rsidRPr="00001F7B">
        <w:rPr>
          <w:rFonts w:cstheme="minorHAnsi"/>
        </w:rPr>
        <w:t>Haak</w:t>
      </w:r>
      <w:proofErr w:type="spellEnd"/>
      <w:r w:rsidR="00935983" w:rsidRPr="00001F7B">
        <w:rPr>
          <w:rFonts w:cstheme="minorHAnsi"/>
        </w:rPr>
        <w:t xml:space="preserve">, discussing CMR also refers to the </w:t>
      </w:r>
      <w:r w:rsidR="009523B6" w:rsidRPr="00001F7B">
        <w:rPr>
          <w:rFonts w:cstheme="minorHAnsi"/>
        </w:rPr>
        <w:t>pr</w:t>
      </w:r>
      <w:r w:rsidR="00B34BF9" w:rsidRPr="00001F7B">
        <w:rPr>
          <w:rFonts w:cstheme="minorHAnsi"/>
        </w:rPr>
        <w:t>o</w:t>
      </w:r>
      <w:r w:rsidR="009523B6" w:rsidRPr="00001F7B">
        <w:rPr>
          <w:rFonts w:cstheme="minorHAnsi"/>
        </w:rPr>
        <w:t>hibitive</w:t>
      </w:r>
      <w:r w:rsidR="00935983" w:rsidRPr="00001F7B">
        <w:rPr>
          <w:rFonts w:cstheme="minorHAnsi"/>
        </w:rPr>
        <w:t xml:space="preserve"> </w:t>
      </w:r>
      <w:r w:rsidR="00B34BF9" w:rsidRPr="00001F7B">
        <w:rPr>
          <w:rFonts w:cstheme="minorHAnsi"/>
        </w:rPr>
        <w:t xml:space="preserve">aspect </w:t>
      </w:r>
      <w:r w:rsidR="00935983" w:rsidRPr="00001F7B">
        <w:rPr>
          <w:rFonts w:cstheme="minorHAnsi"/>
        </w:rPr>
        <w:t xml:space="preserve">and </w:t>
      </w:r>
      <w:r w:rsidR="00B34BF9" w:rsidRPr="00001F7B">
        <w:rPr>
          <w:rFonts w:cstheme="minorHAnsi"/>
        </w:rPr>
        <w:t xml:space="preserve">the directive </w:t>
      </w:r>
      <w:r w:rsidR="00315382" w:rsidRPr="00001F7B">
        <w:rPr>
          <w:rFonts w:cstheme="minorHAnsi"/>
        </w:rPr>
        <w:t>o</w:t>
      </w:r>
      <w:r w:rsidR="00B34BF9" w:rsidRPr="00001F7B">
        <w:rPr>
          <w:rFonts w:cstheme="minorHAnsi"/>
        </w:rPr>
        <w:t>r prescriptive aspect</w:t>
      </w:r>
      <w:r w:rsidR="00935983" w:rsidRPr="00001F7B">
        <w:rPr>
          <w:rFonts w:cstheme="minorHAnsi"/>
        </w:rPr>
        <w:t xml:space="preserve"> of autonomy.</w:t>
      </w:r>
      <w:r w:rsidR="00935983" w:rsidRPr="00001F7B">
        <w:rPr>
          <w:rStyle w:val="FootnoteReference"/>
          <w:rFonts w:cstheme="minorHAnsi"/>
        </w:rPr>
        <w:footnoteReference w:id="24"/>
      </w:r>
    </w:p>
    <w:p w14:paraId="31F3949F" w14:textId="4491D7F1" w:rsidR="008E31E6" w:rsidRPr="00001F7B" w:rsidRDefault="00817699" w:rsidP="00001F7B">
      <w:pPr>
        <w:rPr>
          <w:rFonts w:cstheme="minorHAnsi"/>
        </w:rPr>
      </w:pPr>
      <w:r w:rsidRPr="00001F7B">
        <w:rPr>
          <w:rFonts w:cstheme="minorHAnsi"/>
        </w:rPr>
        <w:t>As Roth an</w:t>
      </w:r>
      <w:r w:rsidR="007524E3" w:rsidRPr="00001F7B">
        <w:rPr>
          <w:rFonts w:cstheme="minorHAnsi"/>
        </w:rPr>
        <w:t>d</w:t>
      </w:r>
      <w:r w:rsidRPr="00001F7B">
        <w:rPr>
          <w:rFonts w:cstheme="minorHAnsi"/>
        </w:rPr>
        <w:t xml:space="preserve"> </w:t>
      </w:r>
      <w:proofErr w:type="spellStart"/>
      <w:r w:rsidRPr="00001F7B">
        <w:rPr>
          <w:rFonts w:cstheme="minorHAnsi"/>
        </w:rPr>
        <w:t>Happ</w:t>
      </w:r>
      <w:proofErr w:type="spellEnd"/>
      <w:r w:rsidR="00284BAD" w:rsidRPr="00001F7B">
        <w:rPr>
          <w:rStyle w:val="FootnoteReference"/>
          <w:rFonts w:cstheme="minorHAnsi"/>
        </w:rPr>
        <w:footnoteReference w:id="25"/>
      </w:r>
      <w:r w:rsidR="00932840" w:rsidRPr="00001F7B">
        <w:rPr>
          <w:rFonts w:cstheme="minorHAnsi"/>
        </w:rPr>
        <w:t xml:space="preserve"> </w:t>
      </w:r>
      <w:r w:rsidR="005D2876" w:rsidRPr="00001F7B">
        <w:rPr>
          <w:rFonts w:cstheme="minorHAnsi"/>
        </w:rPr>
        <w:t>suggest therefore there is a similarity between the Vienna Rules and the methodology that is said to be adopted by advocates of autonomy</w:t>
      </w:r>
      <w:r w:rsidR="00BE7692" w:rsidRPr="00001F7B">
        <w:rPr>
          <w:rFonts w:cstheme="minorHAnsi"/>
        </w:rPr>
        <w:t>.</w:t>
      </w:r>
      <w:r w:rsidR="005D2876" w:rsidRPr="00001F7B">
        <w:rPr>
          <w:rFonts w:cstheme="minorHAnsi"/>
        </w:rPr>
        <w:t xml:space="preserve"> </w:t>
      </w:r>
      <w:r w:rsidR="00BE7692" w:rsidRPr="00001F7B">
        <w:rPr>
          <w:rFonts w:cstheme="minorHAnsi"/>
        </w:rPr>
        <w:t>Nevertheless,</w:t>
      </w:r>
      <w:r w:rsidR="00285A72" w:rsidRPr="00001F7B">
        <w:rPr>
          <w:rFonts w:cstheme="minorHAnsi"/>
        </w:rPr>
        <w:t xml:space="preserve"> they are advocates of the Vienna Rules as a means of promoting uniformity not least </w:t>
      </w:r>
      <w:r w:rsidR="007755FD" w:rsidRPr="00001F7B">
        <w:rPr>
          <w:rFonts w:cstheme="minorHAnsi"/>
        </w:rPr>
        <w:t xml:space="preserve">because, unlike the </w:t>
      </w:r>
      <w:r w:rsidR="000E6816" w:rsidRPr="00001F7B">
        <w:rPr>
          <w:rFonts w:cstheme="minorHAnsi"/>
        </w:rPr>
        <w:t>‘</w:t>
      </w:r>
      <w:r w:rsidR="007755FD" w:rsidRPr="00001F7B">
        <w:rPr>
          <w:rFonts w:cstheme="minorHAnsi"/>
        </w:rPr>
        <w:t>autonomous approach</w:t>
      </w:r>
      <w:r w:rsidR="000E6816" w:rsidRPr="00001F7B">
        <w:rPr>
          <w:rFonts w:cstheme="minorHAnsi"/>
        </w:rPr>
        <w:t>’</w:t>
      </w:r>
      <w:r w:rsidR="007755FD" w:rsidRPr="00001F7B">
        <w:rPr>
          <w:rFonts w:cstheme="minorHAnsi"/>
        </w:rPr>
        <w:t xml:space="preserve">, </w:t>
      </w:r>
      <w:r w:rsidR="00285A72" w:rsidRPr="00001F7B">
        <w:rPr>
          <w:rFonts w:cstheme="minorHAnsi"/>
        </w:rPr>
        <w:t xml:space="preserve">they are said to </w:t>
      </w:r>
      <w:r w:rsidR="00285A72" w:rsidRPr="00001F7B">
        <w:rPr>
          <w:rFonts w:cstheme="minorHAnsi"/>
          <w:i/>
          <w:iCs/>
        </w:rPr>
        <w:t>require</w:t>
      </w:r>
      <w:r w:rsidR="00285A72" w:rsidRPr="00001F7B">
        <w:rPr>
          <w:rFonts w:cstheme="minorHAnsi"/>
        </w:rPr>
        <w:t xml:space="preserve"> consideration of foreign decisions</w:t>
      </w:r>
      <w:r w:rsidR="00F13409" w:rsidRPr="00001F7B">
        <w:rPr>
          <w:rFonts w:cstheme="minorHAnsi"/>
        </w:rPr>
        <w:t xml:space="preserve"> and</w:t>
      </w:r>
      <w:r w:rsidR="00285A72" w:rsidRPr="00001F7B">
        <w:rPr>
          <w:rFonts w:cstheme="minorHAnsi"/>
        </w:rPr>
        <w:t xml:space="preserve"> not simply </w:t>
      </w:r>
      <w:r w:rsidR="00F13409" w:rsidRPr="00001F7B">
        <w:rPr>
          <w:rFonts w:cstheme="minorHAnsi"/>
        </w:rPr>
        <w:t xml:space="preserve">to </w:t>
      </w:r>
      <w:r w:rsidR="007755FD" w:rsidRPr="00001F7B">
        <w:rPr>
          <w:rFonts w:cstheme="minorHAnsi"/>
        </w:rPr>
        <w:t>allow this.</w:t>
      </w:r>
      <w:r w:rsidR="00F13409" w:rsidRPr="00001F7B">
        <w:rPr>
          <w:rStyle w:val="FootnoteReference"/>
          <w:rFonts w:cstheme="minorHAnsi"/>
        </w:rPr>
        <w:footnoteReference w:id="26"/>
      </w:r>
      <w:r w:rsidR="007755FD" w:rsidRPr="00001F7B">
        <w:rPr>
          <w:rFonts w:cstheme="minorHAnsi"/>
        </w:rPr>
        <w:t xml:space="preserve"> </w:t>
      </w:r>
      <w:r w:rsidR="00FB24A7" w:rsidRPr="00001F7B">
        <w:rPr>
          <w:rFonts w:cstheme="minorHAnsi"/>
        </w:rPr>
        <w:t xml:space="preserve">For </w:t>
      </w:r>
      <w:proofErr w:type="spellStart"/>
      <w:r w:rsidR="00FB24A7" w:rsidRPr="00001F7B">
        <w:rPr>
          <w:rFonts w:cstheme="minorHAnsi"/>
        </w:rPr>
        <w:t>Gebau</w:t>
      </w:r>
      <w:r w:rsidR="00654ACF" w:rsidRPr="00001F7B">
        <w:rPr>
          <w:rFonts w:cstheme="minorHAnsi"/>
        </w:rPr>
        <w:t>e</w:t>
      </w:r>
      <w:r w:rsidR="00FB24A7" w:rsidRPr="00001F7B">
        <w:rPr>
          <w:rFonts w:cstheme="minorHAnsi"/>
        </w:rPr>
        <w:t>r</w:t>
      </w:r>
      <w:proofErr w:type="spellEnd"/>
      <w:r w:rsidR="005D2876" w:rsidRPr="00001F7B">
        <w:rPr>
          <w:rFonts w:cstheme="minorHAnsi"/>
        </w:rPr>
        <w:t>,</w:t>
      </w:r>
      <w:r w:rsidR="00654ACF" w:rsidRPr="00001F7B">
        <w:rPr>
          <w:rStyle w:val="FootnoteReference"/>
          <w:rFonts w:cstheme="minorHAnsi"/>
        </w:rPr>
        <w:footnoteReference w:id="27"/>
      </w:r>
      <w:r w:rsidR="00654ACF" w:rsidRPr="00001F7B">
        <w:rPr>
          <w:rFonts w:cstheme="minorHAnsi"/>
        </w:rPr>
        <w:t xml:space="preserve"> </w:t>
      </w:r>
      <w:r w:rsidR="00BE7692" w:rsidRPr="00001F7B">
        <w:rPr>
          <w:rFonts w:cstheme="minorHAnsi"/>
        </w:rPr>
        <w:t xml:space="preserve">this difference prompts him to make the point that uniformity of result is not the sole (or even supreme) objective of interpreting uniform law. The solution must not just be uniform but be right. </w:t>
      </w:r>
      <w:r w:rsidR="00E42595" w:rsidRPr="00001F7B">
        <w:rPr>
          <w:rFonts w:cstheme="minorHAnsi"/>
        </w:rPr>
        <w:t xml:space="preserve">A final point from </w:t>
      </w:r>
      <w:proofErr w:type="spellStart"/>
      <w:r w:rsidR="00E42595" w:rsidRPr="00001F7B">
        <w:rPr>
          <w:rFonts w:cstheme="minorHAnsi"/>
        </w:rPr>
        <w:t>Gebauer</w:t>
      </w:r>
      <w:proofErr w:type="spellEnd"/>
      <w:r w:rsidR="00E42595" w:rsidRPr="00001F7B">
        <w:rPr>
          <w:rFonts w:cstheme="minorHAnsi"/>
        </w:rPr>
        <w:t xml:space="preserve"> </w:t>
      </w:r>
      <w:r w:rsidR="00F572FA" w:rsidRPr="00001F7B">
        <w:rPr>
          <w:rFonts w:cstheme="minorHAnsi"/>
        </w:rPr>
        <w:t>with a potentially</w:t>
      </w:r>
      <w:r w:rsidR="00E42595" w:rsidRPr="00001F7B">
        <w:rPr>
          <w:rFonts w:cstheme="minorHAnsi"/>
        </w:rPr>
        <w:t xml:space="preserve"> valuable perspective</w:t>
      </w:r>
      <w:r w:rsidR="00756DE5" w:rsidRPr="00001F7B">
        <w:rPr>
          <w:rFonts w:cstheme="minorHAnsi"/>
        </w:rPr>
        <w:t xml:space="preserve"> is the consideration that</w:t>
      </w:r>
      <w:r w:rsidR="00117093" w:rsidRPr="00001F7B">
        <w:rPr>
          <w:rFonts w:cstheme="minorHAnsi"/>
        </w:rPr>
        <w:t xml:space="preserve"> </w:t>
      </w:r>
      <w:r w:rsidR="00B578E4" w:rsidRPr="00001F7B">
        <w:rPr>
          <w:rFonts w:cstheme="minorHAnsi"/>
        </w:rPr>
        <w:t>autonomous interpretation is not an additional method of interpretation, rather it is a principle of interpretation which gives preference to a particular kind of teleological and systemic argument in interpreting a legal text.</w:t>
      </w:r>
      <w:r w:rsidR="00B578E4" w:rsidRPr="00001F7B">
        <w:rPr>
          <w:rStyle w:val="FootnoteReference"/>
          <w:rFonts w:cstheme="minorHAnsi"/>
        </w:rPr>
        <w:footnoteReference w:id="28"/>
      </w:r>
      <w:r w:rsidR="002607F7" w:rsidRPr="00001F7B">
        <w:rPr>
          <w:rFonts w:cstheme="minorHAnsi"/>
        </w:rPr>
        <w:t xml:space="preserve"> </w:t>
      </w:r>
      <w:proofErr w:type="spellStart"/>
      <w:r w:rsidR="00E24F06" w:rsidRPr="00001F7B">
        <w:rPr>
          <w:rFonts w:cstheme="minorHAnsi"/>
        </w:rPr>
        <w:t>Haak</w:t>
      </w:r>
      <w:proofErr w:type="spellEnd"/>
      <w:r w:rsidR="00E24F06" w:rsidRPr="00001F7B">
        <w:rPr>
          <w:rFonts w:cstheme="minorHAnsi"/>
        </w:rPr>
        <w:t xml:space="preserve"> sees a similar role for teleology.</w:t>
      </w:r>
      <w:r w:rsidR="00612AB6" w:rsidRPr="00001F7B">
        <w:rPr>
          <w:rStyle w:val="FootnoteReference"/>
          <w:rFonts w:cstheme="minorHAnsi"/>
        </w:rPr>
        <w:footnoteReference w:id="29"/>
      </w:r>
      <w:r w:rsidR="008E31E6" w:rsidRPr="00001F7B">
        <w:rPr>
          <w:rFonts w:cstheme="minorHAnsi"/>
        </w:rPr>
        <w:t xml:space="preserve"> </w:t>
      </w:r>
    </w:p>
    <w:p w14:paraId="5D17D683" w14:textId="2C94C7CD" w:rsidR="003B523F" w:rsidRPr="00001F7B" w:rsidRDefault="00634B8E" w:rsidP="00001F7B">
      <w:pPr>
        <w:rPr>
          <w:rFonts w:cstheme="minorHAnsi"/>
        </w:rPr>
      </w:pPr>
      <w:r w:rsidRPr="00001F7B">
        <w:rPr>
          <w:rFonts w:cstheme="minorHAnsi"/>
        </w:rPr>
        <w:t>A</w:t>
      </w:r>
      <w:r w:rsidR="00E353B8" w:rsidRPr="00001F7B">
        <w:rPr>
          <w:rFonts w:cstheme="minorHAnsi"/>
        </w:rPr>
        <w:t xml:space="preserve"> final point to be made here is that uniformity of interpretation is a natural part of uniform law since </w:t>
      </w:r>
      <w:r w:rsidR="005E7328" w:rsidRPr="00001F7B">
        <w:rPr>
          <w:rFonts w:cstheme="minorHAnsi"/>
        </w:rPr>
        <w:t xml:space="preserve">the object is to apply the law over time to the resolution of disputes. </w:t>
      </w:r>
      <w:r w:rsidR="00770803" w:rsidRPr="00001F7B">
        <w:rPr>
          <w:rFonts w:cstheme="minorHAnsi"/>
        </w:rPr>
        <w:t>A</w:t>
      </w:r>
      <w:r w:rsidR="005E7328" w:rsidRPr="00001F7B">
        <w:rPr>
          <w:rFonts w:cstheme="minorHAnsi"/>
        </w:rPr>
        <w:t xml:space="preserve">utonomy </w:t>
      </w:r>
      <w:r w:rsidR="00770803" w:rsidRPr="00001F7B">
        <w:rPr>
          <w:rFonts w:cstheme="minorHAnsi"/>
        </w:rPr>
        <w:t xml:space="preserve">clearly </w:t>
      </w:r>
      <w:r w:rsidR="005E7328" w:rsidRPr="00001F7B">
        <w:rPr>
          <w:rFonts w:cstheme="minorHAnsi"/>
        </w:rPr>
        <w:t>has a particular role in that respect</w:t>
      </w:r>
      <w:r w:rsidR="00770803" w:rsidRPr="00001F7B">
        <w:rPr>
          <w:rFonts w:cstheme="minorHAnsi"/>
        </w:rPr>
        <w:t>. However,</w:t>
      </w:r>
      <w:r w:rsidR="005E7328" w:rsidRPr="00001F7B">
        <w:rPr>
          <w:rFonts w:cstheme="minorHAnsi"/>
        </w:rPr>
        <w:t xml:space="preserve"> it is </w:t>
      </w:r>
      <w:r w:rsidR="00770803" w:rsidRPr="00001F7B">
        <w:rPr>
          <w:rFonts w:cstheme="minorHAnsi"/>
        </w:rPr>
        <w:t xml:space="preserve">also </w:t>
      </w:r>
      <w:r w:rsidR="005E7328" w:rsidRPr="00001F7B">
        <w:rPr>
          <w:rFonts w:cstheme="minorHAnsi"/>
        </w:rPr>
        <w:t xml:space="preserve">surely a natural concomitant of </w:t>
      </w:r>
      <w:r w:rsidR="001051FB" w:rsidRPr="00001F7B">
        <w:rPr>
          <w:rFonts w:cstheme="minorHAnsi"/>
        </w:rPr>
        <w:t>i</w:t>
      </w:r>
      <w:r w:rsidR="005E7328" w:rsidRPr="00001F7B">
        <w:rPr>
          <w:rFonts w:cstheme="minorHAnsi"/>
        </w:rPr>
        <w:t xml:space="preserve">nternational </w:t>
      </w:r>
      <w:r w:rsidR="001051FB" w:rsidRPr="00001F7B">
        <w:rPr>
          <w:rFonts w:cstheme="minorHAnsi"/>
        </w:rPr>
        <w:t>l</w:t>
      </w:r>
      <w:r w:rsidR="005E7328" w:rsidRPr="00001F7B">
        <w:rPr>
          <w:rFonts w:cstheme="minorHAnsi"/>
        </w:rPr>
        <w:t xml:space="preserve">aw </w:t>
      </w:r>
      <w:r w:rsidR="00770803" w:rsidRPr="00001F7B">
        <w:rPr>
          <w:rFonts w:cstheme="minorHAnsi"/>
        </w:rPr>
        <w:t xml:space="preserve">generally </w:t>
      </w:r>
      <w:r w:rsidR="005E7328" w:rsidRPr="00001F7B">
        <w:rPr>
          <w:rFonts w:cstheme="minorHAnsi"/>
        </w:rPr>
        <w:t>in any case</w:t>
      </w:r>
      <w:r w:rsidR="00515D2C" w:rsidRPr="00001F7B">
        <w:rPr>
          <w:rFonts w:cstheme="minorHAnsi"/>
        </w:rPr>
        <w:t xml:space="preserve"> (see further below)</w:t>
      </w:r>
      <w:r w:rsidR="005E7328" w:rsidRPr="00001F7B">
        <w:rPr>
          <w:rFonts w:cstheme="minorHAnsi"/>
        </w:rPr>
        <w:t xml:space="preserve">. All </w:t>
      </w:r>
      <w:r w:rsidR="001051FB" w:rsidRPr="00001F7B">
        <w:rPr>
          <w:rFonts w:cstheme="minorHAnsi"/>
        </w:rPr>
        <w:t>i</w:t>
      </w:r>
      <w:r w:rsidR="005E7328" w:rsidRPr="00001F7B">
        <w:rPr>
          <w:rFonts w:cstheme="minorHAnsi"/>
        </w:rPr>
        <w:t xml:space="preserve">nternational </w:t>
      </w:r>
      <w:r w:rsidR="001051FB" w:rsidRPr="00001F7B">
        <w:rPr>
          <w:rFonts w:cstheme="minorHAnsi"/>
        </w:rPr>
        <w:t>l</w:t>
      </w:r>
      <w:r w:rsidR="005E7328" w:rsidRPr="00001F7B">
        <w:rPr>
          <w:rFonts w:cstheme="minorHAnsi"/>
        </w:rPr>
        <w:t xml:space="preserve">aw is the operation of law outside the </w:t>
      </w:r>
      <w:r w:rsidR="0063244C" w:rsidRPr="00001F7B">
        <w:rPr>
          <w:rFonts w:cstheme="minorHAnsi"/>
        </w:rPr>
        <w:t xml:space="preserve">operation of </w:t>
      </w:r>
      <w:r w:rsidR="001051FB" w:rsidRPr="00001F7B">
        <w:rPr>
          <w:rFonts w:cstheme="minorHAnsi"/>
        </w:rPr>
        <w:t>standard domestic</w:t>
      </w:r>
      <w:r w:rsidR="0063244C" w:rsidRPr="00001F7B">
        <w:rPr>
          <w:rFonts w:cstheme="minorHAnsi"/>
        </w:rPr>
        <w:t xml:space="preserve"> law. </w:t>
      </w:r>
      <w:r w:rsidR="004D45AB" w:rsidRPr="00001F7B">
        <w:rPr>
          <w:rFonts w:cstheme="minorHAnsi"/>
        </w:rPr>
        <w:t>A</w:t>
      </w:r>
      <w:r w:rsidR="0063244C" w:rsidRPr="00001F7B">
        <w:rPr>
          <w:rFonts w:cstheme="minorHAnsi"/>
        </w:rPr>
        <w:t xml:space="preserve"> false dichotomy </w:t>
      </w:r>
      <w:r w:rsidR="00B476AB" w:rsidRPr="00001F7B">
        <w:rPr>
          <w:rFonts w:cstheme="minorHAnsi"/>
        </w:rPr>
        <w:t>seems to have</w:t>
      </w:r>
      <w:r w:rsidR="0063244C" w:rsidRPr="00001F7B">
        <w:rPr>
          <w:rFonts w:cstheme="minorHAnsi"/>
        </w:rPr>
        <w:t xml:space="preserve"> been set up </w:t>
      </w:r>
      <w:r w:rsidR="00770803" w:rsidRPr="00001F7B">
        <w:rPr>
          <w:rFonts w:cstheme="minorHAnsi"/>
        </w:rPr>
        <w:t xml:space="preserve">between uniform law and international law. Autonomy is a natural component </w:t>
      </w:r>
      <w:r w:rsidR="00930F32" w:rsidRPr="00001F7B">
        <w:rPr>
          <w:rFonts w:cstheme="minorHAnsi"/>
        </w:rPr>
        <w:t>of both.</w:t>
      </w:r>
      <w:r w:rsidR="004D45AB" w:rsidRPr="00001F7B">
        <w:rPr>
          <w:rFonts w:cstheme="minorHAnsi"/>
        </w:rPr>
        <w:t xml:space="preserve"> Mola and </w:t>
      </w:r>
      <w:proofErr w:type="spellStart"/>
      <w:r w:rsidR="004D45AB" w:rsidRPr="00001F7B">
        <w:rPr>
          <w:rFonts w:cstheme="minorHAnsi"/>
        </w:rPr>
        <w:t>Poncib</w:t>
      </w:r>
      <w:r w:rsidR="003A7BF8" w:rsidRPr="00001F7B">
        <w:rPr>
          <w:rFonts w:cstheme="minorHAnsi"/>
        </w:rPr>
        <w:t>ò</w:t>
      </w:r>
      <w:proofErr w:type="spellEnd"/>
      <w:r w:rsidR="004D45AB" w:rsidRPr="00001F7B">
        <w:rPr>
          <w:rFonts w:cstheme="minorHAnsi"/>
        </w:rPr>
        <w:t>,</w:t>
      </w:r>
      <w:r w:rsidR="004D45AB" w:rsidRPr="00001F7B">
        <w:rPr>
          <w:rStyle w:val="FootnoteReference"/>
          <w:rFonts w:cstheme="minorHAnsi"/>
        </w:rPr>
        <w:footnoteReference w:id="30"/>
      </w:r>
      <w:r w:rsidR="00F6254C" w:rsidRPr="00001F7B">
        <w:rPr>
          <w:rFonts w:cstheme="minorHAnsi"/>
        </w:rPr>
        <w:t xml:space="preserve"> having noted that the Vienna Rules provide a single set of rules for international law interpretation say that this implies that the Rules are both common to all treaties and ‘autonomous’ from other frameworks for legal interpretation</w:t>
      </w:r>
      <w:r w:rsidR="00AA360D" w:rsidRPr="00001F7B">
        <w:rPr>
          <w:rFonts w:cstheme="minorHAnsi"/>
        </w:rPr>
        <w:t>.</w:t>
      </w:r>
      <w:r w:rsidR="004D45AB" w:rsidRPr="00001F7B">
        <w:rPr>
          <w:rFonts w:cstheme="minorHAnsi"/>
        </w:rPr>
        <w:t xml:space="preserve"> This reflects both a need for certainty,</w:t>
      </w:r>
      <w:r w:rsidR="004D45AB" w:rsidRPr="00001F7B">
        <w:rPr>
          <w:rStyle w:val="FootnoteReference"/>
          <w:rFonts w:cstheme="minorHAnsi"/>
        </w:rPr>
        <w:footnoteReference w:id="31"/>
      </w:r>
      <w:r w:rsidR="004D45AB" w:rsidRPr="00001F7B">
        <w:rPr>
          <w:rFonts w:cstheme="minorHAnsi"/>
        </w:rPr>
        <w:t xml:space="preserve"> and it reflects the very notion of treaty as agreement between two or more parties so that the rejection of unilateralism is intrinsic to this field of law. They link this directly to the Vienna Rules:</w:t>
      </w:r>
      <w:r w:rsidR="004D45AB" w:rsidRPr="00001F7B">
        <w:rPr>
          <w:rStyle w:val="FootnoteReference"/>
          <w:rFonts w:cstheme="minorHAnsi"/>
        </w:rPr>
        <w:footnoteReference w:id="32"/>
      </w:r>
      <w:r w:rsidR="004D45AB" w:rsidRPr="00001F7B">
        <w:rPr>
          <w:rFonts w:cstheme="minorHAnsi"/>
        </w:rPr>
        <w:t xml:space="preserve"> </w:t>
      </w:r>
      <w:r w:rsidR="00AA360D" w:rsidRPr="00001F7B">
        <w:rPr>
          <w:rFonts w:cstheme="minorHAnsi"/>
        </w:rPr>
        <w:t>“Article 31(3) of the VCLT on the interpretation of a treaty put in its wider context and Article 33 on the interpretation of treaties authenticated in two or more languages imply that there cannot be unilateral approaches to the meaning of treaty terms.”</w:t>
      </w:r>
    </w:p>
    <w:p w14:paraId="55B8DB7F" w14:textId="315A5BF2" w:rsidR="00AA360D" w:rsidRPr="00001F7B" w:rsidRDefault="001940DC" w:rsidP="00001F7B">
      <w:pPr>
        <w:rPr>
          <w:rFonts w:cstheme="minorHAnsi"/>
        </w:rPr>
      </w:pPr>
      <w:r w:rsidRPr="00001F7B">
        <w:rPr>
          <w:rFonts w:cstheme="minorHAnsi"/>
        </w:rPr>
        <w:t xml:space="preserve">The remaining discussion will return to this at varying points </w:t>
      </w:r>
      <w:r w:rsidR="00B476AB" w:rsidRPr="00001F7B">
        <w:rPr>
          <w:rFonts w:cstheme="minorHAnsi"/>
        </w:rPr>
        <w:t xml:space="preserve">with a view to showing that the interpretation of uniform private law conventions </w:t>
      </w:r>
      <w:r w:rsidR="00B21614" w:rsidRPr="00001F7B">
        <w:rPr>
          <w:rFonts w:cstheme="minorHAnsi"/>
        </w:rPr>
        <w:t xml:space="preserve">and the concept of autonomy </w:t>
      </w:r>
      <w:r w:rsidR="00B476AB" w:rsidRPr="00001F7B">
        <w:rPr>
          <w:rFonts w:cstheme="minorHAnsi"/>
        </w:rPr>
        <w:t>fall within the scope of the Vienna Rule</w:t>
      </w:r>
      <w:r w:rsidR="00B21614" w:rsidRPr="00001F7B">
        <w:rPr>
          <w:rFonts w:cstheme="minorHAnsi"/>
        </w:rPr>
        <w:t>s and</w:t>
      </w:r>
      <w:r w:rsidR="005C34F1" w:rsidRPr="00001F7B">
        <w:rPr>
          <w:rFonts w:cstheme="minorHAnsi"/>
        </w:rPr>
        <w:t xml:space="preserve"> are accommodated perfectly well within</w:t>
      </w:r>
      <w:r w:rsidR="00B21614" w:rsidRPr="00001F7B">
        <w:rPr>
          <w:rFonts w:cstheme="minorHAnsi"/>
        </w:rPr>
        <w:t xml:space="preserve"> it</w:t>
      </w:r>
      <w:r w:rsidR="005C34F1" w:rsidRPr="00001F7B">
        <w:rPr>
          <w:rFonts w:cstheme="minorHAnsi"/>
        </w:rPr>
        <w:t>.</w:t>
      </w:r>
      <w:r w:rsidR="003B523F" w:rsidRPr="00001F7B">
        <w:rPr>
          <w:rFonts w:cstheme="minorHAnsi"/>
        </w:rPr>
        <w:t xml:space="preserve"> In addition, once a detailed review of the Rules has been completed the issue of autonomy will </w:t>
      </w:r>
      <w:r w:rsidR="009540CC">
        <w:rPr>
          <w:rFonts w:cstheme="minorHAnsi"/>
        </w:rPr>
        <w:t xml:space="preserve">be </w:t>
      </w:r>
      <w:r w:rsidR="003B523F" w:rsidRPr="00001F7B">
        <w:rPr>
          <w:rFonts w:cstheme="minorHAnsi"/>
        </w:rPr>
        <w:t xml:space="preserve">returned </w:t>
      </w:r>
      <w:r w:rsidR="002061E8" w:rsidRPr="00001F7B">
        <w:rPr>
          <w:rFonts w:cstheme="minorHAnsi"/>
        </w:rPr>
        <w:t>to with reference especially to the problem of gap filling</w:t>
      </w:r>
      <w:r w:rsidR="00B21614" w:rsidRPr="00001F7B">
        <w:rPr>
          <w:rFonts w:cstheme="minorHAnsi"/>
        </w:rPr>
        <w:t xml:space="preserve">. </w:t>
      </w:r>
      <w:r w:rsidR="00514612" w:rsidRPr="00001F7B">
        <w:rPr>
          <w:rFonts w:cstheme="minorHAnsi"/>
        </w:rPr>
        <w:t xml:space="preserve">Before </w:t>
      </w:r>
      <w:r w:rsidR="00B21614" w:rsidRPr="00001F7B">
        <w:rPr>
          <w:rFonts w:cstheme="minorHAnsi"/>
        </w:rPr>
        <w:t xml:space="preserve">reviewing the details of the Rules, however, </w:t>
      </w:r>
      <w:r w:rsidR="00514612" w:rsidRPr="00001F7B">
        <w:rPr>
          <w:rFonts w:cstheme="minorHAnsi"/>
        </w:rPr>
        <w:t>further issue</w:t>
      </w:r>
      <w:r w:rsidR="00FA0105" w:rsidRPr="00001F7B">
        <w:rPr>
          <w:rFonts w:cstheme="minorHAnsi"/>
        </w:rPr>
        <w:t>s</w:t>
      </w:r>
      <w:r w:rsidR="00514612" w:rsidRPr="00001F7B">
        <w:rPr>
          <w:rFonts w:cstheme="minorHAnsi"/>
        </w:rPr>
        <w:t xml:space="preserve"> concerning the</w:t>
      </w:r>
      <w:r w:rsidR="00B21614" w:rsidRPr="00001F7B">
        <w:rPr>
          <w:rFonts w:cstheme="minorHAnsi"/>
        </w:rPr>
        <w:t>ir</w:t>
      </w:r>
      <w:r w:rsidR="00514612" w:rsidRPr="00001F7B">
        <w:rPr>
          <w:rFonts w:cstheme="minorHAnsi"/>
        </w:rPr>
        <w:t xml:space="preserve"> applicability </w:t>
      </w:r>
      <w:r w:rsidR="00FA0105" w:rsidRPr="00001F7B">
        <w:rPr>
          <w:rFonts w:cstheme="minorHAnsi"/>
        </w:rPr>
        <w:t xml:space="preserve">(direct or indirect) </w:t>
      </w:r>
      <w:r w:rsidR="00514612" w:rsidRPr="00001F7B">
        <w:rPr>
          <w:rFonts w:cstheme="minorHAnsi"/>
        </w:rPr>
        <w:t>need</w:t>
      </w:r>
      <w:r w:rsidR="00B21614" w:rsidRPr="00001F7B">
        <w:rPr>
          <w:rFonts w:cstheme="minorHAnsi"/>
        </w:rPr>
        <w:t xml:space="preserve"> </w:t>
      </w:r>
      <w:r w:rsidR="00514612" w:rsidRPr="00001F7B">
        <w:rPr>
          <w:rFonts w:cstheme="minorHAnsi"/>
        </w:rPr>
        <w:t>to be disposed of.</w:t>
      </w:r>
      <w:r w:rsidR="00FA0105" w:rsidRPr="00001F7B">
        <w:rPr>
          <w:rFonts w:cstheme="minorHAnsi"/>
        </w:rPr>
        <w:t xml:space="preserve"> These have probably been resolved by now but it may be useful to review them to see what residue of these issues, if any, remains and to ensure that courts new to CMR are not faced with arguments that should no longer have any resonance.  </w:t>
      </w:r>
    </w:p>
    <w:p w14:paraId="302385DE" w14:textId="1D5B6185" w:rsidR="00524E59" w:rsidRPr="00E35B47" w:rsidRDefault="00783671" w:rsidP="00001F7B">
      <w:pPr>
        <w:rPr>
          <w:rFonts w:cstheme="minorHAnsi"/>
          <w:b/>
          <w:bCs/>
          <w:sz w:val="24"/>
          <w:szCs w:val="24"/>
        </w:rPr>
      </w:pPr>
      <w:r w:rsidRPr="00001F7B">
        <w:rPr>
          <w:rFonts w:cstheme="minorHAnsi"/>
          <w:b/>
          <w:bCs/>
        </w:rPr>
        <w:br/>
      </w:r>
      <w:r w:rsidR="00FA0105" w:rsidRPr="00E35B47">
        <w:rPr>
          <w:rFonts w:cstheme="minorHAnsi"/>
          <w:b/>
          <w:bCs/>
          <w:sz w:val="24"/>
          <w:szCs w:val="24"/>
        </w:rPr>
        <w:t>2</w:t>
      </w:r>
      <w:r w:rsidR="00E87BAC" w:rsidRPr="00E35B47">
        <w:rPr>
          <w:rFonts w:cstheme="minorHAnsi"/>
          <w:b/>
          <w:bCs/>
          <w:sz w:val="24"/>
          <w:szCs w:val="24"/>
        </w:rPr>
        <w:t xml:space="preserve"> </w:t>
      </w:r>
      <w:r w:rsidR="00524E59" w:rsidRPr="00E35B47">
        <w:rPr>
          <w:rFonts w:cstheme="minorHAnsi"/>
          <w:b/>
          <w:bCs/>
          <w:sz w:val="24"/>
          <w:szCs w:val="24"/>
        </w:rPr>
        <w:t>Do the</w:t>
      </w:r>
      <w:r w:rsidR="00CF41E5" w:rsidRPr="00E35B47">
        <w:rPr>
          <w:rFonts w:cstheme="minorHAnsi"/>
          <w:b/>
          <w:bCs/>
          <w:sz w:val="24"/>
          <w:szCs w:val="24"/>
        </w:rPr>
        <w:t xml:space="preserve"> Vienna</w:t>
      </w:r>
      <w:r w:rsidR="00524E59" w:rsidRPr="00E35B47">
        <w:rPr>
          <w:rFonts w:cstheme="minorHAnsi"/>
          <w:b/>
          <w:bCs/>
          <w:sz w:val="24"/>
          <w:szCs w:val="24"/>
        </w:rPr>
        <w:t xml:space="preserve"> </w:t>
      </w:r>
      <w:r w:rsidR="00CF41E5" w:rsidRPr="00E35B47">
        <w:rPr>
          <w:rFonts w:cstheme="minorHAnsi"/>
          <w:b/>
          <w:bCs/>
          <w:sz w:val="24"/>
          <w:szCs w:val="24"/>
        </w:rPr>
        <w:t>R</w:t>
      </w:r>
      <w:r w:rsidR="00524E59" w:rsidRPr="00E35B47">
        <w:rPr>
          <w:rFonts w:cstheme="minorHAnsi"/>
          <w:b/>
          <w:bCs/>
          <w:sz w:val="24"/>
          <w:szCs w:val="24"/>
        </w:rPr>
        <w:t xml:space="preserve">ules </w:t>
      </w:r>
      <w:r w:rsidR="005F78B6" w:rsidRPr="00E35B47">
        <w:rPr>
          <w:rFonts w:cstheme="minorHAnsi"/>
          <w:b/>
          <w:bCs/>
          <w:sz w:val="24"/>
          <w:szCs w:val="24"/>
        </w:rPr>
        <w:t>apply to all treaties and in all states?</w:t>
      </w:r>
      <w:r w:rsidR="00D97532" w:rsidRPr="00E35B47">
        <w:rPr>
          <w:rFonts w:cstheme="minorHAnsi"/>
          <w:b/>
          <w:bCs/>
          <w:sz w:val="24"/>
          <w:szCs w:val="24"/>
        </w:rPr>
        <w:t xml:space="preserve"> The technicalities.</w:t>
      </w:r>
    </w:p>
    <w:p w14:paraId="13046318" w14:textId="1B04A42A" w:rsidR="00AB4C1D" w:rsidRPr="00001F7B" w:rsidRDefault="00C65086" w:rsidP="00001F7B">
      <w:pPr>
        <w:rPr>
          <w:rFonts w:cstheme="minorHAnsi"/>
        </w:rPr>
      </w:pPr>
      <w:r w:rsidRPr="00001F7B">
        <w:rPr>
          <w:rFonts w:cstheme="minorHAnsi"/>
          <w:b/>
          <w:bCs/>
        </w:rPr>
        <w:t>2.1</w:t>
      </w:r>
      <w:r w:rsidRPr="00001F7B">
        <w:rPr>
          <w:rFonts w:cstheme="minorHAnsi"/>
        </w:rPr>
        <w:t xml:space="preserve"> </w:t>
      </w:r>
      <w:r w:rsidR="00A5745F" w:rsidRPr="00001F7B">
        <w:rPr>
          <w:rFonts w:cstheme="minorHAnsi"/>
        </w:rPr>
        <w:t>Issues regarding the direct application of the V</w:t>
      </w:r>
      <w:r w:rsidR="009B4E45" w:rsidRPr="00001F7B">
        <w:rPr>
          <w:rFonts w:cstheme="minorHAnsi"/>
        </w:rPr>
        <w:t>ienna Rules</w:t>
      </w:r>
      <w:r w:rsidR="00A5745F" w:rsidRPr="00001F7B">
        <w:rPr>
          <w:rFonts w:cstheme="minorHAnsi"/>
        </w:rPr>
        <w:t xml:space="preserve"> are illustrated by CMR which</w:t>
      </w:r>
      <w:r w:rsidR="00486E57" w:rsidRPr="00001F7B">
        <w:rPr>
          <w:rFonts w:cstheme="minorHAnsi"/>
        </w:rPr>
        <w:t xml:space="preserve"> was adopted and came into force before the VCLT was adopted and </w:t>
      </w:r>
      <w:r w:rsidR="00E87BAC" w:rsidRPr="00001F7B">
        <w:rPr>
          <w:rFonts w:cstheme="minorHAnsi"/>
        </w:rPr>
        <w:t xml:space="preserve">itself </w:t>
      </w:r>
      <w:r w:rsidR="00486E57" w:rsidRPr="00001F7B">
        <w:rPr>
          <w:rFonts w:cstheme="minorHAnsi"/>
        </w:rPr>
        <w:t>came into force.</w:t>
      </w:r>
      <w:r w:rsidR="00A5745F" w:rsidRPr="00001F7B">
        <w:rPr>
          <w:rFonts w:cstheme="minorHAnsi"/>
        </w:rPr>
        <w:t xml:space="preserve"> </w:t>
      </w:r>
      <w:r w:rsidR="00D97532" w:rsidRPr="00001F7B">
        <w:rPr>
          <w:rFonts w:cstheme="minorHAnsi"/>
        </w:rPr>
        <w:t>Furthermore,</w:t>
      </w:r>
      <w:r w:rsidR="00A5745F" w:rsidRPr="00001F7B">
        <w:rPr>
          <w:rFonts w:cstheme="minorHAnsi"/>
        </w:rPr>
        <w:t xml:space="preserve"> not all CMR states have ratified </w:t>
      </w:r>
      <w:r w:rsidR="00AA360D" w:rsidRPr="00001F7B">
        <w:rPr>
          <w:rFonts w:cstheme="minorHAnsi"/>
        </w:rPr>
        <w:t>the</w:t>
      </w:r>
      <w:r w:rsidR="00E14ADC" w:rsidRPr="00001F7B">
        <w:rPr>
          <w:rFonts w:cstheme="minorHAnsi"/>
        </w:rPr>
        <w:t xml:space="preserve"> </w:t>
      </w:r>
      <w:r w:rsidR="00AA360D" w:rsidRPr="00001F7B">
        <w:rPr>
          <w:rFonts w:cstheme="minorHAnsi"/>
        </w:rPr>
        <w:t>VCLT</w:t>
      </w:r>
      <w:r w:rsidR="000844FC" w:rsidRPr="00001F7B">
        <w:rPr>
          <w:rStyle w:val="FootnoteReference"/>
          <w:rFonts w:cstheme="minorHAnsi"/>
        </w:rPr>
        <w:footnoteReference w:id="33"/>
      </w:r>
      <w:r w:rsidR="00A5745F" w:rsidRPr="00001F7B">
        <w:rPr>
          <w:rFonts w:cstheme="minorHAnsi"/>
        </w:rPr>
        <w:t xml:space="preserve"> and i</w:t>
      </w:r>
      <w:r w:rsidR="00D97532" w:rsidRPr="00001F7B">
        <w:rPr>
          <w:rFonts w:cstheme="minorHAnsi"/>
        </w:rPr>
        <w:t>n</w:t>
      </w:r>
      <w:r w:rsidR="00A5745F" w:rsidRPr="00001F7B">
        <w:rPr>
          <w:rFonts w:cstheme="minorHAnsi"/>
        </w:rPr>
        <w:t xml:space="preserve"> the case of the UK even though it has ratified it, as a dualist state, it has </w:t>
      </w:r>
      <w:r w:rsidR="00D97532" w:rsidRPr="00001F7B">
        <w:rPr>
          <w:rFonts w:cstheme="minorHAnsi"/>
        </w:rPr>
        <w:t>not passed the legislation necessary to give it the full force of law.</w:t>
      </w:r>
      <w:bookmarkStart w:id="4" w:name="_Hlk105408240"/>
      <w:r w:rsidR="00252D16" w:rsidRPr="00001F7B">
        <w:rPr>
          <w:rStyle w:val="FootnoteReference"/>
          <w:rFonts w:cstheme="minorHAnsi"/>
        </w:rPr>
        <w:footnoteReference w:id="34"/>
      </w:r>
      <w:r w:rsidR="00EF2887" w:rsidRPr="00001F7B">
        <w:rPr>
          <w:rFonts w:cstheme="minorHAnsi"/>
        </w:rPr>
        <w:t xml:space="preserve"> </w:t>
      </w:r>
      <w:r w:rsidR="0057239F" w:rsidRPr="00001F7B">
        <w:rPr>
          <w:rFonts w:cstheme="minorHAnsi"/>
        </w:rPr>
        <w:t xml:space="preserve">By </w:t>
      </w:r>
      <w:r w:rsidR="00E87BAC" w:rsidRPr="00001F7B">
        <w:rPr>
          <w:rFonts w:cstheme="minorHAnsi"/>
        </w:rPr>
        <w:t>a</w:t>
      </w:r>
      <w:r w:rsidR="0057239F" w:rsidRPr="00001F7B">
        <w:rPr>
          <w:rFonts w:cstheme="minorHAnsi"/>
        </w:rPr>
        <w:t>rt</w:t>
      </w:r>
      <w:r w:rsidR="00E87BAC" w:rsidRPr="00001F7B">
        <w:rPr>
          <w:rFonts w:cstheme="minorHAnsi"/>
        </w:rPr>
        <w:t xml:space="preserve"> </w:t>
      </w:r>
      <w:r w:rsidR="0057239F" w:rsidRPr="00001F7B">
        <w:rPr>
          <w:rFonts w:cstheme="minorHAnsi"/>
        </w:rPr>
        <w:t xml:space="preserve">4, the VCLT does not apply retrospectively and is only applicable to states party to it. </w:t>
      </w:r>
      <w:r w:rsidR="00EF2887" w:rsidRPr="00001F7B">
        <w:rPr>
          <w:rFonts w:cstheme="minorHAnsi"/>
        </w:rPr>
        <w:t>However, this is stated to be without prejudice to the application of any rules set forth in the present Convention to which treaties would be subject under international law independently of the Convention.</w:t>
      </w:r>
      <w:r w:rsidR="004D5B4C" w:rsidRPr="00001F7B">
        <w:rPr>
          <w:rStyle w:val="FootnoteReference"/>
          <w:rFonts w:eastAsia="Times New Roman" w:cstheme="minorHAnsi"/>
          <w:color w:val="000000"/>
          <w:lang w:eastAsia="en-GB"/>
        </w:rPr>
        <w:footnoteReference w:id="35"/>
      </w:r>
      <w:r w:rsidR="0073047D" w:rsidRPr="00001F7B">
        <w:rPr>
          <w:rFonts w:eastAsia="Times New Roman" w:cstheme="minorHAnsi"/>
          <w:color w:val="000000"/>
          <w:lang w:eastAsia="en-GB"/>
        </w:rPr>
        <w:t xml:space="preserve"> </w:t>
      </w:r>
      <w:r w:rsidR="001F6FBF" w:rsidRPr="00001F7B">
        <w:rPr>
          <w:rFonts w:cstheme="minorHAnsi"/>
        </w:rPr>
        <w:t xml:space="preserve">Arts 31-33 of </w:t>
      </w:r>
      <w:r w:rsidR="00AA360D" w:rsidRPr="00001F7B">
        <w:rPr>
          <w:rFonts w:cstheme="minorHAnsi"/>
        </w:rPr>
        <w:t xml:space="preserve">the </w:t>
      </w:r>
      <w:r w:rsidR="001F6FBF" w:rsidRPr="00001F7B">
        <w:rPr>
          <w:rFonts w:cstheme="minorHAnsi"/>
        </w:rPr>
        <w:t xml:space="preserve">VCLT are said </w:t>
      </w:r>
      <w:r w:rsidR="0073047D" w:rsidRPr="00001F7B">
        <w:rPr>
          <w:rFonts w:cstheme="minorHAnsi"/>
        </w:rPr>
        <w:t xml:space="preserve">to </w:t>
      </w:r>
      <w:r w:rsidR="001F6FBF" w:rsidRPr="00001F7B">
        <w:rPr>
          <w:rFonts w:cstheme="minorHAnsi"/>
        </w:rPr>
        <w:t xml:space="preserve">reflect </w:t>
      </w:r>
      <w:r w:rsidR="0073047D" w:rsidRPr="00001F7B">
        <w:rPr>
          <w:rFonts w:cstheme="minorHAnsi"/>
        </w:rPr>
        <w:t>c</w:t>
      </w:r>
      <w:r w:rsidR="001F6FBF" w:rsidRPr="00001F7B">
        <w:rPr>
          <w:rFonts w:cstheme="minorHAnsi"/>
        </w:rPr>
        <w:t xml:space="preserve">ustomary </w:t>
      </w:r>
      <w:r w:rsidR="0073047D" w:rsidRPr="00001F7B">
        <w:rPr>
          <w:rFonts w:cstheme="minorHAnsi"/>
        </w:rPr>
        <w:t>i</w:t>
      </w:r>
      <w:r w:rsidR="001F6FBF" w:rsidRPr="00001F7B">
        <w:rPr>
          <w:rFonts w:cstheme="minorHAnsi"/>
        </w:rPr>
        <w:t xml:space="preserve">nternational </w:t>
      </w:r>
      <w:r w:rsidR="00E87BAC" w:rsidRPr="00001F7B">
        <w:rPr>
          <w:rFonts w:cstheme="minorHAnsi"/>
        </w:rPr>
        <w:t>law,</w:t>
      </w:r>
      <w:r w:rsidR="001F6FBF" w:rsidRPr="00001F7B">
        <w:rPr>
          <w:rFonts w:cstheme="minorHAnsi"/>
        </w:rPr>
        <w:t xml:space="preserve"> which is meant to be binding on all states</w:t>
      </w:r>
      <w:bookmarkEnd w:id="4"/>
      <w:r w:rsidR="005F78B6" w:rsidRPr="00001F7B">
        <w:rPr>
          <w:rFonts w:cstheme="minorHAnsi"/>
        </w:rPr>
        <w:t>,</w:t>
      </w:r>
      <w:r w:rsidR="0073047D" w:rsidRPr="00001F7B">
        <w:rPr>
          <w:rStyle w:val="FootnoteReference"/>
          <w:rFonts w:cstheme="minorHAnsi"/>
        </w:rPr>
        <w:footnoteReference w:id="36"/>
      </w:r>
      <w:r w:rsidR="001F6FBF" w:rsidRPr="00001F7B">
        <w:rPr>
          <w:rFonts w:cstheme="minorHAnsi"/>
        </w:rPr>
        <w:t xml:space="preserve"> </w:t>
      </w:r>
      <w:r w:rsidR="00E75A84" w:rsidRPr="00001F7B">
        <w:rPr>
          <w:rFonts w:cstheme="minorHAnsi"/>
        </w:rPr>
        <w:t>something</w:t>
      </w:r>
      <w:r w:rsidR="001E624E" w:rsidRPr="00001F7B">
        <w:rPr>
          <w:rFonts w:cstheme="minorHAnsi"/>
        </w:rPr>
        <w:t xml:space="preserve"> that might</w:t>
      </w:r>
      <w:r w:rsidR="00E75A84" w:rsidRPr="00001F7B">
        <w:rPr>
          <w:rFonts w:cstheme="minorHAnsi"/>
        </w:rPr>
        <w:t xml:space="preserve"> even </w:t>
      </w:r>
      <w:r w:rsidR="001E624E" w:rsidRPr="00001F7B">
        <w:rPr>
          <w:rFonts w:cstheme="minorHAnsi"/>
        </w:rPr>
        <w:t xml:space="preserve">be </w:t>
      </w:r>
      <w:r w:rsidR="00E75A84" w:rsidRPr="00001F7B">
        <w:rPr>
          <w:rFonts w:cstheme="minorHAnsi"/>
        </w:rPr>
        <w:t>recognised in English law despite its dualist nature</w:t>
      </w:r>
      <w:r w:rsidR="008A08FE" w:rsidRPr="00001F7B">
        <w:rPr>
          <w:rFonts w:cstheme="minorHAnsi"/>
        </w:rPr>
        <w:t>.</w:t>
      </w:r>
      <w:r w:rsidR="00824FA4" w:rsidRPr="00001F7B">
        <w:rPr>
          <w:rStyle w:val="FootnoteReference"/>
          <w:rFonts w:cstheme="minorHAnsi"/>
        </w:rPr>
        <w:footnoteReference w:id="37"/>
      </w:r>
      <w:r w:rsidR="00E75A84" w:rsidRPr="00001F7B">
        <w:rPr>
          <w:rFonts w:cstheme="minorHAnsi"/>
        </w:rPr>
        <w:t xml:space="preserve"> </w:t>
      </w:r>
    </w:p>
    <w:p w14:paraId="489957A5" w14:textId="47C84BFF" w:rsidR="000601A6" w:rsidRPr="00001F7B" w:rsidRDefault="000601A6" w:rsidP="00001F7B">
      <w:pPr>
        <w:rPr>
          <w:rFonts w:cstheme="minorHAnsi"/>
          <w:b/>
          <w:bCs/>
        </w:rPr>
      </w:pPr>
      <w:r w:rsidRPr="00001F7B">
        <w:rPr>
          <w:rFonts w:cstheme="minorHAnsi"/>
          <w:b/>
          <w:bCs/>
        </w:rPr>
        <w:t>2.</w:t>
      </w:r>
      <w:r w:rsidR="00756DE5" w:rsidRPr="00001F7B">
        <w:rPr>
          <w:rFonts w:cstheme="minorHAnsi"/>
          <w:b/>
          <w:bCs/>
        </w:rPr>
        <w:t>2</w:t>
      </w:r>
      <w:r w:rsidRPr="00001F7B">
        <w:rPr>
          <w:rFonts w:cstheme="minorHAnsi"/>
          <w:b/>
          <w:bCs/>
        </w:rPr>
        <w:t xml:space="preserve"> Customary International Law</w:t>
      </w:r>
      <w:r w:rsidR="006D687B" w:rsidRPr="00001F7B">
        <w:rPr>
          <w:rFonts w:cstheme="minorHAnsi"/>
          <w:b/>
          <w:bCs/>
        </w:rPr>
        <w:t xml:space="preserve"> (CIL)</w:t>
      </w:r>
    </w:p>
    <w:p w14:paraId="2644523F" w14:textId="72A57B9A" w:rsidR="000844FC" w:rsidRPr="00001F7B" w:rsidRDefault="00AB4C1D" w:rsidP="00001F7B">
      <w:pPr>
        <w:rPr>
          <w:rFonts w:cstheme="minorHAnsi"/>
        </w:rPr>
      </w:pPr>
      <w:r w:rsidRPr="00001F7B">
        <w:rPr>
          <w:rFonts w:cstheme="minorHAnsi"/>
        </w:rPr>
        <w:t>Consequently,</w:t>
      </w:r>
      <w:r w:rsidR="00080AEF" w:rsidRPr="00001F7B">
        <w:rPr>
          <w:rFonts w:cstheme="minorHAnsi"/>
        </w:rPr>
        <w:t xml:space="preserve"> the core issue is whether Article</w:t>
      </w:r>
      <w:r w:rsidR="00A57BEA" w:rsidRPr="00001F7B">
        <w:rPr>
          <w:rFonts w:cstheme="minorHAnsi"/>
        </w:rPr>
        <w:t>s</w:t>
      </w:r>
      <w:r w:rsidR="00080AEF" w:rsidRPr="00001F7B">
        <w:rPr>
          <w:rFonts w:cstheme="minorHAnsi"/>
        </w:rPr>
        <w:t xml:space="preserve"> 31-33 of VCLT </w:t>
      </w:r>
      <w:r w:rsidR="000B03D0" w:rsidRPr="00001F7B">
        <w:rPr>
          <w:rFonts w:cstheme="minorHAnsi"/>
        </w:rPr>
        <w:t xml:space="preserve">do in fact </w:t>
      </w:r>
      <w:r w:rsidR="00080AEF" w:rsidRPr="00001F7B">
        <w:rPr>
          <w:rFonts w:cstheme="minorHAnsi"/>
        </w:rPr>
        <w:t xml:space="preserve">apply as a matter of customary international law </w:t>
      </w:r>
      <w:r w:rsidR="00080E99" w:rsidRPr="00001F7B">
        <w:rPr>
          <w:rFonts w:cstheme="minorHAnsi"/>
        </w:rPr>
        <w:t xml:space="preserve">(CIL) </w:t>
      </w:r>
      <w:r w:rsidR="00080AEF" w:rsidRPr="00001F7B">
        <w:rPr>
          <w:rFonts w:cstheme="minorHAnsi"/>
        </w:rPr>
        <w:t xml:space="preserve">to all CMR states regardless </w:t>
      </w:r>
      <w:r w:rsidR="006E22B4" w:rsidRPr="00001F7B">
        <w:rPr>
          <w:rFonts w:cstheme="minorHAnsi"/>
        </w:rPr>
        <w:t>of the technical legal status of this Convention in the law of the state and its lack of retroactive effect</w:t>
      </w:r>
      <w:r w:rsidR="00607B90" w:rsidRPr="00001F7B">
        <w:rPr>
          <w:rFonts w:cstheme="minorHAnsi"/>
        </w:rPr>
        <w:t>.</w:t>
      </w:r>
      <w:r w:rsidR="006E22B4" w:rsidRPr="00001F7B">
        <w:rPr>
          <w:rFonts w:cstheme="minorHAnsi"/>
        </w:rPr>
        <w:t xml:space="preserve"> </w:t>
      </w:r>
      <w:r w:rsidR="005E66A3" w:rsidRPr="00001F7B">
        <w:rPr>
          <w:rFonts w:cstheme="minorHAnsi"/>
        </w:rPr>
        <w:t xml:space="preserve">We will see that the </w:t>
      </w:r>
      <w:r w:rsidR="00080E99" w:rsidRPr="00001F7B">
        <w:rPr>
          <w:rFonts w:cstheme="minorHAnsi"/>
        </w:rPr>
        <w:t xml:space="preserve">level of recognition today that the Vienna Rules do have full effect and apply </w:t>
      </w:r>
      <w:r w:rsidR="0018455A" w:rsidRPr="00001F7B">
        <w:rPr>
          <w:rFonts w:cstheme="minorHAnsi"/>
        </w:rPr>
        <w:t xml:space="preserve">to </w:t>
      </w:r>
      <w:r w:rsidR="00080E99" w:rsidRPr="00001F7B">
        <w:rPr>
          <w:rFonts w:cstheme="minorHAnsi"/>
        </w:rPr>
        <w:t>treaties made prior to its adoption including CMR,</w:t>
      </w:r>
      <w:r w:rsidR="009F1CD6" w:rsidRPr="00001F7B">
        <w:rPr>
          <w:rFonts w:cstheme="minorHAnsi"/>
        </w:rPr>
        <w:t xml:space="preserve"> </w:t>
      </w:r>
      <w:r w:rsidR="00080E99" w:rsidRPr="00001F7B">
        <w:rPr>
          <w:rFonts w:cstheme="minorHAnsi"/>
        </w:rPr>
        <w:t xml:space="preserve">is probably so well established that this can no longer be questioned.  </w:t>
      </w:r>
      <w:r w:rsidR="0018455A" w:rsidRPr="00001F7B">
        <w:rPr>
          <w:rFonts w:cstheme="minorHAnsi"/>
        </w:rPr>
        <w:t>Nevertheless,</w:t>
      </w:r>
      <w:r w:rsidR="00080E99" w:rsidRPr="00001F7B">
        <w:rPr>
          <w:rFonts w:cstheme="minorHAnsi"/>
        </w:rPr>
        <w:t xml:space="preserve"> the exact position </w:t>
      </w:r>
      <w:r w:rsidR="00173C28" w:rsidRPr="00001F7B">
        <w:rPr>
          <w:rFonts w:cstheme="minorHAnsi"/>
        </w:rPr>
        <w:t xml:space="preserve">will be reviewed </w:t>
      </w:r>
      <w:r w:rsidR="009925D4" w:rsidRPr="00001F7B">
        <w:rPr>
          <w:rFonts w:cstheme="minorHAnsi"/>
        </w:rPr>
        <w:t xml:space="preserve">both to explain </w:t>
      </w:r>
      <w:r w:rsidR="00C50F23" w:rsidRPr="00001F7B">
        <w:rPr>
          <w:rFonts w:cstheme="minorHAnsi"/>
        </w:rPr>
        <w:t xml:space="preserve">how there might yet be some hesitancy in giving full recognition to the Rules and </w:t>
      </w:r>
      <w:r w:rsidR="00080E99" w:rsidRPr="00001F7B">
        <w:rPr>
          <w:rFonts w:cstheme="minorHAnsi"/>
        </w:rPr>
        <w:t xml:space="preserve">to ensure </w:t>
      </w:r>
      <w:r w:rsidR="0018455A" w:rsidRPr="00001F7B">
        <w:rPr>
          <w:rFonts w:cstheme="minorHAnsi"/>
        </w:rPr>
        <w:t xml:space="preserve">that a clear answer can be provided </w:t>
      </w:r>
      <w:r w:rsidR="00C50F23" w:rsidRPr="00001F7B">
        <w:rPr>
          <w:rFonts w:cstheme="minorHAnsi"/>
        </w:rPr>
        <w:t xml:space="preserve">to any </w:t>
      </w:r>
      <w:r w:rsidR="0018455A" w:rsidRPr="00001F7B">
        <w:rPr>
          <w:rFonts w:cstheme="minorHAnsi"/>
        </w:rPr>
        <w:t>resistance to the idea that national approaches to interpretation must be put aside</w:t>
      </w:r>
      <w:r w:rsidR="00C50F23" w:rsidRPr="00001F7B">
        <w:rPr>
          <w:rFonts w:cstheme="minorHAnsi"/>
        </w:rPr>
        <w:t xml:space="preserve"> in favour of the Rules as they are set out</w:t>
      </w:r>
      <w:r w:rsidR="003A0782" w:rsidRPr="00001F7B">
        <w:rPr>
          <w:rFonts w:cstheme="minorHAnsi"/>
        </w:rPr>
        <w:t>.</w:t>
      </w:r>
      <w:r w:rsidR="009F1CD6" w:rsidRPr="00001F7B">
        <w:rPr>
          <w:rStyle w:val="FootnoteReference"/>
          <w:rFonts w:cstheme="minorHAnsi"/>
        </w:rPr>
        <w:footnoteReference w:id="38"/>
      </w:r>
      <w:r w:rsidR="00080E99" w:rsidRPr="00001F7B">
        <w:rPr>
          <w:rFonts w:cstheme="minorHAnsi"/>
        </w:rPr>
        <w:t xml:space="preserve">  </w:t>
      </w:r>
    </w:p>
    <w:p w14:paraId="54B51954" w14:textId="39076B77" w:rsidR="008560B5" w:rsidRPr="00001F7B" w:rsidRDefault="0018455A" w:rsidP="00001F7B">
      <w:pPr>
        <w:rPr>
          <w:rFonts w:cstheme="minorHAnsi"/>
          <w:b/>
          <w:bCs/>
        </w:rPr>
      </w:pPr>
      <w:r w:rsidRPr="00001F7B">
        <w:rPr>
          <w:rFonts w:cstheme="minorHAnsi"/>
          <w:b/>
          <w:bCs/>
        </w:rPr>
        <w:t xml:space="preserve">2.3. </w:t>
      </w:r>
      <w:r w:rsidR="00327017" w:rsidRPr="00001F7B">
        <w:rPr>
          <w:rFonts w:cstheme="minorHAnsi"/>
          <w:b/>
          <w:bCs/>
        </w:rPr>
        <w:t xml:space="preserve">The development of the Vienna Rules </w:t>
      </w:r>
      <w:r w:rsidR="00E22FF1" w:rsidRPr="00001F7B">
        <w:rPr>
          <w:rFonts w:cstheme="minorHAnsi"/>
          <w:b/>
          <w:bCs/>
        </w:rPr>
        <w:t>from previous approaches</w:t>
      </w:r>
    </w:p>
    <w:p w14:paraId="2BB9598D" w14:textId="4DA101A2" w:rsidR="001F6FBF" w:rsidRPr="00001F7B" w:rsidRDefault="00224CEF" w:rsidP="00001F7B">
      <w:pPr>
        <w:rPr>
          <w:rFonts w:cstheme="minorHAnsi"/>
        </w:rPr>
      </w:pPr>
      <w:r w:rsidRPr="00001F7B">
        <w:rPr>
          <w:rFonts w:cstheme="minorHAnsi"/>
        </w:rPr>
        <w:t xml:space="preserve">The International Law Commission in its </w:t>
      </w:r>
      <w:r w:rsidR="008560B5" w:rsidRPr="00001F7B">
        <w:rPr>
          <w:rFonts w:cstheme="minorHAnsi"/>
        </w:rPr>
        <w:t xml:space="preserve">1966 </w:t>
      </w:r>
      <w:r w:rsidRPr="00001F7B">
        <w:rPr>
          <w:rFonts w:cstheme="minorHAnsi"/>
        </w:rPr>
        <w:t xml:space="preserve">commentary on the draft Convention </w:t>
      </w:r>
      <w:r w:rsidR="004335DC" w:rsidRPr="00001F7B">
        <w:rPr>
          <w:rFonts w:cstheme="minorHAnsi"/>
        </w:rPr>
        <w:t>noted that the existence of international rules on interpretation was sometimes questioned</w:t>
      </w:r>
      <w:r w:rsidR="000E38EA" w:rsidRPr="00001F7B">
        <w:rPr>
          <w:rFonts w:cstheme="minorHAnsi"/>
        </w:rPr>
        <w:t>,</w:t>
      </w:r>
      <w:r w:rsidR="000E38EA" w:rsidRPr="00001F7B">
        <w:rPr>
          <w:rStyle w:val="FootnoteReference"/>
          <w:rFonts w:cstheme="minorHAnsi"/>
        </w:rPr>
        <w:footnoteReference w:id="39"/>
      </w:r>
      <w:r w:rsidR="000E38EA" w:rsidRPr="00001F7B">
        <w:rPr>
          <w:rFonts w:cstheme="minorHAnsi"/>
        </w:rPr>
        <w:t xml:space="preserve"> </w:t>
      </w:r>
      <w:r w:rsidR="00912B22" w:rsidRPr="00001F7B">
        <w:rPr>
          <w:rFonts w:cstheme="minorHAnsi"/>
        </w:rPr>
        <w:t xml:space="preserve">echoing the similar point made </w:t>
      </w:r>
      <w:r w:rsidR="008560B5" w:rsidRPr="00001F7B">
        <w:rPr>
          <w:rFonts w:cstheme="minorHAnsi"/>
        </w:rPr>
        <w:t xml:space="preserve">previously </w:t>
      </w:r>
      <w:r w:rsidR="00912B22" w:rsidRPr="00001F7B">
        <w:rPr>
          <w:rFonts w:cstheme="minorHAnsi"/>
        </w:rPr>
        <w:t>by Special Rapporteur Waldock</w:t>
      </w:r>
      <w:r w:rsidR="00D01304" w:rsidRPr="00001F7B">
        <w:rPr>
          <w:rFonts w:cstheme="minorHAnsi"/>
        </w:rPr>
        <w:t>.</w:t>
      </w:r>
      <w:r w:rsidR="004E232D" w:rsidRPr="00001F7B">
        <w:rPr>
          <w:rStyle w:val="FootnoteReference"/>
          <w:rFonts w:cstheme="minorHAnsi"/>
        </w:rPr>
        <w:footnoteReference w:id="40"/>
      </w:r>
      <w:r w:rsidR="00912B22" w:rsidRPr="00001F7B">
        <w:rPr>
          <w:rFonts w:cstheme="minorHAnsi"/>
        </w:rPr>
        <w:t xml:space="preserve"> </w:t>
      </w:r>
      <w:r w:rsidR="00E05930" w:rsidRPr="00001F7B">
        <w:rPr>
          <w:rFonts w:cstheme="minorHAnsi"/>
        </w:rPr>
        <w:t>There was</w:t>
      </w:r>
      <w:r w:rsidR="00A841DE" w:rsidRPr="00001F7B">
        <w:rPr>
          <w:rFonts w:cstheme="minorHAnsi"/>
        </w:rPr>
        <w:t xml:space="preserve"> </w:t>
      </w:r>
      <w:r w:rsidR="00E05930" w:rsidRPr="00001F7B">
        <w:rPr>
          <w:rFonts w:cstheme="minorHAnsi"/>
        </w:rPr>
        <w:t xml:space="preserve">recognition </w:t>
      </w:r>
      <w:r w:rsidR="00A841DE" w:rsidRPr="00001F7B">
        <w:rPr>
          <w:rFonts w:cstheme="minorHAnsi"/>
        </w:rPr>
        <w:t xml:space="preserve">firstly of the </w:t>
      </w:r>
      <w:r w:rsidR="00E05930" w:rsidRPr="00001F7B">
        <w:rPr>
          <w:rFonts w:cstheme="minorHAnsi"/>
        </w:rPr>
        <w:t xml:space="preserve">variety of principles and maxims </w:t>
      </w:r>
      <w:r w:rsidR="00A841DE" w:rsidRPr="00001F7B">
        <w:rPr>
          <w:rFonts w:cstheme="minorHAnsi"/>
        </w:rPr>
        <w:t xml:space="preserve">which </w:t>
      </w:r>
      <w:r w:rsidR="00E05930" w:rsidRPr="00001F7B">
        <w:rPr>
          <w:rFonts w:cstheme="minorHAnsi"/>
        </w:rPr>
        <w:t>were evident in the decisions of international tribunals</w:t>
      </w:r>
      <w:r w:rsidR="006E22B4" w:rsidRPr="00001F7B">
        <w:rPr>
          <w:rStyle w:val="FootnoteReference"/>
          <w:rFonts w:cstheme="minorHAnsi"/>
        </w:rPr>
        <w:footnoteReference w:id="41"/>
      </w:r>
      <w:r w:rsidR="00E05930" w:rsidRPr="00001F7B">
        <w:rPr>
          <w:rFonts w:cstheme="minorHAnsi"/>
        </w:rPr>
        <w:t xml:space="preserve"> </w:t>
      </w:r>
      <w:r w:rsidR="00A841DE" w:rsidRPr="00001F7B">
        <w:rPr>
          <w:rFonts w:cstheme="minorHAnsi"/>
        </w:rPr>
        <w:t xml:space="preserve">but dependent on the particular mix of circumstances facing the interpreter and as such </w:t>
      </w:r>
      <w:r w:rsidR="00CE3D01" w:rsidRPr="00001F7B">
        <w:rPr>
          <w:rFonts w:cstheme="minorHAnsi"/>
        </w:rPr>
        <w:t>essentially</w:t>
      </w:r>
      <w:r w:rsidR="00A841DE" w:rsidRPr="00001F7B">
        <w:rPr>
          <w:rFonts w:cstheme="minorHAnsi"/>
        </w:rPr>
        <w:t xml:space="preserve"> discretionary in their application</w:t>
      </w:r>
      <w:r w:rsidR="00CE3D01" w:rsidRPr="00001F7B">
        <w:rPr>
          <w:rFonts w:cstheme="minorHAnsi"/>
        </w:rPr>
        <w:t xml:space="preserve"> and</w:t>
      </w:r>
      <w:r w:rsidR="00A841DE" w:rsidRPr="00001F7B">
        <w:rPr>
          <w:rFonts w:cstheme="minorHAnsi"/>
        </w:rPr>
        <w:t xml:space="preserve"> secondly </w:t>
      </w:r>
      <w:r w:rsidR="00CE3D01" w:rsidRPr="00001F7B">
        <w:rPr>
          <w:rFonts w:cstheme="minorHAnsi"/>
        </w:rPr>
        <w:t>that examples could be furnished from the decisions of international tribunals of each of the</w:t>
      </w:r>
      <w:r w:rsidR="00FC506D" w:rsidRPr="00001F7B">
        <w:rPr>
          <w:rFonts w:cstheme="minorHAnsi"/>
        </w:rPr>
        <w:t xml:space="preserve"> acknowledged interpretative methods – textual, subjective and teleological</w:t>
      </w:r>
      <w:r w:rsidR="003A6ACC" w:rsidRPr="00001F7B">
        <w:rPr>
          <w:rFonts w:cstheme="minorHAnsi"/>
        </w:rPr>
        <w:t>,</w:t>
      </w:r>
      <w:r w:rsidR="001A2290" w:rsidRPr="00001F7B">
        <w:rPr>
          <w:rStyle w:val="FootnoteReference"/>
          <w:rFonts w:cstheme="minorHAnsi"/>
        </w:rPr>
        <w:footnoteReference w:id="42"/>
      </w:r>
      <w:r w:rsidR="003A6ACC" w:rsidRPr="00001F7B">
        <w:rPr>
          <w:rFonts w:cstheme="minorHAnsi"/>
        </w:rPr>
        <w:t xml:space="preserve"> with writers differing on the weight to be given to them.</w:t>
      </w:r>
      <w:r w:rsidR="005A7BA2" w:rsidRPr="00001F7B">
        <w:rPr>
          <w:rStyle w:val="FootnoteReference"/>
          <w:rFonts w:cstheme="minorHAnsi"/>
        </w:rPr>
        <w:footnoteReference w:id="43"/>
      </w:r>
      <w:r w:rsidR="003A6ACC" w:rsidRPr="00001F7B">
        <w:rPr>
          <w:rFonts w:cstheme="minorHAnsi"/>
        </w:rPr>
        <w:t xml:space="preserve">  Whilst the textual approach predominate</w:t>
      </w:r>
      <w:r w:rsidR="00EA1B66" w:rsidRPr="00001F7B">
        <w:rPr>
          <w:rFonts w:cstheme="minorHAnsi"/>
        </w:rPr>
        <w:t>d</w:t>
      </w:r>
      <w:r w:rsidR="003A6ACC" w:rsidRPr="00001F7B">
        <w:rPr>
          <w:rFonts w:cstheme="minorHAnsi"/>
        </w:rPr>
        <w:t>,</w:t>
      </w:r>
      <w:r w:rsidR="00D9559A" w:rsidRPr="00001F7B">
        <w:rPr>
          <w:rStyle w:val="FootnoteReference"/>
          <w:rFonts w:cstheme="minorHAnsi"/>
        </w:rPr>
        <w:footnoteReference w:id="44"/>
      </w:r>
      <w:r w:rsidR="003A6ACC" w:rsidRPr="00001F7B">
        <w:rPr>
          <w:rFonts w:cstheme="minorHAnsi"/>
        </w:rPr>
        <w:t xml:space="preserve"> it was somewhat weakened </w:t>
      </w:r>
      <w:r w:rsidR="00682D98" w:rsidRPr="00001F7B">
        <w:rPr>
          <w:rFonts w:cstheme="minorHAnsi"/>
        </w:rPr>
        <w:t>by the doctrinal differences.</w:t>
      </w:r>
      <w:r w:rsidR="004D5DED" w:rsidRPr="00001F7B">
        <w:rPr>
          <w:rStyle w:val="FootnoteReference"/>
          <w:rFonts w:cstheme="minorHAnsi"/>
        </w:rPr>
        <w:footnoteReference w:id="45"/>
      </w:r>
      <w:r w:rsidR="00682D98" w:rsidRPr="00001F7B">
        <w:rPr>
          <w:rFonts w:cstheme="minorHAnsi"/>
        </w:rPr>
        <w:t xml:space="preserve">  </w:t>
      </w:r>
      <w:r w:rsidR="005379A1" w:rsidRPr="00001F7B">
        <w:rPr>
          <w:rFonts w:cstheme="minorHAnsi"/>
        </w:rPr>
        <w:t>Consequently,</w:t>
      </w:r>
      <w:r w:rsidR="00682D98" w:rsidRPr="00001F7B">
        <w:rPr>
          <w:rFonts w:cstheme="minorHAnsi"/>
        </w:rPr>
        <w:t xml:space="preserve"> as one of the conclusions drawn from the discussion it was thought desirable </w:t>
      </w:r>
      <w:r w:rsidR="00CB1200" w:rsidRPr="00001F7B">
        <w:rPr>
          <w:rFonts w:cstheme="minorHAnsi"/>
        </w:rPr>
        <w:t>that the Commission should take a clear position as to the role of the text in treaty interpretation.</w:t>
      </w:r>
      <w:r w:rsidR="004D5DED" w:rsidRPr="00001F7B">
        <w:rPr>
          <w:rStyle w:val="FootnoteReference"/>
          <w:rFonts w:cstheme="minorHAnsi"/>
        </w:rPr>
        <w:footnoteReference w:id="46"/>
      </w:r>
      <w:r w:rsidR="00565F63" w:rsidRPr="00001F7B">
        <w:rPr>
          <w:rFonts w:cstheme="minorHAnsi"/>
        </w:rPr>
        <w:t xml:space="preserve"> </w:t>
      </w:r>
      <w:r w:rsidR="004F097E" w:rsidRPr="00001F7B">
        <w:rPr>
          <w:rFonts w:cstheme="minorHAnsi"/>
        </w:rPr>
        <w:t xml:space="preserve">Ultimately, the Commission confined itself to trying to isolate and codify the comparatively few principles which </w:t>
      </w:r>
      <w:r w:rsidR="00752FD4" w:rsidRPr="00001F7B">
        <w:rPr>
          <w:rFonts w:cstheme="minorHAnsi"/>
          <w:i/>
          <w:iCs/>
        </w:rPr>
        <w:t>appeared</w:t>
      </w:r>
      <w:r w:rsidR="004F097E" w:rsidRPr="00001F7B">
        <w:rPr>
          <w:rFonts w:cstheme="minorHAnsi"/>
          <w:i/>
          <w:iCs/>
        </w:rPr>
        <w:t xml:space="preserve"> </w:t>
      </w:r>
      <w:r w:rsidR="00762A37" w:rsidRPr="00001F7B">
        <w:rPr>
          <w:rFonts w:cstheme="minorHAnsi"/>
        </w:rPr>
        <w:t xml:space="preserve">(my emphasis) </w:t>
      </w:r>
      <w:r w:rsidR="004F097E" w:rsidRPr="00001F7B">
        <w:rPr>
          <w:rFonts w:cstheme="minorHAnsi"/>
        </w:rPr>
        <w:t xml:space="preserve">to constitute </w:t>
      </w:r>
      <w:r w:rsidR="00D60296" w:rsidRPr="00001F7B">
        <w:rPr>
          <w:rFonts w:cstheme="minorHAnsi"/>
        </w:rPr>
        <w:t>general rules for the interpretation of treaties.</w:t>
      </w:r>
      <w:r w:rsidR="00D60296" w:rsidRPr="00001F7B">
        <w:rPr>
          <w:rStyle w:val="FootnoteReference"/>
          <w:rFonts w:cstheme="minorHAnsi"/>
        </w:rPr>
        <w:footnoteReference w:id="47"/>
      </w:r>
    </w:p>
    <w:p w14:paraId="5F4BD6F5" w14:textId="6F825BF2" w:rsidR="00FB5ACE" w:rsidRPr="00001F7B" w:rsidRDefault="00E915BB" w:rsidP="00001F7B">
      <w:pPr>
        <w:rPr>
          <w:rFonts w:cstheme="minorHAnsi"/>
        </w:rPr>
      </w:pPr>
      <w:r w:rsidRPr="00001F7B">
        <w:rPr>
          <w:rFonts w:cstheme="minorHAnsi"/>
        </w:rPr>
        <w:t xml:space="preserve">From this brief review it could perhaps be said that the ILC’s approach here reflects the point made </w:t>
      </w:r>
      <w:r w:rsidR="00BA7381" w:rsidRPr="00001F7B">
        <w:rPr>
          <w:rFonts w:cstheme="minorHAnsi"/>
        </w:rPr>
        <w:t xml:space="preserve">early </w:t>
      </w:r>
      <w:r w:rsidRPr="00001F7B">
        <w:rPr>
          <w:rFonts w:cstheme="minorHAnsi"/>
        </w:rPr>
        <w:t xml:space="preserve">in the 1964 Report that </w:t>
      </w:r>
      <w:r w:rsidR="00BA7381" w:rsidRPr="00001F7B">
        <w:rPr>
          <w:rFonts w:cstheme="minorHAnsi"/>
        </w:rPr>
        <w:t>whilst the Special Rapporteur ha</w:t>
      </w:r>
      <w:r w:rsidR="006A326A" w:rsidRPr="00001F7B">
        <w:rPr>
          <w:rFonts w:cstheme="minorHAnsi"/>
        </w:rPr>
        <w:t>d</w:t>
      </w:r>
      <w:r w:rsidR="00BA7381" w:rsidRPr="00001F7B">
        <w:rPr>
          <w:rFonts w:cstheme="minorHAnsi"/>
        </w:rPr>
        <w:t xml:space="preserve"> sought to codify the modern rules of international </w:t>
      </w:r>
      <w:r w:rsidR="006A326A" w:rsidRPr="00001F7B">
        <w:rPr>
          <w:rFonts w:cstheme="minorHAnsi"/>
        </w:rPr>
        <w:t xml:space="preserve">law </w:t>
      </w:r>
      <w:r w:rsidR="00BA7381" w:rsidRPr="00001F7B">
        <w:rPr>
          <w:rFonts w:cstheme="minorHAnsi"/>
        </w:rPr>
        <w:t>on the topics covered by the report, on some questions the articles formulated in the report contain elements of progressive development as well as of the codification of the applicable law.</w:t>
      </w:r>
      <w:r w:rsidR="00BA7381" w:rsidRPr="00001F7B">
        <w:rPr>
          <w:rStyle w:val="FootnoteReference"/>
          <w:rFonts w:cstheme="minorHAnsi"/>
        </w:rPr>
        <w:footnoteReference w:id="48"/>
      </w:r>
      <w:r w:rsidR="00BA7381" w:rsidRPr="00001F7B">
        <w:rPr>
          <w:rFonts w:cstheme="minorHAnsi"/>
        </w:rPr>
        <w:t xml:space="preserve"> </w:t>
      </w:r>
      <w:r w:rsidR="00752FD4" w:rsidRPr="00001F7B">
        <w:rPr>
          <w:rFonts w:cstheme="minorHAnsi"/>
        </w:rPr>
        <w:t>The principles appearing to constitute general rules</w:t>
      </w:r>
      <w:r w:rsidR="00AC0E98" w:rsidRPr="00001F7B">
        <w:rPr>
          <w:rFonts w:cstheme="minorHAnsi"/>
        </w:rPr>
        <w:t xml:space="preserve"> of interpretation</w:t>
      </w:r>
      <w:r w:rsidR="00752FD4" w:rsidRPr="00001F7B">
        <w:rPr>
          <w:rFonts w:cstheme="minorHAnsi"/>
        </w:rPr>
        <w:t xml:space="preserve"> are </w:t>
      </w:r>
      <w:r w:rsidR="00527B2A" w:rsidRPr="00001F7B">
        <w:rPr>
          <w:rFonts w:cstheme="minorHAnsi"/>
        </w:rPr>
        <w:t xml:space="preserve">in reality a distillation and logical reworking of principles in use </w:t>
      </w:r>
      <w:r w:rsidR="006F43DC" w:rsidRPr="00001F7B">
        <w:rPr>
          <w:rFonts w:cstheme="minorHAnsi"/>
        </w:rPr>
        <w:t xml:space="preserve">in order </w:t>
      </w:r>
      <w:r w:rsidR="00527B2A" w:rsidRPr="00001F7B">
        <w:rPr>
          <w:rFonts w:cstheme="minorHAnsi"/>
        </w:rPr>
        <w:t xml:space="preserve">to provide coherence and a solution </w:t>
      </w:r>
      <w:r w:rsidR="006A326A" w:rsidRPr="00001F7B">
        <w:rPr>
          <w:rFonts w:cstheme="minorHAnsi"/>
        </w:rPr>
        <w:t xml:space="preserve">as </w:t>
      </w:r>
      <w:r w:rsidR="00527B2A" w:rsidRPr="00001F7B">
        <w:rPr>
          <w:rFonts w:cstheme="minorHAnsi"/>
        </w:rPr>
        <w:t>to how they should interrelate.</w:t>
      </w:r>
      <w:r w:rsidR="00BE6297" w:rsidRPr="00001F7B">
        <w:rPr>
          <w:rFonts w:cstheme="minorHAnsi"/>
        </w:rPr>
        <w:t xml:space="preserve"> </w:t>
      </w:r>
      <w:r w:rsidR="00E9703B" w:rsidRPr="00001F7B">
        <w:rPr>
          <w:rFonts w:cstheme="minorHAnsi"/>
        </w:rPr>
        <w:t xml:space="preserve">If the </w:t>
      </w:r>
      <w:r w:rsidR="00C50F23" w:rsidRPr="00001F7B">
        <w:rPr>
          <w:rFonts w:cstheme="minorHAnsi"/>
        </w:rPr>
        <w:t xml:space="preserve">standard </w:t>
      </w:r>
      <w:r w:rsidR="00E9703B" w:rsidRPr="00001F7B">
        <w:rPr>
          <w:rFonts w:cstheme="minorHAnsi"/>
        </w:rPr>
        <w:t>test for a finding of</w:t>
      </w:r>
      <w:r w:rsidR="00C50F23" w:rsidRPr="00001F7B">
        <w:rPr>
          <w:rFonts w:cstheme="minorHAnsi"/>
        </w:rPr>
        <w:t xml:space="preserve"> customary international rules on interpretation of treaties </w:t>
      </w:r>
      <w:r w:rsidR="00E9703B" w:rsidRPr="00001F7B">
        <w:rPr>
          <w:rFonts w:cstheme="minorHAnsi"/>
        </w:rPr>
        <w:t>at the time of the adoption of VCLT were to be applied strictly</w:t>
      </w:r>
      <w:r w:rsidR="003C7B52" w:rsidRPr="00001F7B">
        <w:rPr>
          <w:rStyle w:val="FootnoteReference"/>
          <w:rFonts w:cstheme="minorHAnsi"/>
        </w:rPr>
        <w:footnoteReference w:id="49"/>
      </w:r>
      <w:r w:rsidR="00E9703B" w:rsidRPr="00001F7B">
        <w:rPr>
          <w:rFonts w:cstheme="minorHAnsi"/>
        </w:rPr>
        <w:t xml:space="preserve"> there could well be a doubt whether a clearly defined CIL concerning treaty interpretation existed at that time.</w:t>
      </w:r>
      <w:r w:rsidR="00C42FDE" w:rsidRPr="00001F7B">
        <w:rPr>
          <w:rStyle w:val="FootnoteReference"/>
          <w:rFonts w:cstheme="minorHAnsi"/>
        </w:rPr>
        <w:footnoteReference w:id="50"/>
      </w:r>
      <w:r w:rsidR="00AC0E98" w:rsidRPr="00001F7B">
        <w:rPr>
          <w:rFonts w:cstheme="minorHAnsi"/>
        </w:rPr>
        <w:t xml:space="preserve">  </w:t>
      </w:r>
    </w:p>
    <w:p w14:paraId="3C502BC3" w14:textId="2FB9604D" w:rsidR="00AD58DF" w:rsidRPr="00001F7B" w:rsidRDefault="00CE569F" w:rsidP="00001F7B">
      <w:pPr>
        <w:rPr>
          <w:rFonts w:cstheme="minorHAnsi"/>
          <w:b/>
          <w:bCs/>
        </w:rPr>
      </w:pPr>
      <w:r w:rsidRPr="00001F7B">
        <w:rPr>
          <w:rFonts w:cstheme="minorHAnsi"/>
          <w:b/>
          <w:bCs/>
        </w:rPr>
        <w:t>2.</w:t>
      </w:r>
      <w:r w:rsidR="002E6DCE" w:rsidRPr="00001F7B">
        <w:rPr>
          <w:rFonts w:cstheme="minorHAnsi"/>
          <w:b/>
          <w:bCs/>
        </w:rPr>
        <w:t>4</w:t>
      </w:r>
      <w:r w:rsidRPr="00001F7B">
        <w:rPr>
          <w:rFonts w:cstheme="minorHAnsi"/>
          <w:b/>
          <w:bCs/>
        </w:rPr>
        <w:t xml:space="preserve"> – The case for CIL – prospective and retrospective</w:t>
      </w:r>
      <w:r w:rsidR="00086872" w:rsidRPr="00001F7B">
        <w:rPr>
          <w:rFonts w:cstheme="minorHAnsi"/>
          <w:b/>
          <w:bCs/>
        </w:rPr>
        <w:t xml:space="preserve"> – in the light of current recognition.</w:t>
      </w:r>
    </w:p>
    <w:p w14:paraId="3AA89DEE" w14:textId="00E5B9A3" w:rsidR="00AC3457" w:rsidRPr="00001F7B" w:rsidRDefault="00CE569F" w:rsidP="00001F7B">
      <w:pPr>
        <w:rPr>
          <w:rFonts w:cstheme="minorHAnsi"/>
        </w:rPr>
      </w:pPr>
      <w:r w:rsidRPr="00001F7B">
        <w:rPr>
          <w:rFonts w:cstheme="minorHAnsi"/>
        </w:rPr>
        <w:t>The difficulties raised above are also pertinent to the further question of the application of the Rules to conventions adopted prior to the VCLT.</w:t>
      </w:r>
      <w:r w:rsidR="00EB38B4" w:rsidRPr="00001F7B">
        <w:rPr>
          <w:rFonts w:cstheme="minorHAnsi"/>
        </w:rPr>
        <w:t xml:space="preserve"> If no definite CIL existed at the time of the adoption of CMR how can the Rules be applied to it on that basis?</w:t>
      </w:r>
      <w:r w:rsidR="00E102BB" w:rsidRPr="00001F7B">
        <w:rPr>
          <w:rStyle w:val="FootnoteReference"/>
          <w:rFonts w:cstheme="minorHAnsi"/>
        </w:rPr>
        <w:footnoteReference w:id="51"/>
      </w:r>
      <w:r w:rsidR="00EB38B4" w:rsidRPr="00001F7B">
        <w:rPr>
          <w:rFonts w:cstheme="minorHAnsi"/>
        </w:rPr>
        <w:t xml:space="preserve"> </w:t>
      </w:r>
      <w:r w:rsidR="007545F6" w:rsidRPr="00001F7B">
        <w:rPr>
          <w:rFonts w:cstheme="minorHAnsi"/>
        </w:rPr>
        <w:t xml:space="preserve">The ICL itself at that time saw that their work was to have </w:t>
      </w:r>
      <w:r w:rsidR="007545F6" w:rsidRPr="00001F7B">
        <w:rPr>
          <w:rFonts w:cstheme="minorHAnsi"/>
          <w:i/>
          <w:iCs/>
        </w:rPr>
        <w:t>prospective</w:t>
      </w:r>
      <w:r w:rsidR="007545F6" w:rsidRPr="00001F7B">
        <w:rPr>
          <w:rFonts w:cstheme="minorHAnsi"/>
        </w:rPr>
        <w:t xml:space="preserve"> benefit for the future drafting of treaties.</w:t>
      </w:r>
      <w:r w:rsidR="007545F6" w:rsidRPr="00001F7B">
        <w:rPr>
          <w:rStyle w:val="FootnoteReference"/>
          <w:rFonts w:cstheme="minorHAnsi"/>
        </w:rPr>
        <w:footnoteReference w:id="52"/>
      </w:r>
      <w:r w:rsidR="007545F6" w:rsidRPr="00001F7B">
        <w:rPr>
          <w:rFonts w:cstheme="minorHAnsi"/>
        </w:rPr>
        <w:t xml:space="preserve"> </w:t>
      </w:r>
      <w:r w:rsidR="00086872" w:rsidRPr="00001F7B">
        <w:rPr>
          <w:rFonts w:cstheme="minorHAnsi"/>
        </w:rPr>
        <w:t xml:space="preserve"> It is pertinent </w:t>
      </w:r>
      <w:r w:rsidR="00C50F23" w:rsidRPr="00001F7B">
        <w:rPr>
          <w:rFonts w:cstheme="minorHAnsi"/>
        </w:rPr>
        <w:t xml:space="preserve">to note </w:t>
      </w:r>
      <w:r w:rsidR="00086872" w:rsidRPr="00001F7B">
        <w:rPr>
          <w:rFonts w:cstheme="minorHAnsi"/>
        </w:rPr>
        <w:t>that CMR was not drafted with the benefit of these rules.</w:t>
      </w:r>
      <w:r w:rsidR="000F79FF" w:rsidRPr="00001F7B">
        <w:rPr>
          <w:rStyle w:val="FootnoteReference"/>
          <w:rFonts w:cstheme="minorHAnsi"/>
        </w:rPr>
        <w:footnoteReference w:id="53"/>
      </w:r>
      <w:r w:rsidR="00503BB6" w:rsidRPr="00001F7B">
        <w:rPr>
          <w:rFonts w:cstheme="minorHAnsi"/>
        </w:rPr>
        <w:t xml:space="preserve"> Nevertheless, it is possible to justify the Rules as a codification of CIL</w:t>
      </w:r>
      <w:r w:rsidR="00BF4344" w:rsidRPr="00001F7B">
        <w:rPr>
          <w:rFonts w:cstheme="minorHAnsi"/>
        </w:rPr>
        <w:t>.</w:t>
      </w:r>
      <w:r w:rsidR="007A7802" w:rsidRPr="00001F7B">
        <w:rPr>
          <w:rStyle w:val="FootnoteReference"/>
          <w:rFonts w:cstheme="minorHAnsi"/>
        </w:rPr>
        <w:footnoteReference w:id="54"/>
      </w:r>
      <w:r w:rsidR="00BF4344" w:rsidRPr="00001F7B">
        <w:rPr>
          <w:rFonts w:cstheme="minorHAnsi"/>
        </w:rPr>
        <w:t xml:space="preserve"> The Report of the seventieth session of the International Law Commission 2018</w:t>
      </w:r>
      <w:r w:rsidR="00AC3457" w:rsidRPr="00001F7B">
        <w:rPr>
          <w:rStyle w:val="FootnoteReference"/>
          <w:rFonts w:cstheme="minorHAnsi"/>
        </w:rPr>
        <w:footnoteReference w:id="55"/>
      </w:r>
      <w:r w:rsidR="00BF4344" w:rsidRPr="00001F7B">
        <w:rPr>
          <w:rFonts w:cstheme="minorHAnsi"/>
        </w:rPr>
        <w:t xml:space="preserve"> </w:t>
      </w:r>
      <w:r w:rsidR="00AA720C" w:rsidRPr="00001F7B">
        <w:rPr>
          <w:rFonts w:cstheme="minorHAnsi"/>
        </w:rPr>
        <w:t>Chapter V ‘Identification of Customary International Law</w:t>
      </w:r>
      <w:r w:rsidR="007770A4" w:rsidRPr="00001F7B">
        <w:rPr>
          <w:rFonts w:cstheme="minorHAnsi"/>
        </w:rPr>
        <w:t>,</w:t>
      </w:r>
      <w:r w:rsidR="00AA720C" w:rsidRPr="00001F7B">
        <w:rPr>
          <w:rFonts w:cstheme="minorHAnsi"/>
        </w:rPr>
        <w:t xml:space="preserve"> </w:t>
      </w:r>
      <w:r w:rsidR="00741C1E" w:rsidRPr="00001F7B">
        <w:rPr>
          <w:rFonts w:cstheme="minorHAnsi"/>
        </w:rPr>
        <w:t>at p</w:t>
      </w:r>
      <w:r w:rsidR="0042533F" w:rsidRPr="00001F7B">
        <w:rPr>
          <w:rFonts w:cstheme="minorHAnsi"/>
        </w:rPr>
        <w:t xml:space="preserve"> </w:t>
      </w:r>
      <w:r w:rsidR="00741C1E" w:rsidRPr="00001F7B">
        <w:rPr>
          <w:rFonts w:cstheme="minorHAnsi"/>
        </w:rPr>
        <w:t>141, in its Conclusion 11 states that: A rule set forth in a treaty may reflect a rule of customary international law if it is established that the treaty rule: (a) codified a rule of customary international law existing at the time when the treaty was concluded; (b) has led to the crystallization of a rule of customary international law that had started to emerge prior to the conclusion of the treaty; or (c) has given rise to a general practice that is accepted as law (</w:t>
      </w:r>
      <w:proofErr w:type="spellStart"/>
      <w:r w:rsidR="00741C1E" w:rsidRPr="00001F7B">
        <w:rPr>
          <w:rFonts w:cstheme="minorHAnsi"/>
          <w:i/>
          <w:iCs/>
        </w:rPr>
        <w:t>opinio</w:t>
      </w:r>
      <w:proofErr w:type="spellEnd"/>
      <w:r w:rsidR="00741C1E" w:rsidRPr="00001F7B">
        <w:rPr>
          <w:rFonts w:cstheme="minorHAnsi"/>
          <w:i/>
          <w:iCs/>
        </w:rPr>
        <w:t xml:space="preserve"> juris</w:t>
      </w:r>
      <w:r w:rsidR="00741C1E" w:rsidRPr="00001F7B">
        <w:rPr>
          <w:rFonts w:cstheme="minorHAnsi"/>
        </w:rPr>
        <w:t>), thus generating a new rule of customary international law.</w:t>
      </w:r>
    </w:p>
    <w:p w14:paraId="632D0C89" w14:textId="77777777" w:rsidR="008858DD" w:rsidRPr="00001F7B" w:rsidRDefault="005C6B09" w:rsidP="00001F7B">
      <w:pPr>
        <w:rPr>
          <w:rFonts w:cstheme="minorHAnsi"/>
        </w:rPr>
      </w:pPr>
      <w:r w:rsidRPr="00001F7B">
        <w:rPr>
          <w:rFonts w:cstheme="minorHAnsi"/>
        </w:rPr>
        <w:t xml:space="preserve">Even if the VCLT did not precisely codify a precise and coherent </w:t>
      </w:r>
      <w:r w:rsidR="002E6DCE" w:rsidRPr="00001F7B">
        <w:rPr>
          <w:rFonts w:cstheme="minorHAnsi"/>
        </w:rPr>
        <w:t>rule of CIL</w:t>
      </w:r>
      <w:r w:rsidRPr="00001F7B">
        <w:rPr>
          <w:rFonts w:cstheme="minorHAnsi"/>
        </w:rPr>
        <w:t xml:space="preserve"> already in existence it m</w:t>
      </w:r>
      <w:r w:rsidR="004945D7" w:rsidRPr="00001F7B">
        <w:rPr>
          <w:rFonts w:cstheme="minorHAnsi"/>
        </w:rPr>
        <w:t xml:space="preserve">ust surely </w:t>
      </w:r>
      <w:r w:rsidRPr="00001F7B">
        <w:rPr>
          <w:rFonts w:cstheme="minorHAnsi"/>
        </w:rPr>
        <w:t>reflect its emergence</w:t>
      </w:r>
      <w:r w:rsidR="00741C1E" w:rsidRPr="00001F7B">
        <w:rPr>
          <w:rFonts w:cstheme="minorHAnsi"/>
        </w:rPr>
        <w:t xml:space="preserve"> either as a crystallization</w:t>
      </w:r>
      <w:r w:rsidR="00E353F1" w:rsidRPr="00001F7B">
        <w:rPr>
          <w:rStyle w:val="FootnoteReference"/>
          <w:rFonts w:cstheme="minorHAnsi"/>
        </w:rPr>
        <w:footnoteReference w:id="56"/>
      </w:r>
      <w:r w:rsidR="00741C1E" w:rsidRPr="00001F7B">
        <w:rPr>
          <w:rFonts w:cstheme="minorHAnsi"/>
        </w:rPr>
        <w:t xml:space="preserve"> or as a new CIL</w:t>
      </w:r>
      <w:r w:rsidR="004945D7" w:rsidRPr="00001F7B">
        <w:rPr>
          <w:rFonts w:cstheme="minorHAnsi"/>
        </w:rPr>
        <w:t>.</w:t>
      </w:r>
      <w:r w:rsidR="00A70EB2" w:rsidRPr="00001F7B">
        <w:rPr>
          <w:rStyle w:val="FootnoteReference"/>
          <w:rFonts w:cstheme="minorHAnsi"/>
        </w:rPr>
        <w:footnoteReference w:id="57"/>
      </w:r>
      <w:r w:rsidRPr="00001F7B">
        <w:rPr>
          <w:rFonts w:cstheme="minorHAnsi"/>
        </w:rPr>
        <w:t xml:space="preserve"> </w:t>
      </w:r>
      <w:r w:rsidR="002E6DCE" w:rsidRPr="00001F7B">
        <w:rPr>
          <w:rFonts w:cstheme="minorHAnsi"/>
        </w:rPr>
        <w:t xml:space="preserve"> With this in mind the ‘emergence’ of recognition of</w:t>
      </w:r>
      <w:r w:rsidRPr="00001F7B">
        <w:rPr>
          <w:rFonts w:cstheme="minorHAnsi"/>
        </w:rPr>
        <w:t xml:space="preserve"> the Rules as CIL </w:t>
      </w:r>
      <w:r w:rsidR="002E6DCE" w:rsidRPr="00001F7B">
        <w:rPr>
          <w:rFonts w:cstheme="minorHAnsi"/>
        </w:rPr>
        <w:t>is considered next.</w:t>
      </w:r>
    </w:p>
    <w:p w14:paraId="257C880E" w14:textId="4F113BB9" w:rsidR="005855D5" w:rsidRPr="00001F7B" w:rsidRDefault="002E6DCE" w:rsidP="00001F7B">
      <w:pPr>
        <w:rPr>
          <w:rFonts w:cstheme="minorHAnsi"/>
          <w:b/>
          <w:bCs/>
        </w:rPr>
      </w:pPr>
      <w:r w:rsidRPr="00001F7B">
        <w:rPr>
          <w:rFonts w:cstheme="minorHAnsi"/>
          <w:b/>
          <w:bCs/>
        </w:rPr>
        <w:t>2.4.</w:t>
      </w:r>
      <w:r w:rsidR="005E537C" w:rsidRPr="00001F7B">
        <w:rPr>
          <w:rFonts w:cstheme="minorHAnsi"/>
          <w:b/>
          <w:bCs/>
        </w:rPr>
        <w:t xml:space="preserve">1 </w:t>
      </w:r>
      <w:r w:rsidR="00FA3A0E" w:rsidRPr="00001F7B">
        <w:rPr>
          <w:rFonts w:cstheme="minorHAnsi"/>
          <w:b/>
          <w:bCs/>
        </w:rPr>
        <w:t>Recognition of Arts 31-33 as CIL</w:t>
      </w:r>
    </w:p>
    <w:p w14:paraId="5C6652D5" w14:textId="0C5D5142" w:rsidR="008873F4" w:rsidRPr="00001F7B" w:rsidRDefault="00FE2277" w:rsidP="00001F7B">
      <w:pPr>
        <w:rPr>
          <w:rFonts w:cstheme="minorHAnsi"/>
        </w:rPr>
      </w:pPr>
      <w:r w:rsidRPr="00001F7B">
        <w:rPr>
          <w:rFonts w:cstheme="minorHAnsi"/>
        </w:rPr>
        <w:t xml:space="preserve">At the highest international level there is now clear recognition of the Vienna </w:t>
      </w:r>
      <w:r w:rsidR="00A21D3D">
        <w:rPr>
          <w:rFonts w:cstheme="minorHAnsi"/>
        </w:rPr>
        <w:t>R</w:t>
      </w:r>
      <w:r w:rsidRPr="00001F7B">
        <w:rPr>
          <w:rFonts w:cstheme="minorHAnsi"/>
        </w:rPr>
        <w:t>ules as CIIL</w:t>
      </w:r>
      <w:r w:rsidR="00AC38DE" w:rsidRPr="00001F7B">
        <w:rPr>
          <w:rFonts w:cstheme="minorHAnsi"/>
        </w:rPr>
        <w:t xml:space="preserve"> at least in respect of arts</w:t>
      </w:r>
      <w:r w:rsidR="008858DD" w:rsidRPr="00001F7B">
        <w:rPr>
          <w:rFonts w:cstheme="minorHAnsi"/>
        </w:rPr>
        <w:t xml:space="preserve"> </w:t>
      </w:r>
      <w:r w:rsidR="00AC38DE" w:rsidRPr="00001F7B">
        <w:rPr>
          <w:rFonts w:cstheme="minorHAnsi"/>
        </w:rPr>
        <w:t xml:space="preserve">31 and </w:t>
      </w:r>
      <w:r w:rsidR="008858DD" w:rsidRPr="00001F7B">
        <w:rPr>
          <w:rFonts w:cstheme="minorHAnsi"/>
        </w:rPr>
        <w:t>3</w:t>
      </w:r>
      <w:r w:rsidR="00AC38DE" w:rsidRPr="00001F7B">
        <w:rPr>
          <w:rFonts w:cstheme="minorHAnsi"/>
        </w:rPr>
        <w:t>2</w:t>
      </w:r>
      <w:r w:rsidRPr="00001F7B">
        <w:rPr>
          <w:rFonts w:cstheme="minorHAnsi"/>
        </w:rPr>
        <w:t xml:space="preserve">. Draft conclusion 2 in chapter IV of the </w:t>
      </w:r>
      <w:bookmarkStart w:id="7" w:name="_Hlk108387917"/>
      <w:r w:rsidRPr="00001F7B">
        <w:rPr>
          <w:rFonts w:cstheme="minorHAnsi"/>
        </w:rPr>
        <w:t xml:space="preserve">Report of the seventieth </w:t>
      </w:r>
      <w:r w:rsidR="009972A2" w:rsidRPr="00001F7B">
        <w:rPr>
          <w:rFonts w:cstheme="minorHAnsi"/>
        </w:rPr>
        <w:t>s</w:t>
      </w:r>
      <w:r w:rsidRPr="00001F7B">
        <w:rPr>
          <w:rFonts w:cstheme="minorHAnsi"/>
        </w:rPr>
        <w:t>ession of the International Law Commission</w:t>
      </w:r>
      <w:r w:rsidR="009972A2" w:rsidRPr="00001F7B">
        <w:rPr>
          <w:rFonts w:cstheme="minorHAnsi"/>
        </w:rPr>
        <w:t xml:space="preserve"> 2018</w:t>
      </w:r>
      <w:bookmarkEnd w:id="7"/>
      <w:r w:rsidR="009972A2" w:rsidRPr="00001F7B">
        <w:rPr>
          <w:rFonts w:cstheme="minorHAnsi"/>
        </w:rPr>
        <w:t xml:space="preserve"> now makes this clear.</w:t>
      </w:r>
      <w:r w:rsidR="009972A2" w:rsidRPr="00001F7B">
        <w:rPr>
          <w:rStyle w:val="FootnoteReference"/>
          <w:rFonts w:cstheme="minorHAnsi"/>
        </w:rPr>
        <w:footnoteReference w:id="58"/>
      </w:r>
      <w:r w:rsidR="009354C8" w:rsidRPr="00001F7B">
        <w:rPr>
          <w:rFonts w:cstheme="minorHAnsi"/>
        </w:rPr>
        <w:t xml:space="preserve"> The report</w:t>
      </w:r>
      <w:r w:rsidR="00AC11D4" w:rsidRPr="00001F7B">
        <w:rPr>
          <w:rFonts w:cstheme="minorHAnsi"/>
        </w:rPr>
        <w:t xml:space="preserve"> cites several writers in support</w:t>
      </w:r>
      <w:r w:rsidR="00AC11D4" w:rsidRPr="00001F7B">
        <w:rPr>
          <w:rStyle w:val="FootnoteReference"/>
          <w:rFonts w:cstheme="minorHAnsi"/>
        </w:rPr>
        <w:footnoteReference w:id="59"/>
      </w:r>
      <w:r w:rsidR="00AC11D4" w:rsidRPr="00001F7B">
        <w:rPr>
          <w:rFonts w:cstheme="minorHAnsi"/>
        </w:rPr>
        <w:t xml:space="preserve"> and </w:t>
      </w:r>
      <w:r w:rsidR="009354C8" w:rsidRPr="00001F7B">
        <w:rPr>
          <w:rFonts w:cstheme="minorHAnsi"/>
        </w:rPr>
        <w:t xml:space="preserve"> lists </w:t>
      </w:r>
      <w:r w:rsidR="000D6386" w:rsidRPr="00001F7B">
        <w:rPr>
          <w:rFonts w:cstheme="minorHAnsi"/>
        </w:rPr>
        <w:t xml:space="preserve">the decisions of </w:t>
      </w:r>
      <w:r w:rsidR="008873F4" w:rsidRPr="00001F7B">
        <w:rPr>
          <w:rFonts w:cstheme="minorHAnsi"/>
        </w:rPr>
        <w:t>the following bodies as evidence</w:t>
      </w:r>
      <w:r w:rsidR="00B11528" w:rsidRPr="00001F7B">
        <w:rPr>
          <w:rStyle w:val="FootnoteReference"/>
          <w:rFonts w:cstheme="minorHAnsi"/>
        </w:rPr>
        <w:footnoteReference w:id="60"/>
      </w:r>
      <w:r w:rsidR="008873F4" w:rsidRPr="00001F7B">
        <w:rPr>
          <w:rFonts w:cstheme="minorHAnsi"/>
        </w:rPr>
        <w:t xml:space="preserve">: </w:t>
      </w:r>
      <w:r w:rsidR="00A21D3D">
        <w:rPr>
          <w:rFonts w:cstheme="minorHAnsi"/>
        </w:rPr>
        <w:t xml:space="preserve">the </w:t>
      </w:r>
      <w:r w:rsidR="008873F4" w:rsidRPr="00001F7B">
        <w:rPr>
          <w:rFonts w:cstheme="minorHAnsi"/>
        </w:rPr>
        <w:t>International Court of Justice, the International Tribunal for the Law of the Sea (ITLOS), inter-State arbitral tribunals, the Appellate Body of the World Trade</w:t>
      </w:r>
      <w:r w:rsidR="00AC11D4" w:rsidRPr="00001F7B">
        <w:rPr>
          <w:rFonts w:cstheme="minorHAnsi"/>
        </w:rPr>
        <w:t xml:space="preserve"> Organization (WTO), the European Court of Human Rights, the Inter-American Court of Human Rights, the Court of Justice of the European Union, and international investment tribunals, including those established by the International Centre for Settlement of Investment Disputes (ICSID) under the Convention on the Settlement of Investment Disputes between States and Nationals of Other States.</w:t>
      </w:r>
      <w:r w:rsidR="009972A2" w:rsidRPr="00001F7B">
        <w:rPr>
          <w:rFonts w:cstheme="minorHAnsi"/>
        </w:rPr>
        <w:t xml:space="preserve"> </w:t>
      </w:r>
      <w:r w:rsidR="00D67687" w:rsidRPr="00001F7B">
        <w:rPr>
          <w:rFonts w:cstheme="minorHAnsi"/>
        </w:rPr>
        <w:t>The</w:t>
      </w:r>
      <w:r w:rsidR="000454EA" w:rsidRPr="00001F7B">
        <w:rPr>
          <w:rFonts w:cstheme="minorHAnsi"/>
        </w:rPr>
        <w:t xml:space="preserve"> dates of the decisions </w:t>
      </w:r>
      <w:r w:rsidR="00BD4D09" w:rsidRPr="00001F7B">
        <w:rPr>
          <w:rFonts w:cstheme="minorHAnsi"/>
        </w:rPr>
        <w:t xml:space="preserve">indicated </w:t>
      </w:r>
      <w:r w:rsidR="000454EA" w:rsidRPr="00001F7B">
        <w:rPr>
          <w:rFonts w:cstheme="minorHAnsi"/>
        </w:rPr>
        <w:t xml:space="preserve">range from </w:t>
      </w:r>
      <w:r w:rsidR="000B74BB" w:rsidRPr="00001F7B">
        <w:rPr>
          <w:rFonts w:cstheme="minorHAnsi"/>
        </w:rPr>
        <w:t xml:space="preserve">1994 to 2010 with the </w:t>
      </w:r>
      <w:r w:rsidR="001C56CD" w:rsidRPr="00001F7B">
        <w:rPr>
          <w:rFonts w:cstheme="minorHAnsi"/>
        </w:rPr>
        <w:t xml:space="preserve">bulk occurring after the </w:t>
      </w:r>
      <w:r w:rsidR="0085660A" w:rsidRPr="00001F7B">
        <w:rPr>
          <w:rFonts w:cstheme="minorHAnsi"/>
        </w:rPr>
        <w:t>millennium. As Gardiner reflects, this recognition took some time to develop.</w:t>
      </w:r>
      <w:r w:rsidR="00D52739" w:rsidRPr="00001F7B">
        <w:rPr>
          <w:rStyle w:val="FootnoteReference"/>
          <w:rFonts w:cstheme="minorHAnsi"/>
        </w:rPr>
        <w:footnoteReference w:id="61"/>
      </w:r>
      <w:r w:rsidR="0085660A" w:rsidRPr="00001F7B">
        <w:rPr>
          <w:rFonts w:cstheme="minorHAnsi"/>
        </w:rPr>
        <w:t xml:space="preserve"> </w:t>
      </w:r>
      <w:bookmarkStart w:id="10" w:name="_Hlk113371903"/>
      <w:r w:rsidR="00D3733A" w:rsidRPr="00001F7B">
        <w:rPr>
          <w:rFonts w:cstheme="minorHAnsi"/>
        </w:rPr>
        <w:t>Indeed, Villager</w:t>
      </w:r>
      <w:r w:rsidR="005B1A36" w:rsidRPr="00001F7B">
        <w:rPr>
          <w:rStyle w:val="FootnoteReference"/>
          <w:rFonts w:cstheme="minorHAnsi"/>
        </w:rPr>
        <w:footnoteReference w:id="62"/>
      </w:r>
      <w:r w:rsidR="00D3733A" w:rsidRPr="00001F7B">
        <w:rPr>
          <w:rFonts w:cstheme="minorHAnsi"/>
        </w:rPr>
        <w:t xml:space="preserve"> </w:t>
      </w:r>
      <w:r w:rsidR="00550E2B" w:rsidRPr="00001F7B">
        <w:rPr>
          <w:rFonts w:cstheme="minorHAnsi"/>
        </w:rPr>
        <w:t xml:space="preserve">sees </w:t>
      </w:r>
      <w:r w:rsidR="005D2592" w:rsidRPr="00001F7B">
        <w:rPr>
          <w:rFonts w:cstheme="minorHAnsi"/>
        </w:rPr>
        <w:t>an emerging customary law on the means of interpretation in Articles 31 and 32 which originated in Vienna</w:t>
      </w:r>
      <w:r w:rsidR="001463F5" w:rsidRPr="00001F7B">
        <w:rPr>
          <w:rFonts w:cstheme="minorHAnsi"/>
        </w:rPr>
        <w:t>. Th</w:t>
      </w:r>
      <w:r w:rsidR="003C39E5" w:rsidRPr="00001F7B">
        <w:rPr>
          <w:rFonts w:cstheme="minorHAnsi"/>
        </w:rPr>
        <w:t xml:space="preserve">is suggests something different from recognition of something already existing </w:t>
      </w:r>
      <w:r w:rsidR="005B1A36" w:rsidRPr="00001F7B">
        <w:rPr>
          <w:rFonts w:cstheme="minorHAnsi"/>
        </w:rPr>
        <w:t xml:space="preserve">especially, as he suggests, it may </w:t>
      </w:r>
      <w:r w:rsidR="00FB5272" w:rsidRPr="00001F7B">
        <w:rPr>
          <w:rFonts w:cstheme="minorHAnsi"/>
        </w:rPr>
        <w:t xml:space="preserve">well be </w:t>
      </w:r>
      <w:r w:rsidR="00963C1C" w:rsidRPr="00001F7B">
        <w:rPr>
          <w:rFonts w:cstheme="minorHAnsi"/>
        </w:rPr>
        <w:t xml:space="preserve">continuing to </w:t>
      </w:r>
      <w:r w:rsidR="00FB5272" w:rsidRPr="00001F7B">
        <w:rPr>
          <w:rFonts w:cstheme="minorHAnsi"/>
        </w:rPr>
        <w:t>emerg</w:t>
      </w:r>
      <w:r w:rsidR="00963C1C" w:rsidRPr="00001F7B">
        <w:rPr>
          <w:rFonts w:cstheme="minorHAnsi"/>
        </w:rPr>
        <w:t>e</w:t>
      </w:r>
      <w:r w:rsidR="00FB5272" w:rsidRPr="00001F7B">
        <w:rPr>
          <w:rFonts w:cstheme="minorHAnsi"/>
        </w:rPr>
        <w:t xml:space="preserve"> in a way </w:t>
      </w:r>
      <w:r w:rsidR="00526A95" w:rsidRPr="00001F7B">
        <w:rPr>
          <w:rFonts w:cstheme="minorHAnsi"/>
        </w:rPr>
        <w:t>that does not conform to the text of arts</w:t>
      </w:r>
      <w:r w:rsidR="00CC527B" w:rsidRPr="00001F7B">
        <w:rPr>
          <w:rFonts w:cstheme="minorHAnsi"/>
        </w:rPr>
        <w:t xml:space="preserve"> </w:t>
      </w:r>
      <w:r w:rsidR="00526A95" w:rsidRPr="00001F7B">
        <w:rPr>
          <w:rFonts w:cstheme="minorHAnsi"/>
        </w:rPr>
        <w:t>31 and 32.</w:t>
      </w:r>
      <w:r w:rsidR="00526A95" w:rsidRPr="00001F7B">
        <w:rPr>
          <w:rStyle w:val="FootnoteReference"/>
          <w:rFonts w:cstheme="minorHAnsi"/>
        </w:rPr>
        <w:footnoteReference w:id="63"/>
      </w:r>
      <w:r w:rsidR="00C116FB" w:rsidRPr="00001F7B">
        <w:rPr>
          <w:rFonts w:cstheme="minorHAnsi"/>
        </w:rPr>
        <w:t xml:space="preserve"> </w:t>
      </w:r>
      <w:bookmarkEnd w:id="10"/>
    </w:p>
    <w:p w14:paraId="4EB1FEC6" w14:textId="1A3FA6EB" w:rsidR="008873F4" w:rsidRPr="00001F7B" w:rsidRDefault="00AE099D" w:rsidP="00001F7B">
      <w:pPr>
        <w:rPr>
          <w:rFonts w:cstheme="minorHAnsi"/>
        </w:rPr>
      </w:pPr>
      <w:r w:rsidRPr="00001F7B">
        <w:rPr>
          <w:rFonts w:cstheme="minorHAnsi"/>
        </w:rPr>
        <w:t xml:space="preserve">The report indicated in the last paragraph </w:t>
      </w:r>
      <w:r w:rsidR="00D20084" w:rsidRPr="00001F7B">
        <w:rPr>
          <w:rFonts w:cstheme="minorHAnsi"/>
        </w:rPr>
        <w:t xml:space="preserve">also </w:t>
      </w:r>
      <w:r w:rsidR="00EF794F" w:rsidRPr="00001F7B">
        <w:rPr>
          <w:rFonts w:cstheme="minorHAnsi"/>
        </w:rPr>
        <w:t xml:space="preserve">recognised the application of the Rules </w:t>
      </w:r>
      <w:r w:rsidR="00521983" w:rsidRPr="00001F7B">
        <w:rPr>
          <w:rFonts w:cstheme="minorHAnsi"/>
        </w:rPr>
        <w:t xml:space="preserve">to </w:t>
      </w:r>
      <w:r w:rsidR="00BD1125" w:rsidRPr="00001F7B">
        <w:rPr>
          <w:rFonts w:cstheme="minorHAnsi"/>
        </w:rPr>
        <w:t>prior</w:t>
      </w:r>
      <w:r w:rsidR="000E18AF" w:rsidRPr="00001F7B">
        <w:rPr>
          <w:rFonts w:cstheme="minorHAnsi"/>
        </w:rPr>
        <w:t xml:space="preserve"> </w:t>
      </w:r>
      <w:r w:rsidR="00BD1125" w:rsidRPr="00001F7B">
        <w:rPr>
          <w:rFonts w:cstheme="minorHAnsi"/>
        </w:rPr>
        <w:t>treaties</w:t>
      </w:r>
      <w:r w:rsidR="0060214E" w:rsidRPr="00001F7B">
        <w:rPr>
          <w:rFonts w:cstheme="minorHAnsi"/>
        </w:rPr>
        <w:t>.</w:t>
      </w:r>
      <w:r w:rsidR="000E18AF" w:rsidRPr="00001F7B">
        <w:rPr>
          <w:rStyle w:val="FootnoteReference"/>
          <w:rFonts w:cstheme="minorHAnsi"/>
        </w:rPr>
        <w:footnoteReference w:id="64"/>
      </w:r>
      <w:r w:rsidR="00E16C76" w:rsidRPr="00001F7B">
        <w:rPr>
          <w:rFonts w:cstheme="minorHAnsi"/>
        </w:rPr>
        <w:t xml:space="preserve"> </w:t>
      </w:r>
      <w:r w:rsidR="004E6ED4" w:rsidRPr="00001F7B">
        <w:rPr>
          <w:rFonts w:cstheme="minorHAnsi"/>
        </w:rPr>
        <w:t xml:space="preserve">The tenor of this recognition is precisely </w:t>
      </w:r>
      <w:r w:rsidR="00D14AA8" w:rsidRPr="00001F7B">
        <w:rPr>
          <w:rFonts w:cstheme="minorHAnsi"/>
        </w:rPr>
        <w:t xml:space="preserve">that they reflect already existing </w:t>
      </w:r>
      <w:r w:rsidR="00B7421C" w:rsidRPr="00001F7B">
        <w:rPr>
          <w:rFonts w:cstheme="minorHAnsi"/>
        </w:rPr>
        <w:t xml:space="preserve">CIL </w:t>
      </w:r>
      <w:r w:rsidR="00D14AA8" w:rsidRPr="00001F7B">
        <w:rPr>
          <w:rFonts w:cstheme="minorHAnsi"/>
        </w:rPr>
        <w:t>which a</w:t>
      </w:r>
      <w:r w:rsidR="00725333" w:rsidRPr="00001F7B">
        <w:rPr>
          <w:rFonts w:cstheme="minorHAnsi"/>
        </w:rPr>
        <w:t>rguably</w:t>
      </w:r>
      <w:r w:rsidR="00D14AA8" w:rsidRPr="00001F7B">
        <w:rPr>
          <w:rFonts w:cstheme="minorHAnsi"/>
        </w:rPr>
        <w:t xml:space="preserve"> </w:t>
      </w:r>
      <w:r w:rsidR="0086471D" w:rsidRPr="00001F7B">
        <w:rPr>
          <w:rFonts w:cstheme="minorHAnsi"/>
        </w:rPr>
        <w:t xml:space="preserve">could </w:t>
      </w:r>
      <w:r w:rsidR="00D14AA8" w:rsidRPr="00001F7B">
        <w:rPr>
          <w:rFonts w:cstheme="minorHAnsi"/>
        </w:rPr>
        <w:t>mea</w:t>
      </w:r>
      <w:r w:rsidR="001D32AC" w:rsidRPr="00001F7B">
        <w:rPr>
          <w:rFonts w:cstheme="minorHAnsi"/>
        </w:rPr>
        <w:t>n</w:t>
      </w:r>
      <w:r w:rsidR="00D14AA8" w:rsidRPr="00001F7B">
        <w:rPr>
          <w:rFonts w:cstheme="minorHAnsi"/>
        </w:rPr>
        <w:t xml:space="preserve"> that this </w:t>
      </w:r>
      <w:r w:rsidR="00DE7846" w:rsidRPr="00001F7B">
        <w:rPr>
          <w:rFonts w:cstheme="minorHAnsi"/>
        </w:rPr>
        <w:t xml:space="preserve">recognition </w:t>
      </w:r>
      <w:r w:rsidR="001D32AC" w:rsidRPr="00001F7B">
        <w:rPr>
          <w:rFonts w:cstheme="minorHAnsi"/>
        </w:rPr>
        <w:t xml:space="preserve">in </w:t>
      </w:r>
      <w:r w:rsidR="00DE7846" w:rsidRPr="00001F7B">
        <w:rPr>
          <w:rFonts w:cstheme="minorHAnsi"/>
        </w:rPr>
        <w:t xml:space="preserve">itself </w:t>
      </w:r>
      <w:r w:rsidR="00D14AA8" w:rsidRPr="00001F7B">
        <w:rPr>
          <w:rFonts w:cstheme="minorHAnsi"/>
        </w:rPr>
        <w:t>is also a matter of CIL (i.e. they are to be taken as so reflecting</w:t>
      </w:r>
      <w:r w:rsidR="00B7421C" w:rsidRPr="00001F7B">
        <w:rPr>
          <w:rFonts w:cstheme="minorHAnsi"/>
        </w:rPr>
        <w:t xml:space="preserve"> CIL</w:t>
      </w:r>
      <w:r w:rsidR="00D14AA8" w:rsidRPr="00001F7B">
        <w:rPr>
          <w:rFonts w:cstheme="minorHAnsi"/>
        </w:rPr>
        <w:t xml:space="preserve"> at that time whether or not this was</w:t>
      </w:r>
      <w:r w:rsidR="00B7421C" w:rsidRPr="00001F7B">
        <w:rPr>
          <w:rFonts w:cstheme="minorHAnsi"/>
        </w:rPr>
        <w:t xml:space="preserve"> </w:t>
      </w:r>
      <w:r w:rsidR="00D14AA8" w:rsidRPr="00001F7B">
        <w:rPr>
          <w:rFonts w:cstheme="minorHAnsi"/>
        </w:rPr>
        <w:t>strictly true)</w:t>
      </w:r>
      <w:r w:rsidR="006E0CA6" w:rsidRPr="00001F7B">
        <w:rPr>
          <w:rFonts w:cstheme="minorHAnsi"/>
        </w:rPr>
        <w:t>.</w:t>
      </w:r>
      <w:r w:rsidR="00A15DD8" w:rsidRPr="00001F7B">
        <w:rPr>
          <w:rStyle w:val="FootnoteReference"/>
          <w:rFonts w:cstheme="minorHAnsi"/>
        </w:rPr>
        <w:footnoteReference w:id="65"/>
      </w:r>
      <w:r w:rsidR="006E0CA6" w:rsidRPr="00001F7B">
        <w:rPr>
          <w:rFonts w:cstheme="minorHAnsi"/>
        </w:rPr>
        <w:t xml:space="preserve"> Given that both their status as </w:t>
      </w:r>
      <w:r w:rsidR="00E20D62" w:rsidRPr="00001F7B">
        <w:rPr>
          <w:rFonts w:cstheme="minorHAnsi"/>
        </w:rPr>
        <w:t>codifying</w:t>
      </w:r>
      <w:r w:rsidR="006E0CA6" w:rsidRPr="00001F7B">
        <w:rPr>
          <w:rFonts w:cstheme="minorHAnsi"/>
        </w:rPr>
        <w:t xml:space="preserve"> rules and their applicability to prior treaties seems now to be taken for granted at the international level it </w:t>
      </w:r>
      <w:r w:rsidR="00E20D62" w:rsidRPr="00001F7B">
        <w:rPr>
          <w:rFonts w:cstheme="minorHAnsi"/>
        </w:rPr>
        <w:t xml:space="preserve">is, at the very least, unlikely that any argument contrary </w:t>
      </w:r>
      <w:r w:rsidR="0094119F" w:rsidRPr="00001F7B">
        <w:rPr>
          <w:rFonts w:cstheme="minorHAnsi"/>
        </w:rPr>
        <w:t>to what m</w:t>
      </w:r>
      <w:r w:rsidR="00CF41E5" w:rsidRPr="00001F7B">
        <w:rPr>
          <w:rFonts w:cstheme="minorHAnsi"/>
        </w:rPr>
        <w:t>ight</w:t>
      </w:r>
      <w:r w:rsidR="0094119F" w:rsidRPr="00001F7B">
        <w:rPr>
          <w:rFonts w:cstheme="minorHAnsi"/>
        </w:rPr>
        <w:t xml:space="preserve"> </w:t>
      </w:r>
      <w:r w:rsidR="00E40D07" w:rsidRPr="00001F7B">
        <w:rPr>
          <w:rFonts w:cstheme="minorHAnsi"/>
        </w:rPr>
        <w:t xml:space="preserve">in fact </w:t>
      </w:r>
      <w:r w:rsidR="0094119F" w:rsidRPr="00001F7B">
        <w:rPr>
          <w:rFonts w:cstheme="minorHAnsi"/>
        </w:rPr>
        <w:t>be a fictio</w:t>
      </w:r>
      <w:r w:rsidR="00B7421C" w:rsidRPr="00001F7B">
        <w:rPr>
          <w:rFonts w:cstheme="minorHAnsi"/>
        </w:rPr>
        <w:t>n</w:t>
      </w:r>
      <w:r w:rsidR="0094119F" w:rsidRPr="00001F7B">
        <w:rPr>
          <w:rFonts w:cstheme="minorHAnsi"/>
        </w:rPr>
        <w:t xml:space="preserve"> </w:t>
      </w:r>
      <w:r w:rsidR="00E20D62" w:rsidRPr="00001F7B">
        <w:rPr>
          <w:rFonts w:cstheme="minorHAnsi"/>
        </w:rPr>
        <w:t>can realistically be sustained.</w:t>
      </w:r>
    </w:p>
    <w:p w14:paraId="2EA410DE" w14:textId="0CF6C4B1" w:rsidR="00FE2277" w:rsidRPr="00001F7B" w:rsidRDefault="006B5170" w:rsidP="00001F7B">
      <w:pPr>
        <w:rPr>
          <w:rFonts w:cstheme="minorHAnsi"/>
        </w:rPr>
      </w:pPr>
      <w:r w:rsidRPr="00001F7B">
        <w:rPr>
          <w:rFonts w:cstheme="minorHAnsi"/>
        </w:rPr>
        <w:t>T</w:t>
      </w:r>
      <w:r w:rsidR="00285159" w:rsidRPr="00001F7B">
        <w:rPr>
          <w:rFonts w:cstheme="minorHAnsi"/>
        </w:rPr>
        <w:t xml:space="preserve">his establishes </w:t>
      </w:r>
      <w:r w:rsidR="00B62CC4" w:rsidRPr="00001F7B">
        <w:rPr>
          <w:rFonts w:cstheme="minorHAnsi"/>
        </w:rPr>
        <w:t xml:space="preserve">the overall </w:t>
      </w:r>
      <w:r w:rsidR="00285159" w:rsidRPr="00001F7B">
        <w:rPr>
          <w:rFonts w:cstheme="minorHAnsi"/>
        </w:rPr>
        <w:t xml:space="preserve">international </w:t>
      </w:r>
      <w:r w:rsidR="006F30B2" w:rsidRPr="00001F7B">
        <w:rPr>
          <w:rFonts w:cstheme="minorHAnsi"/>
        </w:rPr>
        <w:t xml:space="preserve">law </w:t>
      </w:r>
      <w:r w:rsidR="00285159" w:rsidRPr="00001F7B">
        <w:rPr>
          <w:rFonts w:cstheme="minorHAnsi"/>
        </w:rPr>
        <w:t>obligation to follow them</w:t>
      </w:r>
      <w:r w:rsidR="00C04ACD" w:rsidRPr="00001F7B">
        <w:rPr>
          <w:rFonts w:cstheme="minorHAnsi"/>
        </w:rPr>
        <w:t>.</w:t>
      </w:r>
      <w:r w:rsidR="00233A5B" w:rsidRPr="00001F7B">
        <w:rPr>
          <w:rFonts w:cstheme="minorHAnsi"/>
        </w:rPr>
        <w:t xml:space="preserve"> </w:t>
      </w:r>
      <w:r w:rsidR="006F30B2" w:rsidRPr="00001F7B">
        <w:rPr>
          <w:rFonts w:cstheme="minorHAnsi"/>
        </w:rPr>
        <w:t xml:space="preserve">For national courts </w:t>
      </w:r>
      <w:r w:rsidR="003F63FA" w:rsidRPr="00001F7B">
        <w:rPr>
          <w:rFonts w:cstheme="minorHAnsi"/>
        </w:rPr>
        <w:t>in countries that</w:t>
      </w:r>
      <w:r w:rsidR="006F30B2" w:rsidRPr="00001F7B">
        <w:rPr>
          <w:rFonts w:cstheme="minorHAnsi"/>
        </w:rPr>
        <w:t xml:space="preserve"> recognise </w:t>
      </w:r>
      <w:r w:rsidR="003F63FA" w:rsidRPr="00001F7B">
        <w:rPr>
          <w:rFonts w:cstheme="minorHAnsi"/>
        </w:rPr>
        <w:t xml:space="preserve">international law and consequently </w:t>
      </w:r>
      <w:r w:rsidR="003E5186" w:rsidRPr="00001F7B">
        <w:rPr>
          <w:rFonts w:cstheme="minorHAnsi"/>
        </w:rPr>
        <w:t>CIL as directly binding</w:t>
      </w:r>
      <w:r w:rsidR="006F30B2" w:rsidRPr="00001F7B">
        <w:rPr>
          <w:rFonts w:cstheme="minorHAnsi"/>
        </w:rPr>
        <w:t xml:space="preserve"> </w:t>
      </w:r>
      <w:r w:rsidR="003F63FA" w:rsidRPr="00001F7B">
        <w:rPr>
          <w:rFonts w:cstheme="minorHAnsi"/>
        </w:rPr>
        <w:t>there</w:t>
      </w:r>
      <w:r w:rsidR="00B62CC4" w:rsidRPr="00001F7B">
        <w:rPr>
          <w:rFonts w:cstheme="minorHAnsi"/>
        </w:rPr>
        <w:t xml:space="preserve"> could </w:t>
      </w:r>
      <w:r w:rsidR="003F63FA" w:rsidRPr="00001F7B">
        <w:rPr>
          <w:rFonts w:cstheme="minorHAnsi"/>
        </w:rPr>
        <w:t>be a constitutional obligation to apply the rules.</w:t>
      </w:r>
      <w:r w:rsidR="00B62CC4" w:rsidRPr="00001F7B">
        <w:rPr>
          <w:rStyle w:val="FootnoteReference"/>
          <w:rFonts w:cstheme="minorHAnsi"/>
        </w:rPr>
        <w:footnoteReference w:id="66"/>
      </w:r>
      <w:r w:rsidR="003F63FA" w:rsidRPr="00001F7B">
        <w:rPr>
          <w:rFonts w:cstheme="minorHAnsi"/>
        </w:rPr>
        <w:t xml:space="preserve"> In other countries the force of the obligation may be felt less strongly and depend upon rules governing the transformation of international law into national law e.g.</w:t>
      </w:r>
      <w:r w:rsidR="00C04ACD" w:rsidRPr="00001F7B">
        <w:rPr>
          <w:rFonts w:cstheme="minorHAnsi"/>
        </w:rPr>
        <w:t>,</w:t>
      </w:r>
      <w:r w:rsidR="003F63FA" w:rsidRPr="00001F7B">
        <w:rPr>
          <w:rFonts w:cstheme="minorHAnsi"/>
        </w:rPr>
        <w:t xml:space="preserve"> </w:t>
      </w:r>
      <w:r w:rsidR="003E5186" w:rsidRPr="00001F7B">
        <w:rPr>
          <w:rFonts w:cstheme="minorHAnsi"/>
        </w:rPr>
        <w:t>as a source of law.</w:t>
      </w:r>
      <w:r w:rsidR="003E5186" w:rsidRPr="00001F7B">
        <w:rPr>
          <w:rStyle w:val="FootnoteReference"/>
          <w:rFonts w:cstheme="minorHAnsi"/>
        </w:rPr>
        <w:footnoteReference w:id="67"/>
      </w:r>
      <w:r w:rsidR="003E5186" w:rsidRPr="00001F7B">
        <w:rPr>
          <w:rFonts w:cstheme="minorHAnsi"/>
        </w:rPr>
        <w:t xml:space="preserve">  </w:t>
      </w:r>
      <w:r w:rsidR="00C90F04" w:rsidRPr="00001F7B">
        <w:rPr>
          <w:rFonts w:cstheme="minorHAnsi"/>
        </w:rPr>
        <w:t>On</w:t>
      </w:r>
      <w:r w:rsidR="00BC7FC3" w:rsidRPr="00001F7B">
        <w:rPr>
          <w:rFonts w:cstheme="minorHAnsi"/>
        </w:rPr>
        <w:t>e</w:t>
      </w:r>
      <w:r w:rsidR="00C90F04" w:rsidRPr="00001F7B">
        <w:rPr>
          <w:rFonts w:cstheme="minorHAnsi"/>
        </w:rPr>
        <w:t xml:space="preserve"> difficulty </w:t>
      </w:r>
      <w:r w:rsidR="00233A5B" w:rsidRPr="00001F7B">
        <w:rPr>
          <w:rFonts w:cstheme="minorHAnsi"/>
        </w:rPr>
        <w:t>could</w:t>
      </w:r>
      <w:r w:rsidR="00C90F04" w:rsidRPr="00001F7B">
        <w:rPr>
          <w:rFonts w:cstheme="minorHAnsi"/>
        </w:rPr>
        <w:t xml:space="preserve"> be that the evidence from the national courts </w:t>
      </w:r>
      <w:r w:rsidR="00233A5B" w:rsidRPr="00001F7B">
        <w:rPr>
          <w:rFonts w:cstheme="minorHAnsi"/>
        </w:rPr>
        <w:t>might</w:t>
      </w:r>
      <w:r w:rsidR="00C90F04" w:rsidRPr="00001F7B">
        <w:rPr>
          <w:rFonts w:cstheme="minorHAnsi"/>
        </w:rPr>
        <w:t xml:space="preserve"> show a different CI</w:t>
      </w:r>
      <w:r w:rsidR="003E5186" w:rsidRPr="00001F7B">
        <w:rPr>
          <w:rFonts w:cstheme="minorHAnsi"/>
        </w:rPr>
        <w:t>L</w:t>
      </w:r>
      <w:r w:rsidR="0076532C" w:rsidRPr="00001F7B">
        <w:rPr>
          <w:rFonts w:cstheme="minorHAnsi"/>
        </w:rPr>
        <w:t xml:space="preserve"> applicable to uniform private law conventions</w:t>
      </w:r>
      <w:r w:rsidR="003E5186" w:rsidRPr="00001F7B">
        <w:rPr>
          <w:rFonts w:cstheme="minorHAnsi"/>
        </w:rPr>
        <w:t>.</w:t>
      </w:r>
      <w:r w:rsidR="0076532C" w:rsidRPr="00001F7B">
        <w:rPr>
          <w:rStyle w:val="FootnoteReference"/>
          <w:rFonts w:cstheme="minorHAnsi"/>
        </w:rPr>
        <w:footnoteReference w:id="68"/>
      </w:r>
      <w:r w:rsidR="003E5186" w:rsidRPr="00001F7B">
        <w:rPr>
          <w:rFonts w:cstheme="minorHAnsi"/>
        </w:rPr>
        <w:t xml:space="preserve"> However, even if there is no </w:t>
      </w:r>
      <w:r w:rsidR="0076532C" w:rsidRPr="00001F7B">
        <w:rPr>
          <w:rFonts w:cstheme="minorHAnsi"/>
        </w:rPr>
        <w:t xml:space="preserve">general </w:t>
      </w:r>
      <w:r w:rsidR="003E5186" w:rsidRPr="00001F7B">
        <w:rPr>
          <w:rFonts w:cstheme="minorHAnsi"/>
        </w:rPr>
        <w:t xml:space="preserve">recognition of the Vienna Rules </w:t>
      </w:r>
      <w:r w:rsidR="00CF41E5" w:rsidRPr="00001F7B">
        <w:rPr>
          <w:rFonts w:cstheme="minorHAnsi"/>
        </w:rPr>
        <w:t>i</w:t>
      </w:r>
      <w:r w:rsidR="0076532C" w:rsidRPr="00001F7B">
        <w:rPr>
          <w:rFonts w:cstheme="minorHAnsi"/>
        </w:rPr>
        <w:t xml:space="preserve">n domestic law </w:t>
      </w:r>
      <w:r w:rsidR="00443158" w:rsidRPr="00001F7B">
        <w:rPr>
          <w:rFonts w:cstheme="minorHAnsi"/>
        </w:rPr>
        <w:t xml:space="preserve">but rather recognition of methods of interpretation applicable to such conventions, </w:t>
      </w:r>
      <w:r w:rsidR="00B84119" w:rsidRPr="00001F7B">
        <w:rPr>
          <w:rFonts w:cstheme="minorHAnsi"/>
        </w:rPr>
        <w:t xml:space="preserve">it is arguable </w:t>
      </w:r>
      <w:r w:rsidR="00443158" w:rsidRPr="00001F7B">
        <w:rPr>
          <w:rFonts w:cstheme="minorHAnsi"/>
        </w:rPr>
        <w:t xml:space="preserve">they could not be regarded as evidence of a special CIL applicable to such conventions. This would be because the courts would not </w:t>
      </w:r>
      <w:r w:rsidR="000D4F76" w:rsidRPr="00001F7B">
        <w:rPr>
          <w:rFonts w:cstheme="minorHAnsi"/>
        </w:rPr>
        <w:t xml:space="preserve">have recognised them as an application of international </w:t>
      </w:r>
      <w:r w:rsidR="00157FE7" w:rsidRPr="00001F7B">
        <w:rPr>
          <w:rFonts w:cstheme="minorHAnsi"/>
        </w:rPr>
        <w:t xml:space="preserve">law </w:t>
      </w:r>
      <w:r w:rsidR="000D4F76" w:rsidRPr="00001F7B">
        <w:rPr>
          <w:rFonts w:cstheme="minorHAnsi"/>
        </w:rPr>
        <w:t xml:space="preserve">but of domestic law in an international context. </w:t>
      </w:r>
      <w:r w:rsidR="00F454D8" w:rsidRPr="00001F7B">
        <w:rPr>
          <w:rFonts w:cstheme="minorHAnsi"/>
        </w:rPr>
        <w:t xml:space="preserve">On the other hand, it could be that the fact that courts often see the </w:t>
      </w:r>
      <w:r w:rsidR="00C04ACD" w:rsidRPr="00001F7B">
        <w:rPr>
          <w:rFonts w:cstheme="minorHAnsi"/>
        </w:rPr>
        <w:t xml:space="preserve">international </w:t>
      </w:r>
      <w:r w:rsidR="00F454D8" w:rsidRPr="00001F7B">
        <w:rPr>
          <w:rFonts w:cstheme="minorHAnsi"/>
        </w:rPr>
        <w:t>context in making interpretative decisions</w:t>
      </w:r>
      <w:r w:rsidR="00C04ACD" w:rsidRPr="00001F7B">
        <w:rPr>
          <w:rFonts w:cstheme="minorHAnsi"/>
        </w:rPr>
        <w:t>,</w:t>
      </w:r>
      <w:r w:rsidR="00F454D8" w:rsidRPr="00001F7B">
        <w:rPr>
          <w:rFonts w:cstheme="minorHAnsi"/>
        </w:rPr>
        <w:t xml:space="preserve"> that might be sufficient to see</w:t>
      </w:r>
      <w:r w:rsidR="00087941" w:rsidRPr="00001F7B">
        <w:rPr>
          <w:rFonts w:cstheme="minorHAnsi"/>
        </w:rPr>
        <w:t xml:space="preserve"> that a</w:t>
      </w:r>
      <w:r w:rsidR="00C04ACD" w:rsidRPr="00001F7B">
        <w:rPr>
          <w:rFonts w:cstheme="minorHAnsi"/>
        </w:rPr>
        <w:t>n</w:t>
      </w:r>
      <w:r w:rsidR="00087941" w:rsidRPr="00001F7B">
        <w:rPr>
          <w:rFonts w:cstheme="minorHAnsi"/>
        </w:rPr>
        <w:t xml:space="preserve"> international principle of law is being applied. It m</w:t>
      </w:r>
      <w:r w:rsidR="00A727E7" w:rsidRPr="00001F7B">
        <w:rPr>
          <w:rFonts w:cstheme="minorHAnsi"/>
        </w:rPr>
        <w:t>ight</w:t>
      </w:r>
      <w:r w:rsidR="00087941" w:rsidRPr="00001F7B">
        <w:rPr>
          <w:rFonts w:cstheme="minorHAnsi"/>
        </w:rPr>
        <w:t xml:space="preserve"> be possible to see the reference by Lord </w:t>
      </w:r>
      <w:r w:rsidR="00064CAA" w:rsidRPr="00001F7B">
        <w:rPr>
          <w:rFonts w:cstheme="minorHAnsi"/>
        </w:rPr>
        <w:t>Macmillan</w:t>
      </w:r>
      <w:r w:rsidR="00087941" w:rsidRPr="00001F7B">
        <w:rPr>
          <w:rFonts w:cstheme="minorHAnsi"/>
        </w:rPr>
        <w:t xml:space="preserve"> to ‘broad principles of general acceptation’ in respect of interpretation of international conventions in that light.</w:t>
      </w:r>
      <w:r w:rsidR="00087941" w:rsidRPr="00001F7B">
        <w:rPr>
          <w:rStyle w:val="FootnoteReference"/>
          <w:rFonts w:cstheme="minorHAnsi"/>
        </w:rPr>
        <w:footnoteReference w:id="69"/>
      </w:r>
      <w:r w:rsidR="00087941" w:rsidRPr="00001F7B">
        <w:rPr>
          <w:rFonts w:cstheme="minorHAnsi"/>
        </w:rPr>
        <w:t xml:space="preserve"> </w:t>
      </w:r>
      <w:r w:rsidR="00F454D8" w:rsidRPr="00001F7B">
        <w:rPr>
          <w:rFonts w:cstheme="minorHAnsi"/>
        </w:rPr>
        <w:t xml:space="preserve"> </w:t>
      </w:r>
      <w:r w:rsidR="00087941" w:rsidRPr="00001F7B">
        <w:rPr>
          <w:rFonts w:cstheme="minorHAnsi"/>
        </w:rPr>
        <w:t>If the former view is taken, however, t</w:t>
      </w:r>
      <w:r w:rsidR="000D4F76" w:rsidRPr="00001F7B">
        <w:rPr>
          <w:rFonts w:cstheme="minorHAnsi"/>
        </w:rPr>
        <w:t>he most that might be possible is that, as a sub-species of treat</w:t>
      </w:r>
      <w:r w:rsidR="00CF41E5" w:rsidRPr="00001F7B">
        <w:rPr>
          <w:rFonts w:cstheme="minorHAnsi"/>
        </w:rPr>
        <w:t>y</w:t>
      </w:r>
      <w:r w:rsidR="000D4F76" w:rsidRPr="00001F7B">
        <w:rPr>
          <w:rFonts w:cstheme="minorHAnsi"/>
        </w:rPr>
        <w:t>, allowances might be made for some adjustment to the Vienna Rules or difference in weighting to the means of interpretation adopted by them.</w:t>
      </w:r>
      <w:r w:rsidR="008C2DB3" w:rsidRPr="00001F7B">
        <w:rPr>
          <w:rFonts w:cstheme="minorHAnsi"/>
        </w:rPr>
        <w:t xml:space="preserve"> </w:t>
      </w:r>
    </w:p>
    <w:p w14:paraId="4A3B976C" w14:textId="01B2AE4C" w:rsidR="00C23BAF" w:rsidRPr="00001F7B" w:rsidRDefault="004C2680" w:rsidP="00001F7B">
      <w:pPr>
        <w:rPr>
          <w:rFonts w:cstheme="minorHAnsi"/>
        </w:rPr>
      </w:pPr>
      <w:r w:rsidRPr="00001F7B">
        <w:rPr>
          <w:rFonts w:cstheme="minorHAnsi"/>
        </w:rPr>
        <w:t>Several writers have traced the gradual and growing recognition of the rules by national courts.</w:t>
      </w:r>
      <w:r w:rsidRPr="00001F7B">
        <w:rPr>
          <w:rStyle w:val="FootnoteReference"/>
          <w:rFonts w:cstheme="minorHAnsi"/>
        </w:rPr>
        <w:footnoteReference w:id="70"/>
      </w:r>
      <w:r w:rsidRPr="00001F7B">
        <w:rPr>
          <w:rFonts w:cstheme="minorHAnsi"/>
        </w:rPr>
        <w:t xml:space="preserve">  </w:t>
      </w:r>
      <w:r w:rsidR="000A2284" w:rsidRPr="00001F7B">
        <w:rPr>
          <w:rFonts w:cstheme="minorHAnsi"/>
        </w:rPr>
        <w:t xml:space="preserve">However, sometimes </w:t>
      </w:r>
      <w:r w:rsidR="00D02E69" w:rsidRPr="00001F7B">
        <w:rPr>
          <w:rFonts w:cstheme="minorHAnsi"/>
        </w:rPr>
        <w:t>caveats</w:t>
      </w:r>
      <w:r w:rsidR="000A2284" w:rsidRPr="00001F7B">
        <w:rPr>
          <w:rFonts w:cstheme="minorHAnsi"/>
        </w:rPr>
        <w:t xml:space="preserve"> </w:t>
      </w:r>
      <w:r w:rsidR="00D02E69" w:rsidRPr="00001F7B">
        <w:rPr>
          <w:rFonts w:cstheme="minorHAnsi"/>
        </w:rPr>
        <w:t xml:space="preserve">are expressed suggesting that </w:t>
      </w:r>
      <w:r w:rsidR="000A2284" w:rsidRPr="00001F7B">
        <w:rPr>
          <w:rFonts w:cstheme="minorHAnsi"/>
        </w:rPr>
        <w:t xml:space="preserve">a degree of caution </w:t>
      </w:r>
      <w:r w:rsidR="00D02E69" w:rsidRPr="00001F7B">
        <w:rPr>
          <w:rFonts w:cstheme="minorHAnsi"/>
        </w:rPr>
        <w:t>is required in seeing their complete</w:t>
      </w:r>
      <w:r w:rsidR="000A2284" w:rsidRPr="00001F7B">
        <w:rPr>
          <w:rFonts w:cstheme="minorHAnsi"/>
        </w:rPr>
        <w:t xml:space="preserve"> recognition and precise application in</w:t>
      </w:r>
      <w:r w:rsidR="00D02E69" w:rsidRPr="00001F7B">
        <w:rPr>
          <w:rFonts w:cstheme="minorHAnsi"/>
        </w:rPr>
        <w:t xml:space="preserve"> their decisions</w:t>
      </w:r>
      <w:r w:rsidR="000A2284" w:rsidRPr="00001F7B">
        <w:rPr>
          <w:rFonts w:cstheme="minorHAnsi"/>
        </w:rPr>
        <w:t xml:space="preserve">. Even fairly recently it has been said that given the overlap between </w:t>
      </w:r>
      <w:r w:rsidR="00157FE7" w:rsidRPr="00001F7B">
        <w:rPr>
          <w:rFonts w:cstheme="minorHAnsi"/>
        </w:rPr>
        <w:t xml:space="preserve">the </w:t>
      </w:r>
      <w:r w:rsidR="000A2284" w:rsidRPr="00001F7B">
        <w:rPr>
          <w:rFonts w:cstheme="minorHAnsi"/>
        </w:rPr>
        <w:t>VCTL’s interpretive principles and domestic principles of contract or statutory construction,</w:t>
      </w:r>
      <w:r w:rsidR="000A2284" w:rsidRPr="00001F7B">
        <w:rPr>
          <w:rStyle w:val="FootnoteReference"/>
          <w:rFonts w:cstheme="minorHAnsi"/>
        </w:rPr>
        <w:footnoteReference w:id="71"/>
      </w:r>
      <w:r w:rsidR="000A2284" w:rsidRPr="00001F7B">
        <w:rPr>
          <w:rFonts w:cstheme="minorHAnsi"/>
        </w:rPr>
        <w:t xml:space="preserve"> it can be difficult to tell whether a court applies domestic canons of construction only, the VCLT, or some combination of the two.</w:t>
      </w:r>
      <w:r w:rsidR="000A2284" w:rsidRPr="00001F7B">
        <w:rPr>
          <w:rStyle w:val="FootnoteReference"/>
          <w:rFonts w:cstheme="minorHAnsi"/>
        </w:rPr>
        <w:footnoteReference w:id="72"/>
      </w:r>
      <w:r w:rsidR="000A2284" w:rsidRPr="00001F7B">
        <w:rPr>
          <w:rFonts w:cstheme="minorHAnsi"/>
        </w:rPr>
        <w:t xml:space="preserve"> </w:t>
      </w:r>
      <w:r w:rsidR="00F93289" w:rsidRPr="00001F7B">
        <w:rPr>
          <w:rFonts w:cstheme="minorHAnsi"/>
        </w:rPr>
        <w:t xml:space="preserve">Even in dualist states </w:t>
      </w:r>
      <w:r w:rsidR="00C749BC" w:rsidRPr="00001F7B">
        <w:rPr>
          <w:rFonts w:cstheme="minorHAnsi"/>
        </w:rPr>
        <w:t>reference to the Vienna rules has become more frequent</w:t>
      </w:r>
      <w:r w:rsidR="00B72733" w:rsidRPr="00001F7B">
        <w:rPr>
          <w:rFonts w:cstheme="minorHAnsi"/>
        </w:rPr>
        <w:t>. This use sometimes appears to</w:t>
      </w:r>
      <w:r w:rsidR="004A51CE" w:rsidRPr="00001F7B">
        <w:rPr>
          <w:rFonts w:cstheme="minorHAnsi"/>
        </w:rPr>
        <w:t xml:space="preserve"> be </w:t>
      </w:r>
      <w:r w:rsidR="00B72733" w:rsidRPr="00001F7B">
        <w:rPr>
          <w:rFonts w:cstheme="minorHAnsi"/>
        </w:rPr>
        <w:t>based on the idea of the rules being in some sense grafted onto the established approaches to treaty interpretation whereas in other cases they are applied more systematically.</w:t>
      </w:r>
      <w:r w:rsidR="00B72733" w:rsidRPr="00001F7B">
        <w:rPr>
          <w:rStyle w:val="FootnoteReference"/>
          <w:rFonts w:cstheme="minorHAnsi"/>
        </w:rPr>
        <w:footnoteReference w:id="73"/>
      </w:r>
      <w:r w:rsidR="00771485" w:rsidRPr="00001F7B">
        <w:rPr>
          <w:rFonts w:cstheme="minorHAnsi"/>
        </w:rPr>
        <w:t xml:space="preserve"> </w:t>
      </w:r>
    </w:p>
    <w:p w14:paraId="26355094" w14:textId="6193DEF5" w:rsidR="002F40C4" w:rsidRPr="00001F7B" w:rsidRDefault="00F93289" w:rsidP="00001F7B">
      <w:pPr>
        <w:rPr>
          <w:rFonts w:cstheme="minorHAnsi"/>
        </w:rPr>
      </w:pPr>
      <w:r w:rsidRPr="00001F7B">
        <w:rPr>
          <w:rFonts w:cstheme="minorHAnsi"/>
        </w:rPr>
        <w:t>Whilst t</w:t>
      </w:r>
      <w:r w:rsidR="00DE752C" w:rsidRPr="00001F7B">
        <w:rPr>
          <w:rFonts w:cstheme="minorHAnsi"/>
        </w:rPr>
        <w:t xml:space="preserve">he </w:t>
      </w:r>
      <w:r w:rsidR="00C23BAF" w:rsidRPr="00001F7B">
        <w:rPr>
          <w:rFonts w:cstheme="minorHAnsi"/>
        </w:rPr>
        <w:t xml:space="preserve">detailed </w:t>
      </w:r>
      <w:r w:rsidR="00DE752C" w:rsidRPr="00001F7B">
        <w:rPr>
          <w:rFonts w:cstheme="minorHAnsi"/>
        </w:rPr>
        <w:t>position</w:t>
      </w:r>
      <w:r w:rsidR="00333FE8" w:rsidRPr="00001F7B">
        <w:rPr>
          <w:rFonts w:cstheme="minorHAnsi"/>
        </w:rPr>
        <w:t xml:space="preserve"> in respect of the UK regarding</w:t>
      </w:r>
      <w:r w:rsidR="00DE752C" w:rsidRPr="00001F7B">
        <w:rPr>
          <w:rFonts w:cstheme="minorHAnsi"/>
        </w:rPr>
        <w:t xml:space="preserve"> methods of interpretation </w:t>
      </w:r>
      <w:r w:rsidR="00C23BAF" w:rsidRPr="00001F7B">
        <w:rPr>
          <w:rFonts w:cstheme="minorHAnsi"/>
        </w:rPr>
        <w:t>and recognition of the Vienna Rules is examined further in the Annex Folder</w:t>
      </w:r>
      <w:r w:rsidRPr="00001F7B">
        <w:rPr>
          <w:rFonts w:cstheme="minorHAnsi"/>
        </w:rPr>
        <w:t>, a brief review here will be made of the UK position as an example of a dualist state</w:t>
      </w:r>
      <w:r w:rsidR="00C23BAF" w:rsidRPr="00001F7B">
        <w:rPr>
          <w:rFonts w:cstheme="minorHAnsi"/>
        </w:rPr>
        <w:t>.</w:t>
      </w:r>
      <w:r w:rsidRPr="00001F7B">
        <w:rPr>
          <w:rStyle w:val="FootnoteReference"/>
          <w:rFonts w:cstheme="minorHAnsi"/>
        </w:rPr>
        <w:footnoteReference w:id="74"/>
      </w:r>
      <w:r w:rsidR="00C23BAF" w:rsidRPr="00001F7B">
        <w:rPr>
          <w:rFonts w:cstheme="minorHAnsi"/>
        </w:rPr>
        <w:t xml:space="preserve"> Gardiner states that </w:t>
      </w:r>
      <w:r w:rsidR="00771485" w:rsidRPr="00001F7B">
        <w:rPr>
          <w:rFonts w:cstheme="minorHAnsi"/>
        </w:rPr>
        <w:t>cases in</w:t>
      </w:r>
      <w:r w:rsidR="00A832D1" w:rsidRPr="00001F7B">
        <w:rPr>
          <w:rFonts w:cstheme="minorHAnsi"/>
        </w:rPr>
        <w:t xml:space="preserve"> </w:t>
      </w:r>
      <w:r w:rsidR="00771485" w:rsidRPr="00001F7B">
        <w:rPr>
          <w:rFonts w:cstheme="minorHAnsi"/>
        </w:rPr>
        <w:t xml:space="preserve">the UK show that the Vienna </w:t>
      </w:r>
      <w:r w:rsidR="00C23BAF" w:rsidRPr="00001F7B">
        <w:rPr>
          <w:rFonts w:cstheme="minorHAnsi"/>
        </w:rPr>
        <w:t>R</w:t>
      </w:r>
      <w:r w:rsidR="00771485" w:rsidRPr="00001F7B">
        <w:rPr>
          <w:rFonts w:cstheme="minorHAnsi"/>
        </w:rPr>
        <w:t>ules have often been regarded merely as an aid to interpretation rather than a framework for the interpretive exercise.</w:t>
      </w:r>
      <w:r w:rsidR="001D5165" w:rsidRPr="00001F7B">
        <w:rPr>
          <w:rStyle w:val="FootnoteReference"/>
          <w:rFonts w:cstheme="minorHAnsi"/>
        </w:rPr>
        <w:footnoteReference w:id="75"/>
      </w:r>
      <w:r w:rsidR="00771485" w:rsidRPr="00001F7B">
        <w:rPr>
          <w:rFonts w:cstheme="minorHAnsi"/>
        </w:rPr>
        <w:t xml:space="preserve"> </w:t>
      </w:r>
      <w:r w:rsidR="004A51CE" w:rsidRPr="00001F7B">
        <w:rPr>
          <w:rFonts w:cstheme="minorHAnsi"/>
        </w:rPr>
        <w:t>He notes</w:t>
      </w:r>
      <w:r w:rsidR="001D5165" w:rsidRPr="00001F7B">
        <w:rPr>
          <w:rStyle w:val="FootnoteReference"/>
          <w:rFonts w:cstheme="minorHAnsi"/>
        </w:rPr>
        <w:footnoteReference w:id="76"/>
      </w:r>
      <w:r w:rsidR="004A51CE" w:rsidRPr="00001F7B">
        <w:rPr>
          <w:rFonts w:cstheme="minorHAnsi"/>
        </w:rPr>
        <w:t xml:space="preserve"> </w:t>
      </w:r>
      <w:r w:rsidR="00F56BC1" w:rsidRPr="00001F7B">
        <w:rPr>
          <w:rFonts w:cstheme="minorHAnsi"/>
        </w:rPr>
        <w:t>that in</w:t>
      </w:r>
      <w:r w:rsidR="00771485" w:rsidRPr="00001F7B">
        <w:rPr>
          <w:rFonts w:cstheme="minorHAnsi"/>
        </w:rPr>
        <w:t xml:space="preserve"> the decision</w:t>
      </w:r>
      <w:r w:rsidR="00F56BC1" w:rsidRPr="00001F7B">
        <w:rPr>
          <w:rFonts w:cstheme="minorHAnsi"/>
        </w:rPr>
        <w:t xml:space="preserve"> </w:t>
      </w:r>
      <w:r w:rsidR="00771485" w:rsidRPr="00001F7B">
        <w:rPr>
          <w:rFonts w:cstheme="minorHAnsi"/>
        </w:rPr>
        <w:t xml:space="preserve">in </w:t>
      </w:r>
      <w:proofErr w:type="spellStart"/>
      <w:r w:rsidR="00771485" w:rsidRPr="00001F7B">
        <w:rPr>
          <w:rFonts w:cstheme="minorHAnsi"/>
          <w:i/>
          <w:iCs/>
        </w:rPr>
        <w:t>Fothergill</w:t>
      </w:r>
      <w:proofErr w:type="spellEnd"/>
      <w:r w:rsidR="00771485" w:rsidRPr="00001F7B">
        <w:rPr>
          <w:rFonts w:cstheme="minorHAnsi"/>
          <w:i/>
          <w:iCs/>
        </w:rPr>
        <w:t xml:space="preserve"> v Monarch Airlines</w:t>
      </w:r>
      <w:r w:rsidR="00771485" w:rsidRPr="00001F7B">
        <w:rPr>
          <w:rFonts w:cstheme="minorHAnsi"/>
        </w:rPr>
        <w:t>,</w:t>
      </w:r>
      <w:r w:rsidR="00771485" w:rsidRPr="00001F7B">
        <w:rPr>
          <w:rStyle w:val="FootnoteReference"/>
          <w:rFonts w:cstheme="minorHAnsi"/>
        </w:rPr>
        <w:footnoteReference w:id="77"/>
      </w:r>
      <w:r w:rsidR="002E2CD3" w:rsidRPr="00001F7B">
        <w:rPr>
          <w:rFonts w:cstheme="minorHAnsi"/>
        </w:rPr>
        <w:t xml:space="preserve"> </w:t>
      </w:r>
      <w:r w:rsidR="00800400" w:rsidRPr="00001F7B">
        <w:rPr>
          <w:rFonts w:cstheme="minorHAnsi"/>
        </w:rPr>
        <w:t>Lord Diplock effectively endorsed the view that Article</w:t>
      </w:r>
      <w:r w:rsidR="007F033D">
        <w:rPr>
          <w:rFonts w:cstheme="minorHAnsi"/>
        </w:rPr>
        <w:t>s</w:t>
      </w:r>
      <w:r w:rsidR="00800400" w:rsidRPr="00001F7B">
        <w:rPr>
          <w:rFonts w:cstheme="minorHAnsi"/>
        </w:rPr>
        <w:t xml:space="preserve"> 31 and 32 amounted to CIL </w:t>
      </w:r>
      <w:r w:rsidR="00717318" w:rsidRPr="00001F7B">
        <w:rPr>
          <w:rFonts w:cstheme="minorHAnsi"/>
        </w:rPr>
        <w:t>but nevertheless saw them as applying to treaties post-dating VCLT’s entry into force thus</w:t>
      </w:r>
      <w:r w:rsidR="00800400" w:rsidRPr="00001F7B">
        <w:rPr>
          <w:rFonts w:cstheme="minorHAnsi"/>
        </w:rPr>
        <w:t xml:space="preserve"> fail</w:t>
      </w:r>
      <w:r w:rsidR="007308AB" w:rsidRPr="00001F7B">
        <w:rPr>
          <w:rFonts w:cstheme="minorHAnsi"/>
        </w:rPr>
        <w:t>ing</w:t>
      </w:r>
      <w:r w:rsidR="00800400" w:rsidRPr="00001F7B">
        <w:rPr>
          <w:rFonts w:cstheme="minorHAnsi"/>
        </w:rPr>
        <w:t xml:space="preserve"> </w:t>
      </w:r>
      <w:r w:rsidR="001A72B4" w:rsidRPr="00001F7B">
        <w:rPr>
          <w:rFonts w:cstheme="minorHAnsi"/>
        </w:rPr>
        <w:t xml:space="preserve">(in Gardiner’s view) </w:t>
      </w:r>
      <w:r w:rsidR="00800400" w:rsidRPr="00001F7B">
        <w:rPr>
          <w:rFonts w:cstheme="minorHAnsi"/>
        </w:rPr>
        <w:t>to draw the full consequences from his assertion that this was a codification of existing law</w:t>
      </w:r>
      <w:r w:rsidR="00472642" w:rsidRPr="00001F7B">
        <w:rPr>
          <w:rFonts w:cstheme="minorHAnsi"/>
        </w:rPr>
        <w:t>.</w:t>
      </w:r>
      <w:r w:rsidR="00472642" w:rsidRPr="00001F7B">
        <w:rPr>
          <w:rStyle w:val="FootnoteReference"/>
          <w:rFonts w:cstheme="minorHAnsi"/>
        </w:rPr>
        <w:footnoteReference w:id="78"/>
      </w:r>
      <w:r w:rsidR="000975F7" w:rsidRPr="00001F7B">
        <w:rPr>
          <w:rFonts w:cstheme="minorHAnsi"/>
        </w:rPr>
        <w:t xml:space="preserve"> He also notes that despite the clear markers in the case that the Vienna rules warranted </w:t>
      </w:r>
      <w:r w:rsidR="000B2449" w:rsidRPr="00001F7B">
        <w:rPr>
          <w:rFonts w:cstheme="minorHAnsi"/>
        </w:rPr>
        <w:t xml:space="preserve">attention </w:t>
      </w:r>
      <w:r w:rsidR="00F50F13" w:rsidRPr="00001F7B">
        <w:rPr>
          <w:rFonts w:cstheme="minorHAnsi"/>
        </w:rPr>
        <w:t xml:space="preserve">this </w:t>
      </w:r>
      <w:r w:rsidR="000B2449" w:rsidRPr="00001F7B">
        <w:rPr>
          <w:rFonts w:cstheme="minorHAnsi"/>
        </w:rPr>
        <w:t>was overshadowed by the emphasis in that case on the preparatory work of a treaty.</w:t>
      </w:r>
      <w:r w:rsidR="000B2449" w:rsidRPr="00001F7B">
        <w:rPr>
          <w:rStyle w:val="FootnoteReference"/>
          <w:rFonts w:cstheme="minorHAnsi"/>
        </w:rPr>
        <w:footnoteReference w:id="79"/>
      </w:r>
      <w:r w:rsidR="000B2449" w:rsidRPr="00001F7B">
        <w:rPr>
          <w:rFonts w:cstheme="minorHAnsi"/>
        </w:rPr>
        <w:t xml:space="preserve">  </w:t>
      </w:r>
      <w:r w:rsidR="000975F7" w:rsidRPr="00001F7B">
        <w:rPr>
          <w:rFonts w:cstheme="minorHAnsi"/>
        </w:rPr>
        <w:t xml:space="preserve">However Gardiner </w:t>
      </w:r>
      <w:r w:rsidR="00116C8E" w:rsidRPr="00001F7B">
        <w:rPr>
          <w:rFonts w:cstheme="minorHAnsi"/>
        </w:rPr>
        <w:t>goes on to show</w:t>
      </w:r>
      <w:r w:rsidR="000B2449" w:rsidRPr="00001F7B">
        <w:rPr>
          <w:rFonts w:cstheme="minorHAnsi"/>
        </w:rPr>
        <w:t xml:space="preserve"> </w:t>
      </w:r>
      <w:r w:rsidR="00F20B5E" w:rsidRPr="00001F7B">
        <w:rPr>
          <w:rFonts w:cstheme="minorHAnsi"/>
        </w:rPr>
        <w:t xml:space="preserve">that isolated indications of awareness was followed by gradual progress towards their more general endorsement until the point where he feels able to say that: “Endorsement of the Vienna </w:t>
      </w:r>
      <w:r w:rsidR="00C300B7" w:rsidRPr="00001F7B">
        <w:rPr>
          <w:rFonts w:cstheme="minorHAnsi"/>
        </w:rPr>
        <w:t>rules for interpreting treaties (including those pre-dating entry into force of the Vienna Convention</w:t>
      </w:r>
      <w:r w:rsidR="00E65914" w:rsidRPr="00001F7B">
        <w:rPr>
          <w:rFonts w:cstheme="minorHAnsi"/>
        </w:rPr>
        <w:t>)</w:t>
      </w:r>
      <w:r w:rsidR="00C300B7" w:rsidRPr="00001F7B">
        <w:rPr>
          <w:rFonts w:cstheme="minorHAnsi"/>
        </w:rPr>
        <w:t xml:space="preserve"> is now unqualified...”</w:t>
      </w:r>
      <w:r w:rsidR="00C300B7" w:rsidRPr="00001F7B">
        <w:rPr>
          <w:rStyle w:val="FootnoteReference"/>
          <w:rFonts w:cstheme="minorHAnsi"/>
        </w:rPr>
        <w:footnoteReference w:id="80"/>
      </w:r>
      <w:r w:rsidR="00C300B7" w:rsidRPr="00001F7B">
        <w:rPr>
          <w:rFonts w:cstheme="minorHAnsi"/>
        </w:rPr>
        <w:t xml:space="preserve"> In respect of </w:t>
      </w:r>
      <w:r w:rsidR="00D91D77" w:rsidRPr="00001F7B">
        <w:rPr>
          <w:rFonts w:cstheme="minorHAnsi"/>
        </w:rPr>
        <w:t xml:space="preserve">its retroactive effect </w:t>
      </w:r>
      <w:r w:rsidR="00E65914" w:rsidRPr="00001F7B">
        <w:rPr>
          <w:rFonts w:cstheme="minorHAnsi"/>
        </w:rPr>
        <w:t xml:space="preserve">Gardiner </w:t>
      </w:r>
      <w:r w:rsidR="00333FE8" w:rsidRPr="00001F7B">
        <w:rPr>
          <w:rFonts w:cstheme="minorHAnsi"/>
        </w:rPr>
        <w:t>identifies</w:t>
      </w:r>
      <w:r w:rsidR="00E65914" w:rsidRPr="00001F7B">
        <w:rPr>
          <w:rFonts w:cstheme="minorHAnsi"/>
        </w:rPr>
        <w:t xml:space="preserve"> English cases which have applied the rules to </w:t>
      </w:r>
      <w:r w:rsidR="003E498C" w:rsidRPr="00001F7B">
        <w:rPr>
          <w:rFonts w:cstheme="minorHAnsi"/>
        </w:rPr>
        <w:t xml:space="preserve">a </w:t>
      </w:r>
      <w:r w:rsidR="00E65914" w:rsidRPr="00001F7B">
        <w:rPr>
          <w:rFonts w:cstheme="minorHAnsi"/>
        </w:rPr>
        <w:t>pre-dated convention</w:t>
      </w:r>
      <w:r w:rsidR="008465DA" w:rsidRPr="00001F7B">
        <w:rPr>
          <w:rFonts w:cstheme="minorHAnsi"/>
        </w:rPr>
        <w:t>,</w:t>
      </w:r>
      <w:r w:rsidR="00E65914" w:rsidRPr="00001F7B">
        <w:rPr>
          <w:rStyle w:val="FootnoteReference"/>
          <w:rFonts w:cstheme="minorHAnsi"/>
        </w:rPr>
        <w:footnoteReference w:id="81"/>
      </w:r>
      <w:r w:rsidR="00250322" w:rsidRPr="00001F7B">
        <w:rPr>
          <w:rFonts w:cstheme="minorHAnsi"/>
        </w:rPr>
        <w:t xml:space="preserve"> </w:t>
      </w:r>
      <w:r w:rsidR="00D03579" w:rsidRPr="00001F7B">
        <w:rPr>
          <w:rFonts w:cstheme="minorHAnsi"/>
        </w:rPr>
        <w:t xml:space="preserve">although he notes that their use is not always overt or systematic and continues to be uneven and piecemeal at times with the influence of </w:t>
      </w:r>
      <w:proofErr w:type="spellStart"/>
      <w:r w:rsidR="00D03579" w:rsidRPr="00001F7B">
        <w:rPr>
          <w:rFonts w:cstheme="minorHAnsi"/>
          <w:i/>
          <w:iCs/>
        </w:rPr>
        <w:t>Fothergill</w:t>
      </w:r>
      <w:proofErr w:type="spellEnd"/>
      <w:r w:rsidR="00D03579" w:rsidRPr="00001F7B">
        <w:rPr>
          <w:rStyle w:val="FootnoteReference"/>
          <w:rFonts w:cstheme="minorHAnsi"/>
        </w:rPr>
        <w:footnoteReference w:id="82"/>
      </w:r>
      <w:r w:rsidR="00D03579" w:rsidRPr="00001F7B">
        <w:rPr>
          <w:rFonts w:cstheme="minorHAnsi"/>
        </w:rPr>
        <w:t xml:space="preserve"> still tending to hamper full deployment of the rules.</w:t>
      </w:r>
      <w:r w:rsidR="00D03579" w:rsidRPr="00001F7B">
        <w:rPr>
          <w:rStyle w:val="FootnoteReference"/>
          <w:rFonts w:cstheme="minorHAnsi"/>
        </w:rPr>
        <w:footnoteReference w:id="83"/>
      </w:r>
      <w:r w:rsidR="00D03579" w:rsidRPr="00001F7B">
        <w:rPr>
          <w:rFonts w:cstheme="minorHAnsi"/>
        </w:rPr>
        <w:t xml:space="preserve"> He concludes that the u</w:t>
      </w:r>
      <w:r w:rsidR="009052E3" w:rsidRPr="00001F7B">
        <w:rPr>
          <w:rFonts w:cstheme="minorHAnsi"/>
        </w:rPr>
        <w:t>se of the rules has been more pragmatic than systematic</w:t>
      </w:r>
      <w:r w:rsidR="00C90791" w:rsidRPr="00001F7B">
        <w:rPr>
          <w:rStyle w:val="FootnoteReference"/>
          <w:rFonts w:cstheme="minorHAnsi"/>
        </w:rPr>
        <w:footnoteReference w:id="84"/>
      </w:r>
      <w:r w:rsidR="009052E3" w:rsidRPr="00001F7B">
        <w:rPr>
          <w:rFonts w:cstheme="minorHAnsi"/>
        </w:rPr>
        <w:t xml:space="preserve"> but that nevertheless</w:t>
      </w:r>
      <w:r w:rsidR="00526686">
        <w:rPr>
          <w:rFonts w:cstheme="minorHAnsi"/>
        </w:rPr>
        <w:t>,</w:t>
      </w:r>
      <w:r w:rsidR="009052E3" w:rsidRPr="00001F7B">
        <w:rPr>
          <w:rFonts w:cstheme="minorHAnsi"/>
        </w:rPr>
        <w:t xml:space="preserve"> a combination of increasing frequency of their invocation and more detailed attention to their application suggest that some progress is being made towards using the rules as the foundation for treaty interpretation in place of the previous mixture of domestic precedents and intermittent selecti</w:t>
      </w:r>
      <w:r w:rsidR="0093495D" w:rsidRPr="00001F7B">
        <w:rPr>
          <w:rFonts w:cstheme="minorHAnsi"/>
        </w:rPr>
        <w:t>on from the rules.</w:t>
      </w:r>
      <w:r w:rsidR="0093495D" w:rsidRPr="00001F7B">
        <w:rPr>
          <w:rStyle w:val="FootnoteReference"/>
          <w:rFonts w:cstheme="minorHAnsi"/>
        </w:rPr>
        <w:footnoteReference w:id="85"/>
      </w:r>
      <w:r w:rsidR="009052E3" w:rsidRPr="00001F7B">
        <w:rPr>
          <w:rFonts w:cstheme="minorHAnsi"/>
        </w:rPr>
        <w:t xml:space="preserve"> </w:t>
      </w:r>
    </w:p>
    <w:p w14:paraId="7637B8B6" w14:textId="6E4D13EA" w:rsidR="00F50F13" w:rsidRPr="00001F7B" w:rsidRDefault="002F40C4" w:rsidP="00001F7B">
      <w:pPr>
        <w:rPr>
          <w:rFonts w:cstheme="minorHAnsi"/>
        </w:rPr>
      </w:pPr>
      <w:r w:rsidRPr="00001F7B">
        <w:rPr>
          <w:rFonts w:cstheme="minorHAnsi"/>
        </w:rPr>
        <w:t xml:space="preserve">Writing at </w:t>
      </w:r>
      <w:r w:rsidR="00732B58" w:rsidRPr="00001F7B">
        <w:rPr>
          <w:rFonts w:cstheme="minorHAnsi"/>
        </w:rPr>
        <w:t xml:space="preserve">much </w:t>
      </w:r>
      <w:r w:rsidRPr="00001F7B">
        <w:rPr>
          <w:rFonts w:cstheme="minorHAnsi"/>
        </w:rPr>
        <w:t>the same as Gardiner, Waibel expresses a little more scepticism about the binding nature of the Rules at least as a matter of practice.</w:t>
      </w:r>
      <w:r w:rsidR="00776F67" w:rsidRPr="00001F7B">
        <w:rPr>
          <w:rStyle w:val="FootnoteReference"/>
          <w:rFonts w:cstheme="minorHAnsi"/>
        </w:rPr>
        <w:footnoteReference w:id="86"/>
      </w:r>
      <w:r w:rsidRPr="00001F7B">
        <w:rPr>
          <w:rFonts w:cstheme="minorHAnsi"/>
        </w:rPr>
        <w:t xml:space="preserve">  </w:t>
      </w:r>
      <w:r w:rsidR="00103E89" w:rsidRPr="00001F7B">
        <w:rPr>
          <w:rFonts w:cstheme="minorHAnsi"/>
        </w:rPr>
        <w:t xml:space="preserve">He notes </w:t>
      </w:r>
      <w:r w:rsidR="00281ACC" w:rsidRPr="00001F7B">
        <w:rPr>
          <w:rFonts w:cstheme="minorHAnsi"/>
        </w:rPr>
        <w:t xml:space="preserve">in respect of English cases </w:t>
      </w:r>
      <w:r w:rsidR="008F3942" w:rsidRPr="00001F7B">
        <w:rPr>
          <w:rFonts w:cstheme="minorHAnsi"/>
        </w:rPr>
        <w:t xml:space="preserve">that </w:t>
      </w:r>
      <w:r w:rsidR="00281ACC" w:rsidRPr="00001F7B">
        <w:rPr>
          <w:rFonts w:cstheme="minorHAnsi"/>
        </w:rPr>
        <w:t xml:space="preserve">whilst </w:t>
      </w:r>
      <w:r w:rsidR="00103E89" w:rsidRPr="00001F7B">
        <w:rPr>
          <w:rFonts w:cstheme="minorHAnsi"/>
        </w:rPr>
        <w:t>there is widespread agreement about the customary character of the VCLT interpretive principles</w:t>
      </w:r>
      <w:r w:rsidR="00281ACC" w:rsidRPr="00001F7B">
        <w:rPr>
          <w:rFonts w:cstheme="minorHAnsi"/>
        </w:rPr>
        <w:t xml:space="preserve"> English</w:t>
      </w:r>
      <w:r w:rsidR="00413522" w:rsidRPr="00001F7B">
        <w:rPr>
          <w:rFonts w:cstheme="minorHAnsi"/>
        </w:rPr>
        <w:t xml:space="preserve"> courts have moved to limit the (automatic) incorporation of CIL into English law </w:t>
      </w:r>
      <w:r w:rsidR="0065418C" w:rsidRPr="00001F7B">
        <w:rPr>
          <w:rFonts w:cstheme="minorHAnsi"/>
        </w:rPr>
        <w:t xml:space="preserve">the limitation being that incorporation takes place only when permitted by the constitution although </w:t>
      </w:r>
      <w:r w:rsidR="008F3942" w:rsidRPr="00001F7B">
        <w:rPr>
          <w:rFonts w:cstheme="minorHAnsi"/>
        </w:rPr>
        <w:t>he considers this un</w:t>
      </w:r>
      <w:r w:rsidR="0065418C" w:rsidRPr="00001F7B">
        <w:rPr>
          <w:rFonts w:cstheme="minorHAnsi"/>
        </w:rPr>
        <w:t>likely to apply to interpretation</w:t>
      </w:r>
      <w:r w:rsidR="008F3942" w:rsidRPr="00001F7B">
        <w:rPr>
          <w:rFonts w:cstheme="minorHAnsi"/>
        </w:rPr>
        <w:t>.</w:t>
      </w:r>
      <w:r w:rsidR="00116C8E" w:rsidRPr="00001F7B">
        <w:rPr>
          <w:rStyle w:val="FootnoteReference"/>
          <w:rFonts w:cstheme="minorHAnsi"/>
        </w:rPr>
        <w:footnoteReference w:id="87"/>
      </w:r>
      <w:r w:rsidR="00116C8E" w:rsidRPr="00001F7B">
        <w:rPr>
          <w:rFonts w:cstheme="minorHAnsi"/>
        </w:rPr>
        <w:t xml:space="preserve"> </w:t>
      </w:r>
    </w:p>
    <w:p w14:paraId="578ADA81" w14:textId="1859F1C7" w:rsidR="004E3C0B" w:rsidRPr="00001F7B" w:rsidRDefault="005832EA" w:rsidP="00001F7B">
      <w:pPr>
        <w:rPr>
          <w:rFonts w:cstheme="minorHAnsi"/>
        </w:rPr>
      </w:pPr>
      <w:r w:rsidRPr="00001F7B">
        <w:rPr>
          <w:rFonts w:cstheme="minorHAnsi"/>
        </w:rPr>
        <w:t>Waibel</w:t>
      </w:r>
      <w:r w:rsidR="0065418C" w:rsidRPr="00001F7B">
        <w:rPr>
          <w:rFonts w:cstheme="minorHAnsi"/>
        </w:rPr>
        <w:t xml:space="preserve"> </w:t>
      </w:r>
      <w:r w:rsidR="00DC7278" w:rsidRPr="00001F7B">
        <w:rPr>
          <w:rFonts w:cstheme="minorHAnsi"/>
        </w:rPr>
        <w:t xml:space="preserve">also </w:t>
      </w:r>
      <w:r w:rsidR="0065418C" w:rsidRPr="00001F7B">
        <w:rPr>
          <w:rFonts w:cstheme="minorHAnsi"/>
        </w:rPr>
        <w:t>notes that English</w:t>
      </w:r>
      <w:r w:rsidR="00281ACC" w:rsidRPr="00001F7B">
        <w:rPr>
          <w:rFonts w:cstheme="minorHAnsi"/>
        </w:rPr>
        <w:t xml:space="preserve"> courts rarely recognise expressly that they are bound to apply the Vienna Rules</w:t>
      </w:r>
      <w:r w:rsidR="00367C67" w:rsidRPr="00001F7B">
        <w:rPr>
          <w:rFonts w:cstheme="minorHAnsi"/>
        </w:rPr>
        <w:t xml:space="preserve"> using not the language of obligation but whether it is permissible to depart from canons of construction in the case of treaties.</w:t>
      </w:r>
      <w:r w:rsidR="00367C67" w:rsidRPr="00001F7B">
        <w:rPr>
          <w:rStyle w:val="FootnoteReference"/>
          <w:rFonts w:cstheme="minorHAnsi"/>
        </w:rPr>
        <w:footnoteReference w:id="88"/>
      </w:r>
      <w:r w:rsidR="00367C67" w:rsidRPr="00001F7B">
        <w:rPr>
          <w:rFonts w:cstheme="minorHAnsi"/>
        </w:rPr>
        <w:t xml:space="preserve"> </w:t>
      </w:r>
      <w:r w:rsidR="00DC7278" w:rsidRPr="00001F7B">
        <w:rPr>
          <w:rFonts w:cstheme="minorHAnsi"/>
        </w:rPr>
        <w:t>A</w:t>
      </w:r>
      <w:r w:rsidR="00DA412A" w:rsidRPr="00001F7B">
        <w:rPr>
          <w:rFonts w:cstheme="minorHAnsi"/>
        </w:rPr>
        <w:t>s a matter of practice, national courts routinely accept that the VCLT principles represent a useful toolbox for interpreting treaties, without these principles being formally binding</w:t>
      </w:r>
      <w:r w:rsidR="00853BDA" w:rsidRPr="00001F7B">
        <w:rPr>
          <w:rFonts w:cstheme="minorHAnsi"/>
        </w:rPr>
        <w:t>.</w:t>
      </w:r>
      <w:r w:rsidR="00B72EBD" w:rsidRPr="00001F7B">
        <w:rPr>
          <w:rStyle w:val="FootnoteReference"/>
          <w:rFonts w:cstheme="minorHAnsi"/>
        </w:rPr>
        <w:footnoteReference w:id="89"/>
      </w:r>
      <w:r w:rsidR="00DA412A" w:rsidRPr="00001F7B">
        <w:rPr>
          <w:rFonts w:cstheme="minorHAnsi"/>
        </w:rPr>
        <w:t xml:space="preserve"> </w:t>
      </w:r>
      <w:r w:rsidR="008B6930" w:rsidRPr="00001F7B">
        <w:rPr>
          <w:rFonts w:cstheme="minorHAnsi"/>
        </w:rPr>
        <w:t>N</w:t>
      </w:r>
      <w:r w:rsidR="004E3C0B" w:rsidRPr="00001F7B">
        <w:rPr>
          <w:rFonts w:cstheme="minorHAnsi"/>
        </w:rPr>
        <w:t>ational courts are typically more familiar with domestic, sometimes unwritten canons of interpretation. Their natural habitat is the interpretive framework provided by their own legal system. They are often inclined to use those canons in treaty interpretation, singly or combined with the VCLT. Even when national courts ostensibly apply the VCLT’s interpretive principles, their application may be coloured by national legal culture, including evolving national approaches to statutory and contractual interpretation.</w:t>
      </w:r>
      <w:r w:rsidR="004E3C0B" w:rsidRPr="00001F7B">
        <w:rPr>
          <w:rStyle w:val="FootnoteReference"/>
          <w:rFonts w:cstheme="minorHAnsi"/>
        </w:rPr>
        <w:footnoteReference w:id="90"/>
      </w:r>
      <w:r w:rsidR="004E3C0B" w:rsidRPr="00001F7B">
        <w:rPr>
          <w:rFonts w:cstheme="minorHAnsi"/>
        </w:rPr>
        <w:t xml:space="preserve"> </w:t>
      </w:r>
      <w:r w:rsidR="006B4DA0" w:rsidRPr="00001F7B">
        <w:rPr>
          <w:rFonts w:cstheme="minorHAnsi"/>
        </w:rPr>
        <w:br/>
      </w:r>
      <w:r w:rsidR="00684D69" w:rsidRPr="00001F7B">
        <w:rPr>
          <w:rFonts w:cstheme="minorHAnsi"/>
        </w:rPr>
        <w:br/>
      </w:r>
      <w:r w:rsidR="00786385" w:rsidRPr="00001F7B">
        <w:rPr>
          <w:rFonts w:cstheme="minorHAnsi"/>
        </w:rPr>
        <w:t xml:space="preserve">Two </w:t>
      </w:r>
      <w:r w:rsidR="004E3C0B" w:rsidRPr="00001F7B">
        <w:rPr>
          <w:rFonts w:cstheme="minorHAnsi"/>
        </w:rPr>
        <w:t>further point</w:t>
      </w:r>
      <w:r w:rsidR="00786385" w:rsidRPr="00001F7B">
        <w:rPr>
          <w:rFonts w:cstheme="minorHAnsi"/>
        </w:rPr>
        <w:t xml:space="preserve">s are made </w:t>
      </w:r>
      <w:r w:rsidR="004E3C0B" w:rsidRPr="00001F7B">
        <w:rPr>
          <w:rFonts w:cstheme="minorHAnsi"/>
        </w:rPr>
        <w:t>to reinforce that strict adherence to the Vienna Rules may not be a matter of high importance to national courts</w:t>
      </w:r>
      <w:r w:rsidR="00786385" w:rsidRPr="00001F7B">
        <w:rPr>
          <w:rFonts w:cstheme="minorHAnsi"/>
        </w:rPr>
        <w:t>. Firstly, the failure to apply them or the incorrect use of them is not typically sanctioned by the possibility of appeal.</w:t>
      </w:r>
      <w:r w:rsidR="00786385" w:rsidRPr="00001F7B">
        <w:rPr>
          <w:rStyle w:val="FootnoteReference"/>
          <w:rFonts w:cstheme="minorHAnsi"/>
        </w:rPr>
        <w:footnoteReference w:id="91"/>
      </w:r>
      <w:r w:rsidR="00786385" w:rsidRPr="00001F7B">
        <w:rPr>
          <w:rFonts w:cstheme="minorHAnsi"/>
        </w:rPr>
        <w:t xml:space="preserve"> Secondly, </w:t>
      </w:r>
      <w:r w:rsidR="004E3C0B" w:rsidRPr="00001F7B">
        <w:rPr>
          <w:rFonts w:cstheme="minorHAnsi"/>
        </w:rPr>
        <w:t>courts</w:t>
      </w:r>
      <w:r w:rsidR="00204432" w:rsidRPr="00001F7B">
        <w:rPr>
          <w:rFonts w:cstheme="minorHAnsi"/>
        </w:rPr>
        <w:t>’</w:t>
      </w:r>
      <w:r w:rsidR="004E3C0B" w:rsidRPr="00001F7B">
        <w:rPr>
          <w:rFonts w:cstheme="minorHAnsi"/>
        </w:rPr>
        <w:t xml:space="preserve"> decisions are unlikely to affect a state’s international obligations especially if the result of a decision would have been the same anyway</w:t>
      </w:r>
      <w:r w:rsidR="00B552FB" w:rsidRPr="00001F7B">
        <w:rPr>
          <w:rFonts w:cstheme="minorHAnsi"/>
        </w:rPr>
        <w:t xml:space="preserve">. </w:t>
      </w:r>
      <w:r w:rsidR="004E3C0B" w:rsidRPr="00001F7B">
        <w:rPr>
          <w:rFonts w:cstheme="minorHAnsi"/>
        </w:rPr>
        <w:t xml:space="preserve">In </w:t>
      </w:r>
      <w:r w:rsidR="004E3C0B" w:rsidRPr="00001F7B">
        <w:rPr>
          <w:rFonts w:cstheme="minorHAnsi"/>
          <w:i/>
          <w:iCs/>
        </w:rPr>
        <w:t xml:space="preserve">Cigna Insurance Company of Europe SA-NV v Transport </w:t>
      </w:r>
      <w:proofErr w:type="spellStart"/>
      <w:r w:rsidR="004E3C0B" w:rsidRPr="00001F7B">
        <w:rPr>
          <w:rFonts w:cstheme="minorHAnsi"/>
          <w:i/>
          <w:iCs/>
        </w:rPr>
        <w:t>Nijs</w:t>
      </w:r>
      <w:proofErr w:type="spellEnd"/>
      <w:r w:rsidR="004E3C0B" w:rsidRPr="00001F7B">
        <w:rPr>
          <w:rFonts w:cstheme="minorHAnsi"/>
          <w:i/>
          <w:iCs/>
        </w:rPr>
        <w:t xml:space="preserve"> BVBA,</w:t>
      </w:r>
      <w:r w:rsidR="004E3C0B" w:rsidRPr="00001F7B">
        <w:rPr>
          <w:rFonts w:cstheme="minorHAnsi"/>
        </w:rPr>
        <w:t xml:space="preserve"> the Belgian Court of Cassation had to consider the argument </w:t>
      </w:r>
      <w:r w:rsidR="00277D26" w:rsidRPr="00001F7B">
        <w:rPr>
          <w:rFonts w:cstheme="minorHAnsi"/>
        </w:rPr>
        <w:t>of</w:t>
      </w:r>
      <w:r w:rsidR="004E3C0B" w:rsidRPr="00001F7B">
        <w:rPr>
          <w:rFonts w:cstheme="minorHAnsi"/>
        </w:rPr>
        <w:t xml:space="preserve"> the plaintiffs that the Court of Appeal had disregarded the rules on treaty interpretation as laid down in Articles 31 and 32 of the VCLT in interpreting </w:t>
      </w:r>
      <w:r w:rsidR="00C34B41" w:rsidRPr="00001F7B">
        <w:rPr>
          <w:rFonts w:cstheme="minorHAnsi"/>
        </w:rPr>
        <w:t xml:space="preserve">CMR. </w:t>
      </w:r>
      <w:r w:rsidR="004E3C0B" w:rsidRPr="00001F7B">
        <w:rPr>
          <w:rFonts w:cstheme="minorHAnsi"/>
        </w:rPr>
        <w:t>The Court of Cassation rejected the argument, stating that the violation of the rules on the interpretation of treaties was only ground for cassation if it amounted to a violation of the interpreted treaty itself at the same time</w:t>
      </w:r>
      <w:r w:rsidR="00754C74" w:rsidRPr="00001F7B">
        <w:rPr>
          <w:rFonts w:cstheme="minorHAnsi"/>
        </w:rPr>
        <w:t>.</w:t>
      </w:r>
      <w:r w:rsidR="00754C74" w:rsidRPr="00001F7B">
        <w:rPr>
          <w:rStyle w:val="FootnoteReference"/>
          <w:rFonts w:cstheme="minorHAnsi"/>
        </w:rPr>
        <w:footnoteReference w:id="92"/>
      </w:r>
      <w:r w:rsidR="004E3C0B" w:rsidRPr="00001F7B">
        <w:rPr>
          <w:rFonts w:cstheme="minorHAnsi"/>
        </w:rPr>
        <w:t xml:space="preserve"> </w:t>
      </w:r>
    </w:p>
    <w:p w14:paraId="32589A56" w14:textId="4D9D1850" w:rsidR="00E50EF9" w:rsidRPr="00001F7B" w:rsidRDefault="00F30A55" w:rsidP="00001F7B">
      <w:pPr>
        <w:rPr>
          <w:rFonts w:cstheme="minorHAnsi"/>
        </w:rPr>
      </w:pPr>
      <w:r w:rsidRPr="00001F7B">
        <w:rPr>
          <w:rFonts w:cstheme="minorHAnsi"/>
        </w:rPr>
        <w:t>In conclusion, i</w:t>
      </w:r>
      <w:r w:rsidR="00E50EF9" w:rsidRPr="00001F7B">
        <w:rPr>
          <w:rFonts w:cstheme="minorHAnsi"/>
        </w:rPr>
        <w:t>t would seem at least highly possible that in the course of time the growing but gradual recognition given by the courts might yet coalesce into a global acceptance of an obligation to follow the</w:t>
      </w:r>
      <w:r w:rsidRPr="00001F7B">
        <w:rPr>
          <w:rFonts w:cstheme="minorHAnsi"/>
        </w:rPr>
        <w:t xml:space="preserve"> Vienna Rules</w:t>
      </w:r>
      <w:r w:rsidR="00E50EF9" w:rsidRPr="00001F7B">
        <w:rPr>
          <w:rFonts w:cstheme="minorHAnsi"/>
        </w:rPr>
        <w:t xml:space="preserve">. Despite the practical difficulties it must be </w:t>
      </w:r>
      <w:r w:rsidR="00953D15" w:rsidRPr="00001F7B">
        <w:rPr>
          <w:rFonts w:cstheme="minorHAnsi"/>
        </w:rPr>
        <w:t xml:space="preserve">the case </w:t>
      </w:r>
      <w:r w:rsidR="00E50EF9" w:rsidRPr="00001F7B">
        <w:rPr>
          <w:rFonts w:cstheme="minorHAnsi"/>
        </w:rPr>
        <w:t xml:space="preserve">that in purely legal terms as a matter of international law </w:t>
      </w:r>
      <w:r w:rsidR="00953D15" w:rsidRPr="00001F7B">
        <w:rPr>
          <w:rFonts w:cstheme="minorHAnsi"/>
        </w:rPr>
        <w:t>there is an obligation to follow</w:t>
      </w:r>
      <w:r w:rsidRPr="00001F7B">
        <w:rPr>
          <w:rFonts w:cstheme="minorHAnsi"/>
        </w:rPr>
        <w:t xml:space="preserve"> them</w:t>
      </w:r>
      <w:r w:rsidR="00953D15" w:rsidRPr="00001F7B">
        <w:rPr>
          <w:rFonts w:cstheme="minorHAnsi"/>
        </w:rPr>
        <w:t>,</w:t>
      </w:r>
      <w:r w:rsidR="00CD6DAB" w:rsidRPr="00001F7B">
        <w:rPr>
          <w:rStyle w:val="FootnoteReference"/>
          <w:rFonts w:cstheme="minorHAnsi"/>
        </w:rPr>
        <w:footnoteReference w:id="93"/>
      </w:r>
      <w:r w:rsidR="00953D15" w:rsidRPr="00001F7B">
        <w:rPr>
          <w:rFonts w:cstheme="minorHAnsi"/>
        </w:rPr>
        <w:t xml:space="preserve"> but the better line of persuasion may be through exposition of the advantages to using them.</w:t>
      </w:r>
      <w:r w:rsidR="00E25F47" w:rsidRPr="00001F7B">
        <w:rPr>
          <w:rStyle w:val="FootnoteReference"/>
          <w:rFonts w:cstheme="minorHAnsi"/>
        </w:rPr>
        <w:footnoteReference w:id="94"/>
      </w:r>
      <w:r w:rsidR="00953D15" w:rsidRPr="00001F7B">
        <w:rPr>
          <w:rFonts w:cstheme="minorHAnsi"/>
        </w:rPr>
        <w:t xml:space="preserve">  </w:t>
      </w:r>
    </w:p>
    <w:p w14:paraId="2D19A2B4" w14:textId="473DE5EB" w:rsidR="000E5CCE" w:rsidRPr="00001F7B" w:rsidRDefault="000E5CCE" w:rsidP="00001F7B">
      <w:pPr>
        <w:rPr>
          <w:rFonts w:cstheme="minorHAnsi"/>
          <w:b/>
          <w:bCs/>
        </w:rPr>
      </w:pPr>
      <w:r w:rsidRPr="00001F7B">
        <w:rPr>
          <w:rFonts w:cstheme="minorHAnsi"/>
          <w:b/>
          <w:bCs/>
        </w:rPr>
        <w:t>2.4.1.1 VC</w:t>
      </w:r>
      <w:r w:rsidR="0036516E" w:rsidRPr="00001F7B">
        <w:rPr>
          <w:rFonts w:cstheme="minorHAnsi"/>
          <w:b/>
          <w:bCs/>
        </w:rPr>
        <w:t>LT</w:t>
      </w:r>
      <w:r w:rsidRPr="00001F7B">
        <w:rPr>
          <w:rFonts w:cstheme="minorHAnsi"/>
          <w:b/>
          <w:bCs/>
        </w:rPr>
        <w:t>, Autonomy and CIL</w:t>
      </w:r>
    </w:p>
    <w:p w14:paraId="01827C46" w14:textId="65322E15" w:rsidR="00F24557" w:rsidRPr="00001F7B" w:rsidRDefault="000E5CCE" w:rsidP="00001F7B">
      <w:pPr>
        <w:rPr>
          <w:rFonts w:cstheme="minorHAnsi"/>
        </w:rPr>
      </w:pPr>
      <w:r w:rsidRPr="00001F7B">
        <w:rPr>
          <w:rFonts w:cstheme="minorHAnsi"/>
        </w:rPr>
        <w:t>Some of the strands considered above can be brought together in</w:t>
      </w:r>
      <w:r w:rsidR="0036516E" w:rsidRPr="00001F7B">
        <w:rPr>
          <w:rFonts w:cstheme="minorHAnsi"/>
        </w:rPr>
        <w:t xml:space="preserve"> linking the concept of autonomy both with the VCLT and with CIL. </w:t>
      </w:r>
      <w:r w:rsidR="00946AA3" w:rsidRPr="00001F7B">
        <w:rPr>
          <w:rFonts w:cstheme="minorHAnsi"/>
        </w:rPr>
        <w:t xml:space="preserve">It will </w:t>
      </w:r>
      <w:r w:rsidR="00244445" w:rsidRPr="00001F7B">
        <w:rPr>
          <w:rFonts w:cstheme="minorHAnsi"/>
        </w:rPr>
        <w:t xml:space="preserve">be </w:t>
      </w:r>
      <w:r w:rsidR="00946AA3" w:rsidRPr="00001F7B">
        <w:rPr>
          <w:rFonts w:cstheme="minorHAnsi"/>
        </w:rPr>
        <w:t xml:space="preserve">recalled that Mola </w:t>
      </w:r>
      <w:r w:rsidR="00244445" w:rsidRPr="00001F7B">
        <w:rPr>
          <w:rFonts w:cstheme="minorHAnsi"/>
        </w:rPr>
        <w:t xml:space="preserve">and </w:t>
      </w:r>
      <w:proofErr w:type="spellStart"/>
      <w:r w:rsidR="00DC64EE" w:rsidRPr="00001F7B">
        <w:rPr>
          <w:rFonts w:cstheme="minorHAnsi"/>
        </w:rPr>
        <w:t>Poncib</w:t>
      </w:r>
      <w:r w:rsidR="00012A90" w:rsidRPr="00001F7B">
        <w:rPr>
          <w:rFonts w:cstheme="minorHAnsi"/>
        </w:rPr>
        <w:t>ò</w:t>
      </w:r>
      <w:proofErr w:type="spellEnd"/>
      <w:r w:rsidR="00946AA3" w:rsidRPr="00001F7B">
        <w:rPr>
          <w:rFonts w:cstheme="minorHAnsi"/>
        </w:rPr>
        <w:t xml:space="preserve"> </w:t>
      </w:r>
      <w:r w:rsidR="00F24557" w:rsidRPr="00001F7B">
        <w:rPr>
          <w:rFonts w:cstheme="minorHAnsi"/>
        </w:rPr>
        <w:t xml:space="preserve">noted that the Rules </w:t>
      </w:r>
      <w:r w:rsidR="00077525" w:rsidRPr="00001F7B">
        <w:rPr>
          <w:rFonts w:cstheme="minorHAnsi"/>
        </w:rPr>
        <w:t>are</w:t>
      </w:r>
      <w:r w:rsidR="00F24557" w:rsidRPr="00001F7B">
        <w:rPr>
          <w:rFonts w:cstheme="minorHAnsi"/>
        </w:rPr>
        <w:t xml:space="preserve"> both common to all treaties and ‘autonomous’ from other frameworks for legal interpretation</w:t>
      </w:r>
      <w:r w:rsidR="00012A90" w:rsidRPr="00001F7B">
        <w:rPr>
          <w:rFonts w:cstheme="minorHAnsi"/>
        </w:rPr>
        <w:t>;</w:t>
      </w:r>
      <w:r w:rsidR="00F24557" w:rsidRPr="00001F7B">
        <w:rPr>
          <w:rStyle w:val="FootnoteReference"/>
          <w:rFonts w:cstheme="minorHAnsi"/>
        </w:rPr>
        <w:footnoteReference w:id="95"/>
      </w:r>
      <w:r w:rsidR="00F24557" w:rsidRPr="00001F7B">
        <w:rPr>
          <w:rFonts w:cstheme="minorHAnsi"/>
        </w:rPr>
        <w:t xml:space="preserve"> reflect a need for certainty</w:t>
      </w:r>
      <w:r w:rsidR="00012A90" w:rsidRPr="00001F7B">
        <w:rPr>
          <w:rFonts w:cstheme="minorHAnsi"/>
        </w:rPr>
        <w:t>;</w:t>
      </w:r>
      <w:r w:rsidR="00F24557" w:rsidRPr="00001F7B">
        <w:rPr>
          <w:rStyle w:val="FootnoteReference"/>
          <w:rFonts w:cstheme="minorHAnsi"/>
        </w:rPr>
        <w:footnoteReference w:id="96"/>
      </w:r>
      <w:r w:rsidR="007C1B76" w:rsidRPr="00001F7B">
        <w:rPr>
          <w:rFonts w:cstheme="minorHAnsi"/>
        </w:rPr>
        <w:t xml:space="preserve"> </w:t>
      </w:r>
      <w:r w:rsidR="00F24557" w:rsidRPr="00001F7B">
        <w:rPr>
          <w:rFonts w:cstheme="minorHAnsi"/>
        </w:rPr>
        <w:t>reflect the very notion of treaty as</w:t>
      </w:r>
      <w:r w:rsidR="00480008" w:rsidRPr="00001F7B">
        <w:rPr>
          <w:rFonts w:cstheme="minorHAnsi"/>
        </w:rPr>
        <w:t xml:space="preserve"> agreement </w:t>
      </w:r>
      <w:r w:rsidR="00946AA3" w:rsidRPr="00001F7B">
        <w:rPr>
          <w:rFonts w:cstheme="minorHAnsi"/>
        </w:rPr>
        <w:t>and showed that art</w:t>
      </w:r>
      <w:r w:rsidR="00F24557" w:rsidRPr="00001F7B">
        <w:rPr>
          <w:rFonts w:cstheme="minorHAnsi"/>
        </w:rPr>
        <w:t xml:space="preserve"> 3</w:t>
      </w:r>
      <w:r w:rsidR="00946AA3" w:rsidRPr="00001F7B">
        <w:rPr>
          <w:rFonts w:cstheme="minorHAnsi"/>
        </w:rPr>
        <w:t>1.3</w:t>
      </w:r>
      <w:r w:rsidR="00F24557" w:rsidRPr="00001F7B">
        <w:rPr>
          <w:rFonts w:cstheme="minorHAnsi"/>
        </w:rPr>
        <w:t xml:space="preserve"> of the VCLT on the interpretation of a treaty put in its wider context and Article 33 on the interpretation of treaties authenticated in two or more languages imply that there cannot be unilateral approaches to the meaning of treaty terms.</w:t>
      </w:r>
      <w:r w:rsidR="00F24557" w:rsidRPr="00001F7B">
        <w:rPr>
          <w:rStyle w:val="FootnoteReference"/>
          <w:rFonts w:cstheme="minorHAnsi"/>
        </w:rPr>
        <w:footnoteReference w:id="97"/>
      </w:r>
      <w:r w:rsidR="00F24557" w:rsidRPr="00001F7B">
        <w:rPr>
          <w:rFonts w:cstheme="minorHAnsi"/>
        </w:rPr>
        <w:t xml:space="preserve"> </w:t>
      </w:r>
      <w:r w:rsidR="00946AA3" w:rsidRPr="00001F7B">
        <w:rPr>
          <w:rFonts w:cstheme="minorHAnsi"/>
        </w:rPr>
        <w:t>They then go on to say that f</w:t>
      </w:r>
      <w:r w:rsidR="00F24557" w:rsidRPr="00001F7B">
        <w:rPr>
          <w:rFonts w:cstheme="minorHAnsi"/>
        </w:rPr>
        <w:t>rom this “It follows that interpreters of treaties need to search for the ‘only and objective meaning’ of the terms of that treaty.</w:t>
      </w:r>
      <w:r w:rsidR="00F579B8" w:rsidRPr="00001F7B">
        <w:rPr>
          <w:rStyle w:val="FootnoteReference"/>
          <w:rFonts w:cstheme="minorHAnsi"/>
        </w:rPr>
        <w:footnoteReference w:id="98"/>
      </w:r>
      <w:r w:rsidR="00F24557" w:rsidRPr="00001F7B">
        <w:rPr>
          <w:rFonts w:cstheme="minorHAnsi"/>
        </w:rPr>
        <w:t xml:space="preserve"> Only in the case that a treaty provides so, they may ﬁnd this meaning within the internal legal order of one contracting state</w:t>
      </w:r>
      <w:r w:rsidR="00946AA3" w:rsidRPr="00001F7B">
        <w:rPr>
          <w:rFonts w:cstheme="minorHAnsi"/>
        </w:rPr>
        <w:t>…</w:t>
      </w:r>
      <w:r w:rsidR="00F24557" w:rsidRPr="00001F7B">
        <w:rPr>
          <w:rFonts w:cstheme="minorHAnsi"/>
        </w:rPr>
        <w:t>.Otherwise, the interpreter of a treaty may extract the only and objective meaning of the terms of the treaty in question from the general principles of that treaty, or from the principles common to the contracting states. However, to do so, interpreters are given a single normative framework of interpretation, as speciﬁed at Articles 31-33 of the VCLT.”</w:t>
      </w:r>
      <w:r w:rsidR="00F24557" w:rsidRPr="00001F7B">
        <w:rPr>
          <w:rStyle w:val="FootnoteReference"/>
          <w:rFonts w:cstheme="minorHAnsi"/>
        </w:rPr>
        <w:footnoteReference w:id="99"/>
      </w:r>
    </w:p>
    <w:p w14:paraId="75495BA3" w14:textId="46EA3760" w:rsidR="00E371E6" w:rsidRPr="00001F7B" w:rsidRDefault="00E371E6" w:rsidP="00001F7B">
      <w:pPr>
        <w:rPr>
          <w:rFonts w:cstheme="minorHAnsi"/>
        </w:rPr>
      </w:pPr>
      <w:r w:rsidRPr="00001F7B">
        <w:rPr>
          <w:rFonts w:cstheme="minorHAnsi"/>
        </w:rPr>
        <w:t xml:space="preserve">Apart from this logical extraction from the nature of treaties and the nature of the Vienna Rules themselves there is also the possibility that autonomous interpretation of treaties is in itself a rule of CIL. An expression of this comes from Lord </w:t>
      </w:r>
      <w:r w:rsidR="00D437B8" w:rsidRPr="00001F7B">
        <w:rPr>
          <w:rFonts w:cstheme="minorHAnsi"/>
        </w:rPr>
        <w:t>Steyn</w:t>
      </w:r>
      <w:r w:rsidRPr="00001F7B">
        <w:rPr>
          <w:rFonts w:cstheme="minorHAnsi"/>
        </w:rPr>
        <w:t xml:space="preserve"> in </w:t>
      </w:r>
      <w:r w:rsidR="00D437B8" w:rsidRPr="00001F7B">
        <w:rPr>
          <w:rFonts w:cstheme="minorHAnsi"/>
          <w:i/>
          <w:iCs/>
        </w:rPr>
        <w:t>R v Secretary of State for the Home Department</w:t>
      </w:r>
      <w:r w:rsidR="00D437B8" w:rsidRPr="00001F7B">
        <w:rPr>
          <w:rFonts w:cstheme="minorHAnsi"/>
        </w:rPr>
        <w:t xml:space="preserve">, </w:t>
      </w:r>
      <w:r w:rsidR="00D437B8" w:rsidRPr="00001F7B">
        <w:rPr>
          <w:rFonts w:cstheme="minorHAnsi"/>
          <w:i/>
          <w:iCs/>
        </w:rPr>
        <w:t xml:space="preserve">ex </w:t>
      </w:r>
      <w:proofErr w:type="spellStart"/>
      <w:r w:rsidR="00D437B8" w:rsidRPr="00001F7B">
        <w:rPr>
          <w:rFonts w:cstheme="minorHAnsi"/>
          <w:i/>
          <w:iCs/>
        </w:rPr>
        <w:t>parte</w:t>
      </w:r>
      <w:proofErr w:type="spellEnd"/>
      <w:r w:rsidR="00D437B8" w:rsidRPr="00001F7B">
        <w:rPr>
          <w:rFonts w:cstheme="minorHAnsi"/>
          <w:i/>
          <w:iCs/>
        </w:rPr>
        <w:t xml:space="preserve"> Adan</w:t>
      </w:r>
      <w:r w:rsidR="00FA175F" w:rsidRPr="00001F7B">
        <w:rPr>
          <w:rFonts w:cstheme="minorHAnsi"/>
        </w:rPr>
        <w:t>,</w:t>
      </w:r>
      <w:r w:rsidR="00FA175F" w:rsidRPr="00001F7B">
        <w:rPr>
          <w:rStyle w:val="FootnoteReference"/>
          <w:rFonts w:cstheme="minorHAnsi"/>
        </w:rPr>
        <w:footnoteReference w:id="100"/>
      </w:r>
      <w:r w:rsidR="00D437B8" w:rsidRPr="00001F7B">
        <w:rPr>
          <w:rFonts w:cstheme="minorHAnsi"/>
        </w:rPr>
        <w:t xml:space="preserve"> </w:t>
      </w:r>
      <w:r w:rsidR="00FA175F" w:rsidRPr="00001F7B">
        <w:rPr>
          <w:rFonts w:cstheme="minorHAnsi"/>
        </w:rPr>
        <w:t xml:space="preserve">who saw determining the autonomous meaning of </w:t>
      </w:r>
      <w:r w:rsidR="007F033D">
        <w:rPr>
          <w:rFonts w:cstheme="minorHAnsi"/>
        </w:rPr>
        <w:t>a</w:t>
      </w:r>
      <w:r w:rsidR="00FA175F" w:rsidRPr="00001F7B">
        <w:rPr>
          <w:rFonts w:cstheme="minorHAnsi"/>
        </w:rPr>
        <w:t xml:space="preserve"> treaty as a principle which is part of the alphabet of customary international law. He also saw </w:t>
      </w:r>
      <w:r w:rsidR="00A65995" w:rsidRPr="00001F7B">
        <w:rPr>
          <w:rFonts w:cstheme="minorHAnsi"/>
        </w:rPr>
        <w:t xml:space="preserve">that such an independent meaning must be derivable from the sources mentioned in arts 31 and 32 of the VCLT. </w:t>
      </w:r>
    </w:p>
    <w:p w14:paraId="570CCB5D" w14:textId="361548A6" w:rsidR="00F80538" w:rsidRPr="00001F7B" w:rsidRDefault="00F80538" w:rsidP="00001F7B">
      <w:pPr>
        <w:rPr>
          <w:rFonts w:cstheme="minorHAnsi"/>
        </w:rPr>
      </w:pPr>
      <w:r w:rsidRPr="00001F7B">
        <w:rPr>
          <w:rFonts w:cstheme="minorHAnsi"/>
        </w:rPr>
        <w:t xml:space="preserve">One final link to be made here is that </w:t>
      </w:r>
      <w:r w:rsidRPr="00001F7B">
        <w:rPr>
          <w:rFonts w:cstheme="minorHAnsi"/>
          <w:i/>
          <w:iCs/>
        </w:rPr>
        <w:t xml:space="preserve">ex </w:t>
      </w:r>
      <w:proofErr w:type="spellStart"/>
      <w:r w:rsidRPr="00001F7B">
        <w:rPr>
          <w:rFonts w:cstheme="minorHAnsi"/>
          <w:i/>
          <w:iCs/>
        </w:rPr>
        <w:t>parte</w:t>
      </w:r>
      <w:proofErr w:type="spellEnd"/>
      <w:r w:rsidRPr="00001F7B">
        <w:rPr>
          <w:rFonts w:cstheme="minorHAnsi"/>
          <w:i/>
          <w:iCs/>
        </w:rPr>
        <w:t xml:space="preserve"> Ada</w:t>
      </w:r>
      <w:r w:rsidR="00A15F00" w:rsidRPr="00001F7B">
        <w:rPr>
          <w:rFonts w:cstheme="minorHAnsi"/>
          <w:i/>
          <w:iCs/>
        </w:rPr>
        <w:t>n</w:t>
      </w:r>
      <w:r w:rsidRPr="00001F7B">
        <w:rPr>
          <w:rFonts w:cstheme="minorHAnsi"/>
        </w:rPr>
        <w:t xml:space="preserve"> involved an issue as to whether there could be different interpretations of the meaning of a provision that could legitimately be made by different countries or courts. </w:t>
      </w:r>
      <w:r w:rsidR="00B248EC" w:rsidRPr="00001F7B">
        <w:rPr>
          <w:rFonts w:cstheme="minorHAnsi"/>
        </w:rPr>
        <w:t xml:space="preserve">The clear view </w:t>
      </w:r>
      <w:r w:rsidR="00E169E7" w:rsidRPr="00001F7B">
        <w:rPr>
          <w:rFonts w:cstheme="minorHAnsi"/>
        </w:rPr>
        <w:t>i</w:t>
      </w:r>
      <w:r w:rsidR="00B248EC" w:rsidRPr="00001F7B">
        <w:rPr>
          <w:rFonts w:cstheme="minorHAnsi"/>
        </w:rPr>
        <w:t xml:space="preserve">n the case, as stated by Lord Steyn </w:t>
      </w:r>
      <w:r w:rsidR="00E169E7" w:rsidRPr="00001F7B">
        <w:rPr>
          <w:rFonts w:cstheme="minorHAnsi"/>
        </w:rPr>
        <w:t xml:space="preserve">was </w:t>
      </w:r>
      <w:r w:rsidR="00B248EC" w:rsidRPr="00001F7B">
        <w:rPr>
          <w:rFonts w:cstheme="minorHAnsi"/>
        </w:rPr>
        <w:t xml:space="preserve">there could only be one. In agreement Lord </w:t>
      </w:r>
      <w:proofErr w:type="spellStart"/>
      <w:r w:rsidR="00B248EC" w:rsidRPr="00001F7B">
        <w:rPr>
          <w:rFonts w:cstheme="minorHAnsi"/>
        </w:rPr>
        <w:t>Slynn</w:t>
      </w:r>
      <w:proofErr w:type="spellEnd"/>
      <w:r w:rsidR="00B248EC" w:rsidRPr="00001F7B">
        <w:rPr>
          <w:rFonts w:cstheme="minorHAnsi"/>
        </w:rPr>
        <w:t xml:space="preserve"> stated that a list of permissible or legitimate or possible or reasonable meaning</w:t>
      </w:r>
      <w:r w:rsidR="00E169E7" w:rsidRPr="00001F7B">
        <w:rPr>
          <w:rFonts w:cstheme="minorHAnsi"/>
        </w:rPr>
        <w:t>s</w:t>
      </w:r>
      <w:r w:rsidR="00B248EC" w:rsidRPr="00001F7B">
        <w:rPr>
          <w:rFonts w:cstheme="minorHAnsi"/>
        </w:rPr>
        <w:t xml:space="preserve"> cannot be adopted </w:t>
      </w:r>
      <w:r w:rsidR="00882A27" w:rsidRPr="00001F7B">
        <w:rPr>
          <w:rFonts w:cstheme="minorHAnsi"/>
        </w:rPr>
        <w:t>and for any one of them to be applied and considered to be in compliance with the (Refugee) Convention.</w:t>
      </w:r>
      <w:r w:rsidR="00882A27" w:rsidRPr="00001F7B">
        <w:rPr>
          <w:rStyle w:val="FootnoteReference"/>
          <w:rFonts w:cstheme="minorHAnsi"/>
        </w:rPr>
        <w:footnoteReference w:id="101"/>
      </w:r>
      <w:r w:rsidR="00002D11" w:rsidRPr="00001F7B">
        <w:rPr>
          <w:rFonts w:cstheme="minorHAnsi"/>
        </w:rPr>
        <w:t xml:space="preserve"> Gardiner notes the Anti-Dumping agreement which has an express provision for the possibility of more than one permissible interpretation which can possibly </w:t>
      </w:r>
      <w:r w:rsidR="00E169E7" w:rsidRPr="00001F7B">
        <w:rPr>
          <w:rFonts w:cstheme="minorHAnsi"/>
        </w:rPr>
        <w:t xml:space="preserve">be </w:t>
      </w:r>
      <w:r w:rsidR="00002D11" w:rsidRPr="00001F7B">
        <w:rPr>
          <w:rFonts w:cstheme="minorHAnsi"/>
        </w:rPr>
        <w:t>explained as curtailing the process of interpretation at a certain point but be goes on to note that: “Normally a treaty provision has only one correct interpretation, even though there may be scope for great divergence of opinion as to what that interpretation is.”</w:t>
      </w:r>
      <w:r w:rsidR="00002D11" w:rsidRPr="00001F7B">
        <w:rPr>
          <w:rStyle w:val="FootnoteReference"/>
          <w:rFonts w:cstheme="minorHAnsi"/>
        </w:rPr>
        <w:footnoteReference w:id="102"/>
      </w:r>
    </w:p>
    <w:p w14:paraId="3ABC168B" w14:textId="2BCA72E6" w:rsidR="001B1A4B" w:rsidRPr="00001F7B" w:rsidRDefault="001B1A4B" w:rsidP="00001F7B">
      <w:pPr>
        <w:rPr>
          <w:rFonts w:cstheme="minorHAnsi"/>
          <w:b/>
          <w:bCs/>
        </w:rPr>
      </w:pPr>
      <w:r w:rsidRPr="00001F7B">
        <w:rPr>
          <w:rFonts w:cstheme="minorHAnsi"/>
          <w:b/>
          <w:bCs/>
        </w:rPr>
        <w:t xml:space="preserve">2.4.2 </w:t>
      </w:r>
      <w:r w:rsidR="00EF5BE6" w:rsidRPr="00001F7B">
        <w:rPr>
          <w:rFonts w:cstheme="minorHAnsi"/>
          <w:b/>
          <w:bCs/>
        </w:rPr>
        <w:t>The lingering problem of dualism</w:t>
      </w:r>
    </w:p>
    <w:p w14:paraId="05E7985F" w14:textId="030DD396" w:rsidR="00944939" w:rsidRPr="00001F7B" w:rsidRDefault="00EF5BE6" w:rsidP="00001F7B">
      <w:pPr>
        <w:rPr>
          <w:rFonts w:eastAsiaTheme="minorEastAsia" w:cstheme="minorHAnsi"/>
          <w:color w:val="000000"/>
          <w:lang w:eastAsia="en-GB"/>
        </w:rPr>
      </w:pPr>
      <w:r w:rsidRPr="00001F7B">
        <w:rPr>
          <w:rFonts w:cstheme="minorHAnsi"/>
        </w:rPr>
        <w:t>A</w:t>
      </w:r>
      <w:r w:rsidR="00953D15" w:rsidRPr="00001F7B">
        <w:rPr>
          <w:rFonts w:cstheme="minorHAnsi"/>
        </w:rPr>
        <w:t xml:space="preserve">s noted </w:t>
      </w:r>
      <w:r w:rsidR="000C1B40" w:rsidRPr="00001F7B">
        <w:rPr>
          <w:rFonts w:cstheme="minorHAnsi"/>
        </w:rPr>
        <w:t xml:space="preserve">earlier </w:t>
      </w:r>
      <w:r w:rsidR="00953D15" w:rsidRPr="00001F7B">
        <w:rPr>
          <w:rFonts w:cstheme="minorHAnsi"/>
        </w:rPr>
        <w:t>a</w:t>
      </w:r>
      <w:r w:rsidRPr="00001F7B">
        <w:rPr>
          <w:rFonts w:cstheme="minorHAnsi"/>
        </w:rPr>
        <w:t xml:space="preserve">n extra dimension to the application of the Rules as binding international law arises in respect of dualist states. The </w:t>
      </w:r>
      <w:r w:rsidR="00F513CF" w:rsidRPr="00001F7B">
        <w:rPr>
          <w:rFonts w:cstheme="minorHAnsi"/>
        </w:rPr>
        <w:t xml:space="preserve">position in </w:t>
      </w:r>
      <w:r w:rsidRPr="00001F7B">
        <w:rPr>
          <w:rFonts w:cstheme="minorHAnsi"/>
        </w:rPr>
        <w:t xml:space="preserve">English law </w:t>
      </w:r>
      <w:r w:rsidR="00F513CF" w:rsidRPr="00001F7B">
        <w:rPr>
          <w:rFonts w:cstheme="minorHAnsi"/>
        </w:rPr>
        <w:t>can be</w:t>
      </w:r>
      <w:r w:rsidRPr="00001F7B">
        <w:rPr>
          <w:rFonts w:cstheme="minorHAnsi"/>
        </w:rPr>
        <w:t xml:space="preserve"> considered </w:t>
      </w:r>
      <w:r w:rsidR="00696CE9" w:rsidRPr="00001F7B">
        <w:rPr>
          <w:rFonts w:cstheme="minorHAnsi"/>
        </w:rPr>
        <w:t xml:space="preserve">initially </w:t>
      </w:r>
      <w:r w:rsidRPr="00001F7B">
        <w:rPr>
          <w:rFonts w:cstheme="minorHAnsi"/>
        </w:rPr>
        <w:t xml:space="preserve">as an example. </w:t>
      </w:r>
      <w:r w:rsidR="000B502A" w:rsidRPr="00001F7B">
        <w:rPr>
          <w:rFonts w:cstheme="minorHAnsi"/>
        </w:rPr>
        <w:t>It is a fundamental principle of English constitutional law that the courts will not regard a treaty by itself as being a source of English law in the sense that it imposes duties or confers rights upon private individuals. In order to become binding upon individuals, a treaty must be incorporated into the law of England by legislation.</w:t>
      </w:r>
      <w:r w:rsidR="000B502A" w:rsidRPr="00001F7B">
        <w:rPr>
          <w:rStyle w:val="FootnoteReference"/>
          <w:rFonts w:cstheme="minorHAnsi"/>
        </w:rPr>
        <w:footnoteReference w:id="103"/>
      </w:r>
      <w:r w:rsidR="000B502A" w:rsidRPr="00001F7B">
        <w:rPr>
          <w:rFonts w:cstheme="minorHAnsi"/>
        </w:rPr>
        <w:t xml:space="preserve"> </w:t>
      </w:r>
      <w:r w:rsidR="00696CE9" w:rsidRPr="00001F7B">
        <w:rPr>
          <w:rFonts w:cstheme="minorHAnsi"/>
        </w:rPr>
        <w:t xml:space="preserve">A difficulty here is the variety of legislative ways in which treaties are brought into effect </w:t>
      </w:r>
      <w:r w:rsidR="00486BBE" w:rsidRPr="00001F7B">
        <w:rPr>
          <w:rFonts w:cstheme="minorHAnsi"/>
        </w:rPr>
        <w:t>e.g.,</w:t>
      </w:r>
      <w:r w:rsidR="00696CE9" w:rsidRPr="00001F7B">
        <w:rPr>
          <w:rFonts w:cstheme="minorHAnsi"/>
        </w:rPr>
        <w:t xml:space="preserve"> by reproducing rules based on them </w:t>
      </w:r>
      <w:r w:rsidR="00AE1A70" w:rsidRPr="00001F7B">
        <w:rPr>
          <w:rFonts w:cstheme="minorHAnsi"/>
        </w:rPr>
        <w:t>into a statute or by scheduling the substantive provisions into a schedule to an Act as in the case of CMR</w:t>
      </w:r>
      <w:r w:rsidR="00696CE9" w:rsidRPr="00001F7B">
        <w:rPr>
          <w:rFonts w:cstheme="minorHAnsi"/>
        </w:rPr>
        <w:t xml:space="preserve">. </w:t>
      </w:r>
      <w:r w:rsidR="00AE1A70" w:rsidRPr="00001F7B">
        <w:rPr>
          <w:rFonts w:cstheme="minorHAnsi"/>
        </w:rPr>
        <w:t>The tendency in the past has been for the courts to see themselves as interpreting the legislation with the treaty in the background as an aid.</w:t>
      </w:r>
      <w:r w:rsidR="00AE1A70" w:rsidRPr="00001F7B">
        <w:rPr>
          <w:rStyle w:val="FootnoteReference"/>
          <w:rFonts w:cstheme="minorHAnsi"/>
        </w:rPr>
        <w:footnoteReference w:id="104"/>
      </w:r>
      <w:r w:rsidR="00AE1A70" w:rsidRPr="00001F7B">
        <w:rPr>
          <w:rFonts w:cstheme="minorHAnsi"/>
        </w:rPr>
        <w:t xml:space="preserve"> </w:t>
      </w:r>
      <w:r w:rsidR="00F513CF" w:rsidRPr="00001F7B">
        <w:rPr>
          <w:rFonts w:cstheme="minorHAnsi"/>
        </w:rPr>
        <w:t>As with CMR it is the rules in the schedule which are given the force of law rather than the treaty itself.</w:t>
      </w:r>
      <w:r w:rsidR="00F513CF" w:rsidRPr="00001F7B">
        <w:rPr>
          <w:rStyle w:val="FootnoteReference"/>
          <w:rFonts w:cstheme="minorHAnsi"/>
        </w:rPr>
        <w:footnoteReference w:id="105"/>
      </w:r>
      <w:r w:rsidR="00BF490B" w:rsidRPr="00001F7B">
        <w:rPr>
          <w:rFonts w:cstheme="minorHAnsi"/>
        </w:rPr>
        <w:t xml:space="preserve"> </w:t>
      </w:r>
      <w:r w:rsidR="00055DD5" w:rsidRPr="00001F7B">
        <w:rPr>
          <w:rFonts w:cstheme="minorHAnsi"/>
        </w:rPr>
        <w:t xml:space="preserve">So far as CIL is concerned there </w:t>
      </w:r>
      <w:r w:rsidR="00055DD5" w:rsidRPr="00001F7B">
        <w:rPr>
          <w:rFonts w:eastAsiaTheme="minorEastAsia" w:cstheme="minorHAnsi"/>
          <w:color w:val="000000"/>
          <w:lang w:eastAsia="en-GB"/>
        </w:rPr>
        <w:t>has been a simple traditional view</w:t>
      </w:r>
      <w:bookmarkStart w:id="12" w:name="co_fnRef_114_1"/>
      <w:bookmarkEnd w:id="12"/>
      <w:r w:rsidR="00055DD5" w:rsidRPr="00001F7B">
        <w:rPr>
          <w:rFonts w:eastAsiaTheme="minorEastAsia" w:cstheme="minorHAnsi"/>
          <w:color w:val="000000"/>
          <w:lang w:eastAsia="en-GB"/>
        </w:rPr>
        <w:t xml:space="preserve"> that CIL is automatically incorporated into the common law of England.</w:t>
      </w:r>
      <w:r w:rsidR="00055DD5" w:rsidRPr="00001F7B">
        <w:rPr>
          <w:rStyle w:val="FootnoteReference"/>
          <w:rFonts w:eastAsiaTheme="minorEastAsia" w:cstheme="minorHAnsi"/>
          <w:color w:val="000000"/>
          <w:lang w:eastAsia="en-GB"/>
        </w:rPr>
        <w:footnoteReference w:id="106"/>
      </w:r>
      <w:r w:rsidR="00055DD5" w:rsidRPr="00001F7B">
        <w:rPr>
          <w:rFonts w:eastAsiaTheme="minorEastAsia" w:cstheme="minorHAnsi"/>
          <w:color w:val="000000"/>
          <w:lang w:eastAsia="en-GB"/>
        </w:rPr>
        <w:t xml:space="preserve"> </w:t>
      </w:r>
      <w:r w:rsidR="00556B18" w:rsidRPr="00001F7B">
        <w:rPr>
          <w:rFonts w:cstheme="minorHAnsi"/>
        </w:rPr>
        <w:t>The better view</w:t>
      </w:r>
      <w:r w:rsidR="00556B18" w:rsidRPr="00001F7B">
        <w:rPr>
          <w:rFonts w:eastAsiaTheme="minorEastAsia" w:cstheme="minorHAnsi"/>
          <w:color w:val="000000"/>
          <w:lang w:eastAsia="en-GB"/>
        </w:rPr>
        <w:t xml:space="preserve"> is that domestic constitutional law operates as a filter governing the extent to which the domestic courts should recognise norms taken from CIL</w:t>
      </w:r>
      <w:r w:rsidR="00C92D0B" w:rsidRPr="00001F7B">
        <w:rPr>
          <w:rFonts w:eastAsiaTheme="minorEastAsia" w:cstheme="minorHAnsi"/>
          <w:color w:val="000000"/>
          <w:lang w:eastAsia="en-GB"/>
        </w:rPr>
        <w:t>.</w:t>
      </w:r>
      <w:r w:rsidR="00556B18" w:rsidRPr="00001F7B">
        <w:rPr>
          <w:rStyle w:val="FootnoteReference"/>
          <w:rFonts w:eastAsiaTheme="minorEastAsia" w:cstheme="minorHAnsi"/>
          <w:color w:val="000000"/>
          <w:lang w:eastAsia="en-GB"/>
        </w:rPr>
        <w:footnoteReference w:id="107"/>
      </w:r>
      <w:r w:rsidR="00C92D0B" w:rsidRPr="00001F7B">
        <w:rPr>
          <w:rFonts w:eastAsiaTheme="minorEastAsia" w:cstheme="minorHAnsi"/>
          <w:color w:val="000000"/>
          <w:lang w:eastAsia="en-GB"/>
        </w:rPr>
        <w:t xml:space="preserve"> </w:t>
      </w:r>
      <w:r w:rsidR="00556B18" w:rsidRPr="00001F7B">
        <w:rPr>
          <w:rFonts w:eastAsiaTheme="minorEastAsia" w:cstheme="minorHAnsi"/>
          <w:color w:val="000000"/>
          <w:lang w:eastAsia="en-GB"/>
        </w:rPr>
        <w:t xml:space="preserve">In effect this means that CIL operates as a potential source of law </w:t>
      </w:r>
      <w:r w:rsidR="009C011A" w:rsidRPr="00001F7B">
        <w:rPr>
          <w:rFonts w:eastAsiaTheme="minorEastAsia" w:cstheme="minorHAnsi"/>
          <w:color w:val="000000"/>
          <w:lang w:eastAsia="en-GB"/>
        </w:rPr>
        <w:t>subject to principles of constitutional law.</w:t>
      </w:r>
      <w:r w:rsidR="008F282E" w:rsidRPr="00001F7B">
        <w:rPr>
          <w:rStyle w:val="FootnoteReference"/>
          <w:rFonts w:eastAsiaTheme="minorEastAsia" w:cstheme="minorHAnsi"/>
          <w:color w:val="000000"/>
          <w:lang w:eastAsia="en-GB"/>
        </w:rPr>
        <w:footnoteReference w:id="108"/>
      </w:r>
      <w:r w:rsidR="009C011A" w:rsidRPr="00001F7B">
        <w:rPr>
          <w:rFonts w:eastAsiaTheme="minorEastAsia" w:cstheme="minorHAnsi"/>
          <w:color w:val="000000"/>
          <w:lang w:eastAsia="en-GB"/>
        </w:rPr>
        <w:t xml:space="preserve"> </w:t>
      </w:r>
      <w:r w:rsidR="00B67869" w:rsidRPr="00001F7B">
        <w:rPr>
          <w:rFonts w:eastAsiaTheme="minorEastAsia" w:cstheme="minorHAnsi"/>
          <w:color w:val="000000"/>
          <w:lang w:eastAsia="en-GB"/>
        </w:rPr>
        <w:t xml:space="preserve">For some judges there </w:t>
      </w:r>
      <w:r w:rsidR="008656B5" w:rsidRPr="00001F7B">
        <w:rPr>
          <w:rFonts w:eastAsiaTheme="minorEastAsia" w:cstheme="minorHAnsi"/>
          <w:color w:val="000000"/>
          <w:lang w:eastAsia="en-GB"/>
        </w:rPr>
        <w:t>m</w:t>
      </w:r>
      <w:r w:rsidR="00B67869" w:rsidRPr="00001F7B">
        <w:rPr>
          <w:rFonts w:eastAsiaTheme="minorEastAsia" w:cstheme="minorHAnsi"/>
          <w:color w:val="000000"/>
          <w:lang w:eastAsia="en-GB"/>
        </w:rPr>
        <w:t>ay have been sufficient recognition of the Vienna Rules as CIL to amount to acceptance of them as part of English law,</w:t>
      </w:r>
      <w:r w:rsidR="00B67869" w:rsidRPr="00001F7B">
        <w:rPr>
          <w:rStyle w:val="FootnoteReference"/>
          <w:rFonts w:eastAsiaTheme="minorEastAsia" w:cstheme="minorHAnsi"/>
          <w:color w:val="000000"/>
          <w:lang w:eastAsia="en-GB"/>
        </w:rPr>
        <w:footnoteReference w:id="109"/>
      </w:r>
      <w:r w:rsidR="00B67869" w:rsidRPr="00001F7B">
        <w:rPr>
          <w:rFonts w:eastAsiaTheme="minorEastAsia" w:cstheme="minorHAnsi"/>
          <w:color w:val="000000"/>
          <w:lang w:eastAsia="en-GB"/>
        </w:rPr>
        <w:t xml:space="preserve"> </w:t>
      </w:r>
      <w:r w:rsidR="008656B5" w:rsidRPr="00001F7B">
        <w:rPr>
          <w:rFonts w:eastAsiaTheme="minorEastAsia" w:cstheme="minorHAnsi"/>
          <w:color w:val="000000"/>
          <w:lang w:eastAsia="en-GB"/>
        </w:rPr>
        <w:t>but it is as yet uncertain how far this is a fully established position.</w:t>
      </w:r>
    </w:p>
    <w:p w14:paraId="3787C89D" w14:textId="1E09DDCA" w:rsidR="009748B2" w:rsidRPr="00001F7B" w:rsidRDefault="009748B2" w:rsidP="00001F7B">
      <w:pPr>
        <w:rPr>
          <w:rFonts w:cstheme="minorHAnsi"/>
        </w:rPr>
      </w:pPr>
    </w:p>
    <w:p w14:paraId="39F37B70" w14:textId="5E34B04D" w:rsidR="009672AB" w:rsidRPr="00E35B47" w:rsidRDefault="009701D2" w:rsidP="00001F7B">
      <w:pPr>
        <w:rPr>
          <w:rFonts w:cstheme="minorHAnsi"/>
          <w:b/>
          <w:bCs/>
          <w:sz w:val="24"/>
          <w:szCs w:val="24"/>
        </w:rPr>
      </w:pPr>
      <w:r w:rsidRPr="00001F7B">
        <w:rPr>
          <w:rFonts w:cstheme="minorHAnsi"/>
          <w:b/>
          <w:bCs/>
        </w:rPr>
        <w:t xml:space="preserve">3 </w:t>
      </w:r>
      <w:r w:rsidRPr="00E35B47">
        <w:rPr>
          <w:rFonts w:cstheme="minorHAnsi"/>
          <w:b/>
          <w:bCs/>
          <w:sz w:val="24"/>
          <w:szCs w:val="24"/>
        </w:rPr>
        <w:t xml:space="preserve">Detailed </w:t>
      </w:r>
      <w:r w:rsidR="00CC048D" w:rsidRPr="00E35B47">
        <w:rPr>
          <w:rFonts w:cstheme="minorHAnsi"/>
          <w:b/>
          <w:bCs/>
          <w:sz w:val="24"/>
          <w:szCs w:val="24"/>
        </w:rPr>
        <w:t>R</w:t>
      </w:r>
      <w:r w:rsidR="009672AB" w:rsidRPr="00E35B47">
        <w:rPr>
          <w:rFonts w:cstheme="minorHAnsi"/>
          <w:b/>
          <w:bCs/>
          <w:sz w:val="24"/>
          <w:szCs w:val="24"/>
        </w:rPr>
        <w:t xml:space="preserve">eview </w:t>
      </w:r>
      <w:r w:rsidRPr="00E35B47">
        <w:rPr>
          <w:rFonts w:cstheme="minorHAnsi"/>
          <w:b/>
          <w:bCs/>
          <w:sz w:val="24"/>
          <w:szCs w:val="24"/>
        </w:rPr>
        <w:t>of the Vienna Rules</w:t>
      </w:r>
    </w:p>
    <w:p w14:paraId="7BF1B912" w14:textId="2BA23782" w:rsidR="001012DA" w:rsidRPr="00001F7B" w:rsidRDefault="001012DA" w:rsidP="00001F7B">
      <w:pPr>
        <w:rPr>
          <w:rFonts w:cstheme="minorHAnsi"/>
        </w:rPr>
      </w:pPr>
      <w:r w:rsidRPr="00001F7B">
        <w:rPr>
          <w:rFonts w:cstheme="minorHAnsi"/>
        </w:rPr>
        <w:t>SECTION 3. INTERPRETATION OF TREATIES</w:t>
      </w:r>
    </w:p>
    <w:p w14:paraId="0355EA4B" w14:textId="77777777" w:rsidR="001012DA" w:rsidRPr="00001F7B" w:rsidRDefault="001012DA" w:rsidP="00001F7B">
      <w:pPr>
        <w:rPr>
          <w:rFonts w:cstheme="minorHAnsi"/>
        </w:rPr>
      </w:pPr>
      <w:r w:rsidRPr="00001F7B">
        <w:rPr>
          <w:rFonts w:cstheme="minorHAnsi"/>
        </w:rPr>
        <w:t>Article 31</w:t>
      </w:r>
    </w:p>
    <w:p w14:paraId="1209F160" w14:textId="77777777" w:rsidR="001012DA" w:rsidRPr="00001F7B" w:rsidRDefault="001012DA" w:rsidP="00001F7B">
      <w:pPr>
        <w:rPr>
          <w:rFonts w:cstheme="minorHAnsi"/>
        </w:rPr>
      </w:pPr>
      <w:r w:rsidRPr="00001F7B">
        <w:rPr>
          <w:rFonts w:cstheme="minorHAnsi"/>
        </w:rPr>
        <w:t>General rule of interpretation</w:t>
      </w:r>
    </w:p>
    <w:p w14:paraId="6F6CC217" w14:textId="10417AA8" w:rsidR="001012DA" w:rsidRPr="00001F7B" w:rsidRDefault="001012DA" w:rsidP="00001F7B">
      <w:pPr>
        <w:rPr>
          <w:rFonts w:cstheme="minorHAnsi"/>
        </w:rPr>
      </w:pPr>
      <w:r w:rsidRPr="00001F7B">
        <w:rPr>
          <w:rFonts w:cstheme="minorHAnsi"/>
        </w:rPr>
        <w:t>1.A treaty shall be interpreted in good faith in accordance with the ordinary meaning to be given</w:t>
      </w:r>
      <w:r w:rsidR="005F6FFC" w:rsidRPr="00001F7B">
        <w:rPr>
          <w:rFonts w:cstheme="minorHAnsi"/>
        </w:rPr>
        <w:t xml:space="preserve"> </w:t>
      </w:r>
      <w:r w:rsidRPr="00001F7B">
        <w:rPr>
          <w:rFonts w:cstheme="minorHAnsi"/>
        </w:rPr>
        <w:t>to the terms of the treaty in their context and in the light of its object and purpose.</w:t>
      </w:r>
      <w:r w:rsidR="005F6FFC" w:rsidRPr="00001F7B">
        <w:rPr>
          <w:rFonts w:cstheme="minorHAnsi"/>
        </w:rPr>
        <w:br/>
      </w:r>
      <w:r w:rsidRPr="00001F7B">
        <w:rPr>
          <w:rFonts w:cstheme="minorHAnsi"/>
        </w:rPr>
        <w:br/>
        <w:t>2.The context for the purpose of the interpretation of a treaty shall comprise, in addition to the text, including its preamble and annexes:</w:t>
      </w:r>
    </w:p>
    <w:p w14:paraId="62AC697A" w14:textId="52EC67E8" w:rsidR="001012DA" w:rsidRPr="00001F7B" w:rsidRDefault="001012DA" w:rsidP="00001F7B">
      <w:pPr>
        <w:rPr>
          <w:rFonts w:cstheme="minorHAnsi"/>
        </w:rPr>
      </w:pPr>
      <w:r w:rsidRPr="00001F7B">
        <w:rPr>
          <w:rFonts w:cstheme="minorHAnsi"/>
        </w:rPr>
        <w:t>(a) any agreement relating to the treaty which was made between all the parties in connection with</w:t>
      </w:r>
      <w:r w:rsidR="0068538E" w:rsidRPr="00001F7B">
        <w:rPr>
          <w:rFonts w:cstheme="minorHAnsi"/>
        </w:rPr>
        <w:t xml:space="preserve"> </w:t>
      </w:r>
      <w:r w:rsidRPr="00001F7B">
        <w:rPr>
          <w:rFonts w:cstheme="minorHAnsi"/>
        </w:rPr>
        <w:t>the conclusion of the treaty;</w:t>
      </w:r>
    </w:p>
    <w:p w14:paraId="2F741481" w14:textId="0F077140" w:rsidR="001012DA" w:rsidRPr="00001F7B" w:rsidRDefault="001012DA" w:rsidP="00001F7B">
      <w:pPr>
        <w:rPr>
          <w:rFonts w:cstheme="minorHAnsi"/>
        </w:rPr>
      </w:pPr>
      <w:r w:rsidRPr="00001F7B">
        <w:rPr>
          <w:rFonts w:cstheme="minorHAnsi"/>
        </w:rPr>
        <w:t>(b) any instrument which was made by one or more parties in connection with the conclusion of the treaty and accepted by the other parties as an instrument related to the treaty.</w:t>
      </w:r>
    </w:p>
    <w:p w14:paraId="3CB2D19A" w14:textId="1E604BE2" w:rsidR="001E7D86" w:rsidRPr="00001F7B" w:rsidRDefault="001012DA" w:rsidP="00001F7B">
      <w:pPr>
        <w:rPr>
          <w:rFonts w:cstheme="minorHAnsi"/>
        </w:rPr>
      </w:pPr>
      <w:r w:rsidRPr="00001F7B">
        <w:rPr>
          <w:rFonts w:cstheme="minorHAnsi"/>
        </w:rPr>
        <w:t>3.There shall be taken into account, together with the context:</w:t>
      </w:r>
    </w:p>
    <w:p w14:paraId="565077F0" w14:textId="5D53F74A" w:rsidR="001012DA" w:rsidRPr="00001F7B" w:rsidRDefault="001012DA" w:rsidP="00001F7B">
      <w:pPr>
        <w:rPr>
          <w:rFonts w:cstheme="minorHAnsi"/>
        </w:rPr>
      </w:pPr>
      <w:r w:rsidRPr="00001F7B">
        <w:rPr>
          <w:rFonts w:cstheme="minorHAnsi"/>
        </w:rPr>
        <w:t>(a) any subsequent agreement between the parties regarding the interpretation of the treaty or the application of its provisions;</w:t>
      </w:r>
    </w:p>
    <w:p w14:paraId="318D5212" w14:textId="11210316" w:rsidR="001012DA" w:rsidRPr="00001F7B" w:rsidRDefault="001012DA" w:rsidP="00001F7B">
      <w:pPr>
        <w:rPr>
          <w:rFonts w:cstheme="minorHAnsi"/>
        </w:rPr>
      </w:pPr>
      <w:r w:rsidRPr="00001F7B">
        <w:rPr>
          <w:rFonts w:cstheme="minorHAnsi"/>
        </w:rPr>
        <w:t>(b) any subsequent practice in the application of the treaty which establishes the agreement of the parties regarding its interpretation;</w:t>
      </w:r>
    </w:p>
    <w:p w14:paraId="1592387C" w14:textId="77777777" w:rsidR="001012DA" w:rsidRPr="00001F7B" w:rsidRDefault="001012DA" w:rsidP="00001F7B">
      <w:pPr>
        <w:rPr>
          <w:rFonts w:cstheme="minorHAnsi"/>
        </w:rPr>
      </w:pPr>
      <w:r w:rsidRPr="00001F7B">
        <w:rPr>
          <w:rFonts w:cstheme="minorHAnsi"/>
        </w:rPr>
        <w:t>(c) any relevant rules of international law applicable in the relations between the parties.</w:t>
      </w:r>
    </w:p>
    <w:p w14:paraId="258DAC83" w14:textId="77777777" w:rsidR="001012DA" w:rsidRPr="00001F7B" w:rsidRDefault="001012DA" w:rsidP="00001F7B">
      <w:pPr>
        <w:rPr>
          <w:rFonts w:cstheme="minorHAnsi"/>
        </w:rPr>
      </w:pPr>
      <w:r w:rsidRPr="00001F7B">
        <w:rPr>
          <w:rFonts w:cstheme="minorHAnsi"/>
        </w:rPr>
        <w:t>4.A special meaning shall be given to a term if it is established that the parties so intended.</w:t>
      </w:r>
    </w:p>
    <w:p w14:paraId="471FF1A9" w14:textId="77777777" w:rsidR="001012DA" w:rsidRPr="00001F7B" w:rsidRDefault="001012DA" w:rsidP="00001F7B">
      <w:pPr>
        <w:rPr>
          <w:rFonts w:cstheme="minorHAnsi"/>
        </w:rPr>
      </w:pPr>
      <w:r w:rsidRPr="00001F7B">
        <w:rPr>
          <w:rFonts w:cstheme="minorHAnsi"/>
        </w:rPr>
        <w:t>Article 32</w:t>
      </w:r>
    </w:p>
    <w:p w14:paraId="2F86B298" w14:textId="77777777" w:rsidR="001012DA" w:rsidRPr="00001F7B" w:rsidRDefault="001012DA" w:rsidP="00001F7B">
      <w:pPr>
        <w:rPr>
          <w:rFonts w:cstheme="minorHAnsi"/>
        </w:rPr>
      </w:pPr>
      <w:r w:rsidRPr="00001F7B">
        <w:rPr>
          <w:rFonts w:cstheme="minorHAnsi"/>
        </w:rPr>
        <w:t>Supplementary means of interpretation</w:t>
      </w:r>
    </w:p>
    <w:p w14:paraId="0459CA18" w14:textId="3E536FF8" w:rsidR="001012DA" w:rsidRPr="00001F7B" w:rsidRDefault="001012DA" w:rsidP="00001F7B">
      <w:pPr>
        <w:rPr>
          <w:rFonts w:cstheme="minorHAnsi"/>
        </w:rPr>
      </w:pPr>
      <w:r w:rsidRPr="00001F7B">
        <w:rPr>
          <w:rFonts w:cstheme="minorHAnsi"/>
        </w:rPr>
        <w:t>Recourse may be had to supplementary means of interpretation, including the preparatory work of</w:t>
      </w:r>
      <w:r w:rsidR="009908C0" w:rsidRPr="00001F7B">
        <w:rPr>
          <w:rFonts w:cstheme="minorHAnsi"/>
        </w:rPr>
        <w:t xml:space="preserve"> </w:t>
      </w:r>
      <w:r w:rsidRPr="00001F7B">
        <w:rPr>
          <w:rFonts w:cstheme="minorHAnsi"/>
        </w:rPr>
        <w:t>the treaty and the circumstances of its conclusion, in order to confirm the meaning resulting from the application of article 31, or to determine the meaning when the interpretation according to article 31:</w:t>
      </w:r>
    </w:p>
    <w:p w14:paraId="03AAAE0C" w14:textId="77777777" w:rsidR="001012DA" w:rsidRPr="00001F7B" w:rsidRDefault="001012DA" w:rsidP="00001F7B">
      <w:pPr>
        <w:rPr>
          <w:rFonts w:cstheme="minorHAnsi"/>
        </w:rPr>
      </w:pPr>
      <w:r w:rsidRPr="00001F7B">
        <w:rPr>
          <w:rFonts w:cstheme="minorHAnsi"/>
        </w:rPr>
        <w:t>(a) leaves the meaning ambiguous or obscure; or</w:t>
      </w:r>
    </w:p>
    <w:p w14:paraId="6F4BDE70" w14:textId="4E33685A" w:rsidR="001012DA" w:rsidRPr="00001F7B" w:rsidRDefault="001012DA" w:rsidP="00001F7B">
      <w:pPr>
        <w:rPr>
          <w:rFonts w:cstheme="minorHAnsi"/>
        </w:rPr>
      </w:pPr>
      <w:r w:rsidRPr="00001F7B">
        <w:rPr>
          <w:rFonts w:cstheme="minorHAnsi"/>
        </w:rPr>
        <w:t>(b) leads to a result which is manifestly absurd or unreasonable.</w:t>
      </w:r>
    </w:p>
    <w:p w14:paraId="0DDD037C" w14:textId="77777777" w:rsidR="001012DA" w:rsidRPr="00001F7B" w:rsidRDefault="001012DA" w:rsidP="00001F7B">
      <w:pPr>
        <w:rPr>
          <w:rFonts w:cstheme="minorHAnsi"/>
        </w:rPr>
      </w:pPr>
      <w:r w:rsidRPr="00001F7B">
        <w:rPr>
          <w:rFonts w:cstheme="minorHAnsi"/>
        </w:rPr>
        <w:t>Article 33</w:t>
      </w:r>
    </w:p>
    <w:p w14:paraId="72DB60A5" w14:textId="77777777" w:rsidR="001012DA" w:rsidRPr="00001F7B" w:rsidRDefault="001012DA" w:rsidP="00001F7B">
      <w:pPr>
        <w:rPr>
          <w:rFonts w:cstheme="minorHAnsi"/>
        </w:rPr>
      </w:pPr>
      <w:r w:rsidRPr="00001F7B">
        <w:rPr>
          <w:rFonts w:cstheme="minorHAnsi"/>
        </w:rPr>
        <w:t>Interpretation of treaties authenticated in two or more languages</w:t>
      </w:r>
    </w:p>
    <w:p w14:paraId="2C045C22" w14:textId="37BA6E28" w:rsidR="001012DA" w:rsidRPr="00001F7B" w:rsidRDefault="001012DA" w:rsidP="00001F7B">
      <w:pPr>
        <w:rPr>
          <w:rFonts w:cstheme="minorHAnsi"/>
        </w:rPr>
      </w:pPr>
      <w:r w:rsidRPr="00001F7B">
        <w:rPr>
          <w:rFonts w:cstheme="minorHAnsi"/>
        </w:rPr>
        <w:t>1.When a treaty has been authenticated in two or more languages, the text is equally authoritative in each language, unless the treaty provides or the parties agree that, in case of divergence, a particular text shall prevail.</w:t>
      </w:r>
    </w:p>
    <w:p w14:paraId="00F807DD" w14:textId="2FB19131" w:rsidR="001012DA" w:rsidRPr="00001F7B" w:rsidRDefault="001012DA" w:rsidP="00001F7B">
      <w:pPr>
        <w:rPr>
          <w:rFonts w:cstheme="minorHAnsi"/>
        </w:rPr>
      </w:pPr>
      <w:r w:rsidRPr="00001F7B">
        <w:rPr>
          <w:rFonts w:cstheme="minorHAnsi"/>
        </w:rPr>
        <w:t>2.A version of the treaty in a language other than one of those in which the text was authenticated shall be considered an authentic text only if the treaty so provides or the parties so agree.</w:t>
      </w:r>
    </w:p>
    <w:p w14:paraId="46525604" w14:textId="77777777" w:rsidR="001012DA" w:rsidRPr="00001F7B" w:rsidRDefault="001012DA" w:rsidP="00001F7B">
      <w:pPr>
        <w:rPr>
          <w:rFonts w:cstheme="minorHAnsi"/>
        </w:rPr>
      </w:pPr>
      <w:r w:rsidRPr="00001F7B">
        <w:rPr>
          <w:rFonts w:cstheme="minorHAnsi"/>
        </w:rPr>
        <w:t>3.The terms of the treaty are presumed to have the same meaning in each authentic text.</w:t>
      </w:r>
    </w:p>
    <w:p w14:paraId="2537122C" w14:textId="1B260F8C" w:rsidR="001012DA" w:rsidRPr="00001F7B" w:rsidRDefault="001012DA" w:rsidP="00001F7B">
      <w:pPr>
        <w:rPr>
          <w:rFonts w:cstheme="minorHAnsi"/>
        </w:rPr>
      </w:pPr>
      <w:r w:rsidRPr="00001F7B">
        <w:rPr>
          <w:rFonts w:cstheme="minorHAnsi"/>
        </w:rPr>
        <w:t>4.Except where a particular text prevails in accordance with paragraph 1, when a comparison of the authentic texts discloses a difference of meaning which the application of articles 31 and 32 does not remove, the meaning which best reconciles the texts, having regard to the object and purpose of the treaty, shall be adopted.</w:t>
      </w:r>
    </w:p>
    <w:p w14:paraId="1E2F320C" w14:textId="4E846372" w:rsidR="008D6EFF" w:rsidRPr="00001F7B" w:rsidRDefault="00E13E51" w:rsidP="00001F7B">
      <w:pPr>
        <w:rPr>
          <w:rFonts w:cstheme="minorHAnsi"/>
          <w:b/>
          <w:bCs/>
        </w:rPr>
      </w:pPr>
      <w:r w:rsidRPr="00001F7B">
        <w:rPr>
          <w:rFonts w:cstheme="minorHAnsi"/>
          <w:b/>
          <w:bCs/>
        </w:rPr>
        <w:t>3.</w:t>
      </w:r>
      <w:r w:rsidR="00C65086" w:rsidRPr="00001F7B">
        <w:rPr>
          <w:rFonts w:cstheme="minorHAnsi"/>
          <w:b/>
          <w:bCs/>
        </w:rPr>
        <w:t>1</w:t>
      </w:r>
      <w:r w:rsidRPr="00001F7B">
        <w:rPr>
          <w:rFonts w:cstheme="minorHAnsi"/>
          <w:b/>
          <w:bCs/>
        </w:rPr>
        <w:t xml:space="preserve"> </w:t>
      </w:r>
      <w:r w:rsidR="00CD1798" w:rsidRPr="00001F7B">
        <w:rPr>
          <w:rFonts w:cstheme="minorHAnsi"/>
          <w:b/>
          <w:bCs/>
        </w:rPr>
        <w:t>Introduction</w:t>
      </w:r>
    </w:p>
    <w:p w14:paraId="385903F5" w14:textId="1AFE3F5A" w:rsidR="00B57830" w:rsidRPr="00001F7B" w:rsidRDefault="0001657C" w:rsidP="00001F7B">
      <w:pPr>
        <w:rPr>
          <w:rFonts w:cstheme="minorHAnsi"/>
        </w:rPr>
      </w:pPr>
      <w:r w:rsidRPr="00001F7B">
        <w:rPr>
          <w:rFonts w:cstheme="minorHAnsi"/>
        </w:rPr>
        <w:t xml:space="preserve">In its commentary the ILC </w:t>
      </w:r>
      <w:r w:rsidR="00146EB0" w:rsidRPr="00001F7B">
        <w:rPr>
          <w:rFonts w:cstheme="minorHAnsi"/>
        </w:rPr>
        <w:t>expressed</w:t>
      </w:r>
      <w:r w:rsidRPr="00001F7B">
        <w:rPr>
          <w:rFonts w:cstheme="minorHAnsi"/>
        </w:rPr>
        <w:t xml:space="preserve"> its underlying philosophy as a conclusion of the debate as to the emphasis to be given to differing approaches to interpretation by stating:</w:t>
      </w:r>
      <w:r w:rsidRPr="00001F7B">
        <w:rPr>
          <w:rStyle w:val="FootnoteReference"/>
          <w:rFonts w:cstheme="minorHAnsi"/>
        </w:rPr>
        <w:footnoteReference w:id="110"/>
      </w:r>
      <w:r w:rsidRPr="00001F7B">
        <w:rPr>
          <w:rFonts w:cstheme="minorHAnsi"/>
        </w:rPr>
        <w:t xml:space="preserve"> </w:t>
      </w:r>
      <w:r w:rsidR="00146EB0" w:rsidRPr="00001F7B">
        <w:rPr>
          <w:rFonts w:cstheme="minorHAnsi"/>
        </w:rPr>
        <w:t xml:space="preserve">“The article as already indicated is based on the view that the text must be presumed to be the authentic expression of the intentions of the parties; and that, in consequence, the starting point of interpretation is the elucidation of the meaning of the text, not an investigation ab initio into the intentions of the parties.” This </w:t>
      </w:r>
      <w:r w:rsidR="00E13E51" w:rsidRPr="00001F7B">
        <w:rPr>
          <w:rFonts w:cstheme="minorHAnsi"/>
        </w:rPr>
        <w:t>was</w:t>
      </w:r>
      <w:r w:rsidR="00146EB0" w:rsidRPr="00001F7B">
        <w:rPr>
          <w:rFonts w:cstheme="minorHAnsi"/>
        </w:rPr>
        <w:t xml:space="preserve"> a reference to </w:t>
      </w:r>
      <w:r w:rsidR="00A1703F" w:rsidRPr="00001F7B">
        <w:rPr>
          <w:rFonts w:cstheme="minorHAnsi"/>
        </w:rPr>
        <w:t xml:space="preserve">objections made in proceedings of the </w:t>
      </w:r>
      <w:r w:rsidR="005E6B65" w:rsidRPr="00001F7B">
        <w:rPr>
          <w:rFonts w:cstheme="minorHAnsi"/>
        </w:rPr>
        <w:t>ILC</w:t>
      </w:r>
      <w:r w:rsidR="00A1703F" w:rsidRPr="00001F7B">
        <w:rPr>
          <w:rFonts w:cstheme="minorHAnsi"/>
        </w:rPr>
        <w:t xml:space="preserve"> to too </w:t>
      </w:r>
      <w:r w:rsidR="001976B0" w:rsidRPr="00001F7B">
        <w:rPr>
          <w:rFonts w:cstheme="minorHAnsi"/>
        </w:rPr>
        <w:t xml:space="preserve">large </w:t>
      </w:r>
      <w:r w:rsidR="00A1703F" w:rsidRPr="00001F7B">
        <w:rPr>
          <w:rFonts w:cstheme="minorHAnsi"/>
        </w:rPr>
        <w:t xml:space="preserve">a </w:t>
      </w:r>
      <w:r w:rsidR="001976B0" w:rsidRPr="00001F7B">
        <w:rPr>
          <w:rFonts w:cstheme="minorHAnsi"/>
        </w:rPr>
        <w:t>place being given to the intentions of the parties as an independent basis for interpretation. Nevertheless,</w:t>
      </w:r>
      <w:r w:rsidR="00146EB0" w:rsidRPr="00001F7B">
        <w:rPr>
          <w:rFonts w:cstheme="minorHAnsi"/>
        </w:rPr>
        <w:t xml:space="preserve"> the</w:t>
      </w:r>
      <w:r w:rsidR="005955BD" w:rsidRPr="00001F7B">
        <w:rPr>
          <w:rFonts w:cstheme="minorHAnsi"/>
        </w:rPr>
        <w:t xml:space="preserve"> debate</w:t>
      </w:r>
      <w:r w:rsidR="00146EB0" w:rsidRPr="00001F7B">
        <w:rPr>
          <w:rFonts w:cstheme="minorHAnsi"/>
        </w:rPr>
        <w:t xml:space="preserve"> between </w:t>
      </w:r>
      <w:r w:rsidR="005955BD" w:rsidRPr="00001F7B">
        <w:rPr>
          <w:rFonts w:cstheme="minorHAnsi"/>
        </w:rPr>
        <w:t xml:space="preserve">the view that the main aim was to find the common intention of the parties </w:t>
      </w:r>
      <w:r w:rsidR="00146EB0" w:rsidRPr="00001F7B">
        <w:rPr>
          <w:rFonts w:cstheme="minorHAnsi"/>
        </w:rPr>
        <w:t xml:space="preserve">as opposed to the textual approach was revived in the conference. </w:t>
      </w:r>
      <w:r w:rsidR="001976B0" w:rsidRPr="00001F7B">
        <w:rPr>
          <w:rFonts w:cstheme="minorHAnsi"/>
        </w:rPr>
        <w:t>As was said by</w:t>
      </w:r>
      <w:r w:rsidR="00B57830" w:rsidRPr="00001F7B">
        <w:rPr>
          <w:rFonts w:cstheme="minorHAnsi"/>
        </w:rPr>
        <w:t xml:space="preserve"> Mr. </w:t>
      </w:r>
      <w:proofErr w:type="spellStart"/>
      <w:r w:rsidR="00B57830" w:rsidRPr="00001F7B">
        <w:rPr>
          <w:rFonts w:cstheme="minorHAnsi"/>
        </w:rPr>
        <w:t>Z</w:t>
      </w:r>
      <w:r w:rsidR="005E6B65" w:rsidRPr="00001F7B">
        <w:rPr>
          <w:rFonts w:cstheme="minorHAnsi"/>
        </w:rPr>
        <w:t>emanek</w:t>
      </w:r>
      <w:proofErr w:type="spellEnd"/>
      <w:r w:rsidR="00B57830" w:rsidRPr="00001F7B">
        <w:rPr>
          <w:rFonts w:cstheme="minorHAnsi"/>
        </w:rPr>
        <w:t xml:space="preserve"> (Austria)</w:t>
      </w:r>
      <w:r w:rsidR="001976B0" w:rsidRPr="00001F7B">
        <w:rPr>
          <w:rStyle w:val="FootnoteReference"/>
          <w:rFonts w:cstheme="minorHAnsi"/>
        </w:rPr>
        <w:footnoteReference w:id="111"/>
      </w:r>
      <w:r w:rsidR="00B57830" w:rsidRPr="00001F7B">
        <w:rPr>
          <w:rFonts w:cstheme="minorHAnsi"/>
        </w:rPr>
        <w:t xml:space="preserve"> the debate had shown that there were two distinct approaches to the problem of treaty interpretation. According to one, the will of the parties was exhaustively expressed by the text of a treaty and could therefore be ascertained exclusively from it, and according to the other, the text of a treaty was only one element in ascertaining the intention of the parties.</w:t>
      </w:r>
      <w:r w:rsidR="008B12DB" w:rsidRPr="00001F7B">
        <w:rPr>
          <w:rStyle w:val="FootnoteReference"/>
          <w:rFonts w:cstheme="minorHAnsi"/>
        </w:rPr>
        <w:footnoteReference w:id="112"/>
      </w:r>
      <w:r w:rsidR="00B57830" w:rsidRPr="00001F7B">
        <w:rPr>
          <w:rFonts w:cstheme="minorHAnsi"/>
        </w:rPr>
        <w:t xml:space="preserve"> </w:t>
      </w:r>
      <w:r w:rsidR="00611520" w:rsidRPr="00001F7B">
        <w:rPr>
          <w:rFonts w:cstheme="minorHAnsi"/>
        </w:rPr>
        <w:t>He</w:t>
      </w:r>
      <w:r w:rsidR="001976B0" w:rsidRPr="00001F7B">
        <w:rPr>
          <w:rFonts w:cstheme="minorHAnsi"/>
        </w:rPr>
        <w:t xml:space="preserve"> continued that t</w:t>
      </w:r>
      <w:r w:rsidR="00B57830" w:rsidRPr="00001F7B">
        <w:rPr>
          <w:rFonts w:cstheme="minorHAnsi"/>
        </w:rPr>
        <w:t xml:space="preserve">hose two approaches could not be reconciled at the theoretical level, </w:t>
      </w:r>
      <w:r w:rsidR="00872A52" w:rsidRPr="00001F7B">
        <w:rPr>
          <w:rFonts w:cstheme="minorHAnsi"/>
        </w:rPr>
        <w:t xml:space="preserve">but in any case, </w:t>
      </w:r>
      <w:r w:rsidR="00B57830" w:rsidRPr="00001F7B">
        <w:rPr>
          <w:rFonts w:cstheme="minorHAnsi"/>
        </w:rPr>
        <w:t>such reconciliation was not the task of the Conference</w:t>
      </w:r>
      <w:r w:rsidR="00611520" w:rsidRPr="00001F7B">
        <w:rPr>
          <w:rFonts w:cstheme="minorHAnsi"/>
        </w:rPr>
        <w:t>.</w:t>
      </w:r>
      <w:r w:rsidR="00B57830" w:rsidRPr="00001F7B">
        <w:rPr>
          <w:rFonts w:cstheme="minorHAnsi"/>
        </w:rPr>
        <w:t xml:space="preserve"> </w:t>
      </w:r>
      <w:r w:rsidR="00611520" w:rsidRPr="00001F7B">
        <w:rPr>
          <w:rFonts w:cstheme="minorHAnsi"/>
        </w:rPr>
        <w:t>I</w:t>
      </w:r>
      <w:r w:rsidR="00B57830" w:rsidRPr="00001F7B">
        <w:rPr>
          <w:rFonts w:cstheme="minorHAnsi"/>
        </w:rPr>
        <w:t>ts aim should be to adopt a workable rule of positive law commanding the widest possible support. Neither the International Law Commission nor a majority of delegations to the Conference could purport to teach governments to alter their traditional positions. The Committee should therefore adopt a flexible text which, while it might not completely satisfy the advocates of either theory, would be at least acceptable to both.</w:t>
      </w:r>
    </w:p>
    <w:p w14:paraId="649CEBB9" w14:textId="0C1B48FF" w:rsidR="00CE22BB" w:rsidRPr="00001F7B" w:rsidRDefault="00611520" w:rsidP="00001F7B">
      <w:pPr>
        <w:rPr>
          <w:rFonts w:cstheme="minorHAnsi"/>
          <w:b/>
          <w:bCs/>
        </w:rPr>
      </w:pPr>
      <w:r w:rsidRPr="00001F7B">
        <w:rPr>
          <w:rFonts w:cstheme="minorHAnsi"/>
          <w:b/>
          <w:bCs/>
        </w:rPr>
        <w:t>3.</w:t>
      </w:r>
      <w:r w:rsidR="00C65086" w:rsidRPr="00001F7B">
        <w:rPr>
          <w:rFonts w:cstheme="minorHAnsi"/>
          <w:b/>
          <w:bCs/>
        </w:rPr>
        <w:t>2</w:t>
      </w:r>
      <w:r w:rsidRPr="00001F7B">
        <w:rPr>
          <w:rFonts w:cstheme="minorHAnsi"/>
          <w:b/>
          <w:bCs/>
        </w:rPr>
        <w:t xml:space="preserve"> </w:t>
      </w:r>
      <w:r w:rsidR="00CE22BB" w:rsidRPr="00001F7B">
        <w:rPr>
          <w:rFonts w:cstheme="minorHAnsi"/>
          <w:b/>
          <w:bCs/>
        </w:rPr>
        <w:t>The General Rule</w:t>
      </w:r>
      <w:r w:rsidR="00185880" w:rsidRPr="00001F7B">
        <w:rPr>
          <w:rFonts w:cstheme="minorHAnsi"/>
          <w:b/>
          <w:bCs/>
        </w:rPr>
        <w:t xml:space="preserve"> – The Crucible</w:t>
      </w:r>
    </w:p>
    <w:p w14:paraId="6202F3C2" w14:textId="41E043A2" w:rsidR="00B22742" w:rsidRPr="00001F7B" w:rsidRDefault="00A832D1" w:rsidP="00001F7B">
      <w:pPr>
        <w:rPr>
          <w:rFonts w:cstheme="minorHAnsi"/>
        </w:rPr>
      </w:pPr>
      <w:r w:rsidRPr="00001F7B">
        <w:rPr>
          <w:rFonts w:cstheme="minorHAnsi"/>
        </w:rPr>
        <w:t>Article 31 states the general rule</w:t>
      </w:r>
      <w:r w:rsidR="009B2D54" w:rsidRPr="00001F7B">
        <w:rPr>
          <w:rFonts w:cstheme="minorHAnsi"/>
        </w:rPr>
        <w:t xml:space="preserve"> of interpretation</w:t>
      </w:r>
      <w:r w:rsidRPr="00001F7B">
        <w:rPr>
          <w:rFonts w:cstheme="minorHAnsi"/>
        </w:rPr>
        <w:t xml:space="preserve">. The </w:t>
      </w:r>
      <w:r w:rsidR="0087365B" w:rsidRPr="00001F7B">
        <w:rPr>
          <w:rFonts w:cstheme="minorHAnsi"/>
        </w:rPr>
        <w:t>I</w:t>
      </w:r>
      <w:r w:rsidR="005C06E9" w:rsidRPr="00001F7B">
        <w:rPr>
          <w:rFonts w:cstheme="minorHAnsi"/>
        </w:rPr>
        <w:t>LC</w:t>
      </w:r>
      <w:r w:rsidR="0087365B" w:rsidRPr="00001F7B">
        <w:rPr>
          <w:rFonts w:cstheme="minorHAnsi"/>
        </w:rPr>
        <w:t xml:space="preserve"> w</w:t>
      </w:r>
      <w:r w:rsidR="00872A52" w:rsidRPr="00001F7B">
        <w:rPr>
          <w:rFonts w:cstheme="minorHAnsi"/>
        </w:rPr>
        <w:t>as</w:t>
      </w:r>
      <w:r w:rsidR="0087365B" w:rsidRPr="00001F7B">
        <w:rPr>
          <w:rFonts w:cstheme="minorHAnsi"/>
        </w:rPr>
        <w:t xml:space="preserve"> clear that this represents a g</w:t>
      </w:r>
      <w:r w:rsidR="009D2F79" w:rsidRPr="00001F7B">
        <w:rPr>
          <w:rFonts w:cstheme="minorHAnsi"/>
        </w:rPr>
        <w:t xml:space="preserve">eneral </w:t>
      </w:r>
      <w:r w:rsidR="009D2F79" w:rsidRPr="00001F7B">
        <w:rPr>
          <w:rFonts w:cstheme="minorHAnsi"/>
          <w:i/>
          <w:iCs/>
        </w:rPr>
        <w:t>rule</w:t>
      </w:r>
      <w:r w:rsidR="009D2F79" w:rsidRPr="00001F7B">
        <w:rPr>
          <w:rFonts w:cstheme="minorHAnsi"/>
        </w:rPr>
        <w:t xml:space="preserve"> not general rules</w:t>
      </w:r>
      <w:r w:rsidR="0087365B" w:rsidRPr="00001F7B">
        <w:rPr>
          <w:rFonts w:cstheme="minorHAnsi"/>
        </w:rPr>
        <w:t>.</w:t>
      </w:r>
      <w:r w:rsidR="0087365B" w:rsidRPr="00001F7B">
        <w:rPr>
          <w:rStyle w:val="FootnoteReference"/>
          <w:rFonts w:cstheme="minorHAnsi"/>
        </w:rPr>
        <w:footnoteReference w:id="113"/>
      </w:r>
      <w:r w:rsidR="009D2F79" w:rsidRPr="00001F7B">
        <w:rPr>
          <w:rFonts w:cstheme="minorHAnsi"/>
        </w:rPr>
        <w:t xml:space="preserve"> </w:t>
      </w:r>
      <w:r w:rsidR="009B2D54" w:rsidRPr="00001F7B">
        <w:rPr>
          <w:rFonts w:cstheme="minorHAnsi"/>
        </w:rPr>
        <w:t xml:space="preserve"> </w:t>
      </w:r>
      <w:r w:rsidR="00DF3E47" w:rsidRPr="00001F7B">
        <w:rPr>
          <w:rFonts w:cstheme="minorHAnsi"/>
        </w:rPr>
        <w:t xml:space="preserve">The article, when read as a whole cannot properly be regarded as laying down </w:t>
      </w:r>
      <w:r w:rsidR="00742F2A" w:rsidRPr="00001F7B">
        <w:rPr>
          <w:rFonts w:cstheme="minorHAnsi"/>
        </w:rPr>
        <w:t xml:space="preserve">a </w:t>
      </w:r>
      <w:r w:rsidR="00DF3E47" w:rsidRPr="00001F7B">
        <w:rPr>
          <w:rFonts w:cstheme="minorHAnsi"/>
        </w:rPr>
        <w:t xml:space="preserve">legal hierarchy of interpretative norms, the </w:t>
      </w:r>
      <w:r w:rsidR="00E05B2C" w:rsidRPr="00001F7B">
        <w:rPr>
          <w:rFonts w:cstheme="minorHAnsi"/>
        </w:rPr>
        <w:t>presentation of them being based more on considerations of logic rather than</w:t>
      </w:r>
      <w:r w:rsidR="009D2F79" w:rsidRPr="00001F7B">
        <w:rPr>
          <w:rFonts w:cstheme="minorHAnsi"/>
        </w:rPr>
        <w:t xml:space="preserve"> </w:t>
      </w:r>
      <w:r w:rsidR="00E05B2C" w:rsidRPr="00001F7B">
        <w:rPr>
          <w:rFonts w:cstheme="minorHAnsi"/>
        </w:rPr>
        <w:t xml:space="preserve">any </w:t>
      </w:r>
      <w:r w:rsidR="009D2F79" w:rsidRPr="00001F7B">
        <w:rPr>
          <w:rFonts w:cstheme="minorHAnsi"/>
        </w:rPr>
        <w:t>obligatory hierarchy.</w:t>
      </w:r>
      <w:r w:rsidR="00E05B2C" w:rsidRPr="00001F7B">
        <w:rPr>
          <w:rStyle w:val="FootnoteReference"/>
          <w:rFonts w:cstheme="minorHAnsi"/>
        </w:rPr>
        <w:footnoteReference w:id="114"/>
      </w:r>
      <w:r w:rsidR="009D2F79" w:rsidRPr="00001F7B">
        <w:rPr>
          <w:rFonts w:cstheme="minorHAnsi"/>
        </w:rPr>
        <w:t xml:space="preserve"> </w:t>
      </w:r>
      <w:r w:rsidR="00FB27DE" w:rsidRPr="00001F7B">
        <w:rPr>
          <w:rFonts w:cstheme="minorHAnsi"/>
        </w:rPr>
        <w:t xml:space="preserve">This and </w:t>
      </w:r>
      <w:r w:rsidR="00812937" w:rsidRPr="00001F7B">
        <w:rPr>
          <w:rFonts w:cstheme="minorHAnsi"/>
        </w:rPr>
        <w:t xml:space="preserve">by underlining </w:t>
      </w:r>
      <w:r w:rsidR="00FB27DE" w:rsidRPr="00001F7B">
        <w:rPr>
          <w:rFonts w:cstheme="minorHAnsi"/>
        </w:rPr>
        <w:t xml:space="preserve">the connection </w:t>
      </w:r>
      <w:r w:rsidR="00812937" w:rsidRPr="00001F7B">
        <w:rPr>
          <w:rFonts w:cstheme="minorHAnsi"/>
        </w:rPr>
        <w:t>between paragraphs 1 and 2 and again between paragraph 3 and the two previous paragraphs</w:t>
      </w:r>
      <w:r w:rsidR="00185880" w:rsidRPr="00001F7B">
        <w:rPr>
          <w:rFonts w:cstheme="minorHAnsi"/>
        </w:rPr>
        <w:t>,</w:t>
      </w:r>
      <w:r w:rsidR="00812937" w:rsidRPr="00001F7B">
        <w:rPr>
          <w:rFonts w:cstheme="minorHAnsi"/>
        </w:rPr>
        <w:t xml:space="preserve"> was intended</w:t>
      </w:r>
      <w:r w:rsidR="009023B7" w:rsidRPr="00001F7B">
        <w:rPr>
          <w:rFonts w:cstheme="minorHAnsi"/>
        </w:rPr>
        <w:t xml:space="preserve"> to indicate that the application of the means of interpretation in the article would be a single combined operation so that all the various elements, as they were present</w:t>
      </w:r>
      <w:r w:rsidR="00812937" w:rsidRPr="00001F7B">
        <w:rPr>
          <w:rFonts w:cstheme="minorHAnsi"/>
        </w:rPr>
        <w:t xml:space="preserve"> </w:t>
      </w:r>
      <w:r w:rsidR="009023B7" w:rsidRPr="00001F7B">
        <w:rPr>
          <w:rFonts w:cstheme="minorHAnsi"/>
        </w:rPr>
        <w:t>in any given case, would be thrown into the crucible, and their interaction would give the legally relevant interpretation.</w:t>
      </w:r>
      <w:r w:rsidR="009023B7" w:rsidRPr="00001F7B">
        <w:rPr>
          <w:rStyle w:val="FootnoteReference"/>
          <w:rFonts w:cstheme="minorHAnsi"/>
        </w:rPr>
        <w:footnoteReference w:id="115"/>
      </w:r>
      <w:r w:rsidR="009023B7" w:rsidRPr="00001F7B">
        <w:rPr>
          <w:rFonts w:cstheme="minorHAnsi"/>
        </w:rPr>
        <w:t xml:space="preserve"> </w:t>
      </w:r>
      <w:r w:rsidR="001A7994" w:rsidRPr="00001F7B">
        <w:rPr>
          <w:rFonts w:cstheme="minorHAnsi"/>
        </w:rPr>
        <w:t>Nevertheless, paragraph one is the starting point: “</w:t>
      </w:r>
      <w:r w:rsidR="00E05B2C" w:rsidRPr="00001F7B">
        <w:rPr>
          <w:rFonts w:cstheme="minorHAnsi"/>
        </w:rPr>
        <w:t xml:space="preserve">The article is based on the view that the text must be the presumed intention of the </w:t>
      </w:r>
      <w:r w:rsidR="00742F2A" w:rsidRPr="00001F7B">
        <w:rPr>
          <w:rFonts w:cstheme="minorHAnsi"/>
        </w:rPr>
        <w:t>parties so that the starting point is elucidation of meaning of the text rather than an initial search into the intentions of the parties.</w:t>
      </w:r>
      <w:r w:rsidR="00574213" w:rsidRPr="00001F7B">
        <w:rPr>
          <w:rFonts w:cstheme="minorHAnsi"/>
        </w:rPr>
        <w:t>”</w:t>
      </w:r>
      <w:r w:rsidR="00742F2A" w:rsidRPr="00001F7B">
        <w:rPr>
          <w:rStyle w:val="FootnoteReference"/>
          <w:rFonts w:cstheme="minorHAnsi"/>
        </w:rPr>
        <w:footnoteReference w:id="116"/>
      </w:r>
      <w:r w:rsidR="009B73DB" w:rsidRPr="00001F7B">
        <w:rPr>
          <w:rFonts w:cstheme="minorHAnsi"/>
        </w:rPr>
        <w:t xml:space="preserve"> </w:t>
      </w:r>
    </w:p>
    <w:p w14:paraId="7B6811E6" w14:textId="34599074" w:rsidR="00185880" w:rsidRPr="00001F7B" w:rsidRDefault="005C06E9" w:rsidP="00001F7B">
      <w:pPr>
        <w:rPr>
          <w:rFonts w:cstheme="minorHAnsi"/>
          <w:b/>
          <w:bCs/>
        </w:rPr>
      </w:pPr>
      <w:r w:rsidRPr="00001F7B">
        <w:rPr>
          <w:rFonts w:cstheme="minorHAnsi"/>
          <w:b/>
          <w:bCs/>
        </w:rPr>
        <w:t>3.</w:t>
      </w:r>
      <w:r w:rsidR="00C65086" w:rsidRPr="00001F7B">
        <w:rPr>
          <w:rFonts w:cstheme="minorHAnsi"/>
          <w:b/>
          <w:bCs/>
        </w:rPr>
        <w:t>2</w:t>
      </w:r>
      <w:r w:rsidRPr="00001F7B">
        <w:rPr>
          <w:rFonts w:cstheme="minorHAnsi"/>
          <w:b/>
          <w:bCs/>
        </w:rPr>
        <w:t xml:space="preserve">.1 </w:t>
      </w:r>
      <w:r w:rsidR="00185880" w:rsidRPr="00001F7B">
        <w:rPr>
          <w:rFonts w:cstheme="minorHAnsi"/>
          <w:b/>
          <w:bCs/>
        </w:rPr>
        <w:t>The elements of Article 31</w:t>
      </w:r>
    </w:p>
    <w:p w14:paraId="6B0775CC" w14:textId="1D64E790" w:rsidR="005D2769" w:rsidRPr="00001F7B" w:rsidRDefault="005D2769" w:rsidP="00001F7B">
      <w:pPr>
        <w:rPr>
          <w:rFonts w:cstheme="minorHAnsi"/>
          <w:b/>
          <w:bCs/>
        </w:rPr>
      </w:pPr>
      <w:r w:rsidRPr="00001F7B">
        <w:rPr>
          <w:rFonts w:cstheme="minorHAnsi"/>
          <w:b/>
          <w:bCs/>
        </w:rPr>
        <w:t>3.2.1.1 Good Faith</w:t>
      </w:r>
    </w:p>
    <w:p w14:paraId="19088E4D" w14:textId="2A3EB77D" w:rsidR="00E05B2C" w:rsidRPr="00001F7B" w:rsidRDefault="009B73DB" w:rsidP="00001F7B">
      <w:pPr>
        <w:rPr>
          <w:rFonts w:cstheme="minorHAnsi"/>
        </w:rPr>
      </w:pPr>
      <w:r w:rsidRPr="00001F7B">
        <w:rPr>
          <w:rFonts w:cstheme="minorHAnsi"/>
        </w:rPr>
        <w:t xml:space="preserve">The first principle is interpretation in good faith which flows directly from the principle </w:t>
      </w:r>
      <w:r w:rsidRPr="00001F7B">
        <w:rPr>
          <w:rFonts w:cstheme="minorHAnsi"/>
          <w:i/>
          <w:iCs/>
        </w:rPr>
        <w:t xml:space="preserve">pacta sunt </w:t>
      </w:r>
      <w:proofErr w:type="spellStart"/>
      <w:r w:rsidRPr="00001F7B">
        <w:rPr>
          <w:rFonts w:cstheme="minorHAnsi"/>
          <w:i/>
          <w:iCs/>
        </w:rPr>
        <w:t>servanda</w:t>
      </w:r>
      <w:proofErr w:type="spellEnd"/>
      <w:r w:rsidRPr="00001F7B">
        <w:rPr>
          <w:rFonts w:cstheme="minorHAnsi"/>
        </w:rPr>
        <w:t>.</w:t>
      </w:r>
      <w:r w:rsidRPr="00001F7B">
        <w:rPr>
          <w:rStyle w:val="FootnoteReference"/>
          <w:rFonts w:cstheme="minorHAnsi"/>
        </w:rPr>
        <w:footnoteReference w:id="117"/>
      </w:r>
      <w:r w:rsidRPr="00001F7B">
        <w:rPr>
          <w:rFonts w:cstheme="minorHAnsi"/>
        </w:rPr>
        <w:t xml:space="preserve"> </w:t>
      </w:r>
      <w:r w:rsidR="00F2169C" w:rsidRPr="00001F7B">
        <w:rPr>
          <w:rFonts w:cstheme="minorHAnsi"/>
        </w:rPr>
        <w:t xml:space="preserve">Gardiner says that </w:t>
      </w:r>
      <w:r w:rsidR="00C12DBF" w:rsidRPr="00001F7B">
        <w:rPr>
          <w:rFonts w:cstheme="minorHAnsi"/>
        </w:rPr>
        <w:t xml:space="preserve">in most instances it is difficult to see any precise application of it or </w:t>
      </w:r>
      <w:r w:rsidR="00CA1283" w:rsidRPr="00001F7B">
        <w:rPr>
          <w:rFonts w:cstheme="minorHAnsi"/>
        </w:rPr>
        <w:t>independent</w:t>
      </w:r>
      <w:r w:rsidR="00C12DBF" w:rsidRPr="00001F7B">
        <w:rPr>
          <w:rFonts w:cstheme="minorHAnsi"/>
        </w:rPr>
        <w:t xml:space="preserve"> role for it.</w:t>
      </w:r>
      <w:r w:rsidR="00C12DBF" w:rsidRPr="00001F7B">
        <w:rPr>
          <w:rStyle w:val="FootnoteReference"/>
          <w:rFonts w:cstheme="minorHAnsi"/>
        </w:rPr>
        <w:footnoteReference w:id="118"/>
      </w:r>
      <w:r w:rsidR="00CA1283" w:rsidRPr="00001F7B">
        <w:rPr>
          <w:rFonts w:cstheme="minorHAnsi"/>
        </w:rPr>
        <w:t xml:space="preserve"> Good faith is really an accompaniment to an activity (sometimes linked to abuse of rights) so that it is difficult to extract from </w:t>
      </w:r>
      <w:r w:rsidR="001F52CE" w:rsidRPr="00001F7B">
        <w:rPr>
          <w:rFonts w:cstheme="minorHAnsi"/>
        </w:rPr>
        <w:t>judgments</w:t>
      </w:r>
      <w:r w:rsidR="00CA1283" w:rsidRPr="00001F7B">
        <w:rPr>
          <w:rFonts w:cstheme="minorHAnsi"/>
        </w:rPr>
        <w:t xml:space="preserve"> a clear dividing line between interpretation and application.</w:t>
      </w:r>
      <w:r w:rsidR="00CA1283" w:rsidRPr="00001F7B">
        <w:rPr>
          <w:rStyle w:val="FootnoteReference"/>
          <w:rFonts w:cstheme="minorHAnsi"/>
        </w:rPr>
        <w:footnoteReference w:id="119"/>
      </w:r>
      <w:r w:rsidR="000A571E" w:rsidRPr="00001F7B">
        <w:rPr>
          <w:rFonts w:cstheme="minorHAnsi"/>
        </w:rPr>
        <w:t xml:space="preserve"> Although difficult to give precise content to the concept generally he does consider</w:t>
      </w:r>
      <w:r w:rsidR="000A571E" w:rsidRPr="00001F7B">
        <w:rPr>
          <w:rStyle w:val="FootnoteReference"/>
          <w:rFonts w:cstheme="minorHAnsi"/>
        </w:rPr>
        <w:footnoteReference w:id="120"/>
      </w:r>
      <w:r w:rsidR="000A571E" w:rsidRPr="00001F7B">
        <w:rPr>
          <w:rFonts w:cstheme="minorHAnsi"/>
        </w:rPr>
        <w:t xml:space="preserve"> that it is </w:t>
      </w:r>
      <w:r w:rsidR="00D971D8" w:rsidRPr="00001F7B">
        <w:rPr>
          <w:rFonts w:cstheme="minorHAnsi"/>
        </w:rPr>
        <w:t xml:space="preserve">used as an umbrella for the specific principle that an interpretation of a term should be preferred which gives </w:t>
      </w:r>
      <w:r w:rsidR="00185880" w:rsidRPr="00001F7B">
        <w:rPr>
          <w:rFonts w:cstheme="minorHAnsi"/>
        </w:rPr>
        <w:t xml:space="preserve">it </w:t>
      </w:r>
      <w:r w:rsidR="00D971D8" w:rsidRPr="00001F7B">
        <w:rPr>
          <w:rFonts w:cstheme="minorHAnsi"/>
        </w:rPr>
        <w:t>some meaning and role rather than one that does not</w:t>
      </w:r>
      <w:r w:rsidR="007B3A96" w:rsidRPr="00001F7B">
        <w:rPr>
          <w:rFonts w:cstheme="minorHAnsi"/>
        </w:rPr>
        <w:t>.</w:t>
      </w:r>
      <w:r w:rsidR="007B3A96" w:rsidRPr="00001F7B">
        <w:rPr>
          <w:rStyle w:val="FootnoteReference"/>
          <w:rFonts w:cstheme="minorHAnsi"/>
        </w:rPr>
        <w:footnoteReference w:id="121"/>
      </w:r>
      <w:r w:rsidR="00AE4905" w:rsidRPr="00001F7B">
        <w:rPr>
          <w:rFonts w:cstheme="minorHAnsi"/>
        </w:rPr>
        <w:t xml:space="preserve"> </w:t>
      </w:r>
      <w:r w:rsidR="00DE6626" w:rsidRPr="00001F7B">
        <w:rPr>
          <w:rFonts w:cstheme="minorHAnsi"/>
        </w:rPr>
        <w:t>Gardiner also considers sources that suggest several other</w:t>
      </w:r>
      <w:r w:rsidR="00183B16" w:rsidRPr="00001F7B">
        <w:rPr>
          <w:rFonts w:cstheme="minorHAnsi"/>
        </w:rPr>
        <w:t xml:space="preserve"> </w:t>
      </w:r>
      <w:r w:rsidR="00DE6626" w:rsidRPr="00001F7B">
        <w:rPr>
          <w:rFonts w:cstheme="minorHAnsi"/>
        </w:rPr>
        <w:t>possible aspects of goods faith</w:t>
      </w:r>
      <w:r w:rsidR="00DE6626" w:rsidRPr="00001F7B">
        <w:rPr>
          <w:rStyle w:val="FootnoteReference"/>
          <w:rFonts w:cstheme="minorHAnsi"/>
        </w:rPr>
        <w:footnoteReference w:id="122"/>
      </w:r>
      <w:r w:rsidR="00DE6626" w:rsidRPr="00001F7B">
        <w:rPr>
          <w:rFonts w:cstheme="minorHAnsi"/>
        </w:rPr>
        <w:t xml:space="preserve"> </w:t>
      </w:r>
      <w:r w:rsidR="00A5114B" w:rsidRPr="00001F7B">
        <w:rPr>
          <w:rFonts w:cstheme="minorHAnsi"/>
        </w:rPr>
        <w:t xml:space="preserve">including that </w:t>
      </w:r>
      <w:r w:rsidR="00183B16" w:rsidRPr="00001F7B">
        <w:rPr>
          <w:rFonts w:cstheme="minorHAnsi"/>
        </w:rPr>
        <w:t xml:space="preserve">it may signify </w:t>
      </w:r>
      <w:r w:rsidR="00B74925" w:rsidRPr="00001F7B">
        <w:rPr>
          <w:rFonts w:cstheme="minorHAnsi"/>
        </w:rPr>
        <w:t xml:space="preserve">an </w:t>
      </w:r>
      <w:r w:rsidR="00A5114B" w:rsidRPr="00001F7B">
        <w:rPr>
          <w:rFonts w:cstheme="minorHAnsi"/>
        </w:rPr>
        <w:t xml:space="preserve">element of reasonableness in the process of interpretation both generally and specifically in terms of </w:t>
      </w:r>
      <w:r w:rsidR="00183B16" w:rsidRPr="00001F7B">
        <w:rPr>
          <w:rFonts w:cstheme="minorHAnsi"/>
        </w:rPr>
        <w:t>qualifying the dogmatism that can result from a purely verbal analysis</w:t>
      </w:r>
      <w:r w:rsidR="00A5114B" w:rsidRPr="00001F7B">
        <w:rPr>
          <w:rFonts w:cstheme="minorHAnsi"/>
        </w:rPr>
        <w:t>.</w:t>
      </w:r>
      <w:r w:rsidR="00AD4E10" w:rsidRPr="00001F7B">
        <w:rPr>
          <w:rStyle w:val="FootnoteReference"/>
          <w:rFonts w:cstheme="minorHAnsi"/>
        </w:rPr>
        <w:footnoteReference w:id="123"/>
      </w:r>
    </w:p>
    <w:p w14:paraId="7ADBAACF" w14:textId="15D42F92" w:rsidR="005D2769" w:rsidRPr="00001F7B" w:rsidRDefault="005D2769" w:rsidP="00001F7B">
      <w:pPr>
        <w:rPr>
          <w:rFonts w:cstheme="minorHAnsi"/>
          <w:b/>
          <w:bCs/>
        </w:rPr>
      </w:pPr>
      <w:r w:rsidRPr="00001F7B">
        <w:rPr>
          <w:rFonts w:cstheme="minorHAnsi"/>
          <w:b/>
          <w:bCs/>
        </w:rPr>
        <w:t>3.2.1.2 Ordinary Meaning</w:t>
      </w:r>
    </w:p>
    <w:p w14:paraId="51C91BC2" w14:textId="2F90C130" w:rsidR="00B22742" w:rsidRPr="00001F7B" w:rsidRDefault="00B22742" w:rsidP="00001F7B">
      <w:pPr>
        <w:rPr>
          <w:rFonts w:cstheme="minorHAnsi"/>
        </w:rPr>
      </w:pPr>
      <w:r w:rsidRPr="00001F7B">
        <w:rPr>
          <w:rFonts w:cstheme="minorHAnsi"/>
        </w:rPr>
        <w:t xml:space="preserve">The next reference is to the ordinary meaning of </w:t>
      </w:r>
      <w:r w:rsidR="00103345" w:rsidRPr="00001F7B">
        <w:rPr>
          <w:rFonts w:cstheme="minorHAnsi"/>
        </w:rPr>
        <w:t>the ‘terms’</w:t>
      </w:r>
      <w:r w:rsidRPr="00001F7B">
        <w:rPr>
          <w:rFonts w:cstheme="minorHAnsi"/>
        </w:rPr>
        <w:t>.</w:t>
      </w:r>
      <w:r w:rsidR="00597922" w:rsidRPr="00001F7B">
        <w:rPr>
          <w:rFonts w:cstheme="minorHAnsi"/>
        </w:rPr>
        <w:t xml:space="preserve"> </w:t>
      </w:r>
      <w:r w:rsidR="007F7977" w:rsidRPr="00001F7B">
        <w:rPr>
          <w:rFonts w:cstheme="minorHAnsi"/>
        </w:rPr>
        <w:t>This is a reference to words and phrases</w:t>
      </w:r>
      <w:r w:rsidR="00D61DEC" w:rsidRPr="00001F7B">
        <w:rPr>
          <w:rFonts w:cstheme="minorHAnsi"/>
        </w:rPr>
        <w:t>.</w:t>
      </w:r>
      <w:r w:rsidR="00D61DEC" w:rsidRPr="00001F7B">
        <w:rPr>
          <w:rStyle w:val="FootnoteReference"/>
          <w:rFonts w:cstheme="minorHAnsi"/>
        </w:rPr>
        <w:footnoteReference w:id="124"/>
      </w:r>
      <w:r w:rsidR="007F7977" w:rsidRPr="00001F7B">
        <w:rPr>
          <w:rFonts w:cstheme="minorHAnsi"/>
        </w:rPr>
        <w:t xml:space="preserve"> </w:t>
      </w:r>
      <w:r w:rsidR="00597922" w:rsidRPr="00001F7B">
        <w:rPr>
          <w:rFonts w:cstheme="minorHAnsi"/>
        </w:rPr>
        <w:t xml:space="preserve">Whilst the ordinary meaning of </w:t>
      </w:r>
      <w:r w:rsidR="00623ADA" w:rsidRPr="00001F7B">
        <w:rPr>
          <w:rFonts w:cstheme="minorHAnsi"/>
        </w:rPr>
        <w:t xml:space="preserve">single </w:t>
      </w:r>
      <w:r w:rsidR="00597922" w:rsidRPr="00001F7B">
        <w:rPr>
          <w:rFonts w:cstheme="minorHAnsi"/>
        </w:rPr>
        <w:t xml:space="preserve">words can be determined by a dictionary </w:t>
      </w:r>
      <w:r w:rsidR="00623ADA" w:rsidRPr="00001F7B">
        <w:rPr>
          <w:rFonts w:cstheme="minorHAnsi"/>
        </w:rPr>
        <w:t xml:space="preserve">this </w:t>
      </w:r>
      <w:r w:rsidR="007F7977" w:rsidRPr="00001F7B">
        <w:rPr>
          <w:rFonts w:cstheme="minorHAnsi"/>
        </w:rPr>
        <w:t xml:space="preserve">may reveal several meanings which </w:t>
      </w:r>
      <w:r w:rsidR="00623ADA" w:rsidRPr="00001F7B">
        <w:rPr>
          <w:rFonts w:cstheme="minorHAnsi"/>
        </w:rPr>
        <w:t>can only</w:t>
      </w:r>
      <w:r w:rsidR="007F7977" w:rsidRPr="00001F7B">
        <w:rPr>
          <w:rFonts w:cstheme="minorHAnsi"/>
        </w:rPr>
        <w:t xml:space="preserve"> be resolved through consideration of context and in the light of object and purpose</w:t>
      </w:r>
      <w:r w:rsidR="00623ADA" w:rsidRPr="00001F7B">
        <w:rPr>
          <w:rFonts w:cstheme="minorHAnsi"/>
        </w:rPr>
        <w:t>.</w:t>
      </w:r>
      <w:r w:rsidR="0060403F" w:rsidRPr="00001F7B">
        <w:rPr>
          <w:rStyle w:val="FootnoteReference"/>
          <w:rFonts w:cstheme="minorHAnsi"/>
        </w:rPr>
        <w:footnoteReference w:id="125"/>
      </w:r>
      <w:r w:rsidR="00623ADA" w:rsidRPr="00001F7B">
        <w:rPr>
          <w:rFonts w:cstheme="minorHAnsi"/>
        </w:rPr>
        <w:t xml:space="preserve"> It was made clear </w:t>
      </w:r>
      <w:r w:rsidR="00761808" w:rsidRPr="00001F7B">
        <w:rPr>
          <w:rFonts w:cstheme="minorHAnsi"/>
        </w:rPr>
        <w:t xml:space="preserve">in the Vienna Conference that </w:t>
      </w:r>
      <w:r w:rsidR="00F642DD" w:rsidRPr="00001F7B">
        <w:rPr>
          <w:rFonts w:cstheme="minorHAnsi"/>
        </w:rPr>
        <w:t>it was not intended to suggest that words had a ‘dictionary’ or intrinsic meaning in themselves</w:t>
      </w:r>
      <w:r w:rsidR="00A76A47" w:rsidRPr="00001F7B">
        <w:rPr>
          <w:rFonts w:cstheme="minorHAnsi"/>
        </w:rPr>
        <w:t>,</w:t>
      </w:r>
      <w:r w:rsidR="00F642DD" w:rsidRPr="00001F7B">
        <w:rPr>
          <w:rFonts w:cstheme="minorHAnsi"/>
        </w:rPr>
        <w:t xml:space="preserve"> rather </w:t>
      </w:r>
      <w:r w:rsidR="00A76A47" w:rsidRPr="00001F7B">
        <w:rPr>
          <w:rFonts w:cstheme="minorHAnsi"/>
        </w:rPr>
        <w:t xml:space="preserve">that </w:t>
      </w:r>
      <w:r w:rsidR="00F642DD" w:rsidRPr="00001F7B">
        <w:rPr>
          <w:rFonts w:cstheme="minorHAnsi"/>
        </w:rPr>
        <w:t>the ordinary meaning emerged in the context in which they were used, in the context of the treaty as a whole, and in the light of its object and purpose.</w:t>
      </w:r>
      <w:r w:rsidR="00563975" w:rsidRPr="00001F7B">
        <w:rPr>
          <w:rStyle w:val="FootnoteReference"/>
          <w:rFonts w:cstheme="minorHAnsi"/>
        </w:rPr>
        <w:footnoteReference w:id="126"/>
      </w:r>
      <w:r w:rsidR="00563975" w:rsidRPr="00001F7B">
        <w:rPr>
          <w:rFonts w:cstheme="minorHAnsi"/>
        </w:rPr>
        <w:t xml:space="preserve"> Thus</w:t>
      </w:r>
      <w:r w:rsidR="00D304BB" w:rsidRPr="00001F7B">
        <w:rPr>
          <w:rFonts w:cstheme="minorHAnsi"/>
        </w:rPr>
        <w:t>, as Gardiner explains,</w:t>
      </w:r>
      <w:r w:rsidR="00D304BB" w:rsidRPr="00001F7B">
        <w:rPr>
          <w:rStyle w:val="FootnoteReference"/>
          <w:rFonts w:cstheme="minorHAnsi"/>
        </w:rPr>
        <w:footnoteReference w:id="127"/>
      </w:r>
      <w:r w:rsidR="00563975" w:rsidRPr="00001F7B">
        <w:rPr>
          <w:rFonts w:cstheme="minorHAnsi"/>
        </w:rPr>
        <w:t xml:space="preserve"> </w:t>
      </w:r>
      <w:r w:rsidR="00D304BB" w:rsidRPr="00001F7B">
        <w:rPr>
          <w:rFonts w:cstheme="minorHAnsi"/>
        </w:rPr>
        <w:t>references to context have two main roles: firstly, it is an immediate qualifier of the ordinary meaning of terms used in the treaty and hence is an aid to selection of the ordinary meaning</w:t>
      </w:r>
      <w:r w:rsidR="00AE1F89" w:rsidRPr="00001F7B">
        <w:rPr>
          <w:rFonts w:cstheme="minorHAnsi"/>
        </w:rPr>
        <w:t xml:space="preserve"> and a modifier</w:t>
      </w:r>
      <w:r w:rsidR="00FA2C93" w:rsidRPr="00001F7B">
        <w:rPr>
          <w:rFonts w:cstheme="minorHAnsi"/>
        </w:rPr>
        <w:t xml:space="preserve"> of any over-literal approach to interpretation.</w:t>
      </w:r>
      <w:r w:rsidR="00A24A4B" w:rsidRPr="00001F7B">
        <w:rPr>
          <w:rFonts w:cstheme="minorHAnsi"/>
        </w:rPr>
        <w:t xml:space="preserve"> </w:t>
      </w:r>
      <w:r w:rsidR="00A76A47" w:rsidRPr="00001F7B">
        <w:rPr>
          <w:rFonts w:cstheme="minorHAnsi"/>
        </w:rPr>
        <w:t>S</w:t>
      </w:r>
      <w:r w:rsidR="00A24A4B" w:rsidRPr="00001F7B">
        <w:rPr>
          <w:rFonts w:cstheme="minorHAnsi"/>
        </w:rPr>
        <w:t>econd</w:t>
      </w:r>
      <w:r w:rsidR="00A76A47" w:rsidRPr="00001F7B">
        <w:rPr>
          <w:rFonts w:cstheme="minorHAnsi"/>
        </w:rPr>
        <w:t>ly</w:t>
      </w:r>
      <w:r w:rsidR="00E3388F" w:rsidRPr="00001F7B">
        <w:rPr>
          <w:rFonts w:cstheme="minorHAnsi"/>
        </w:rPr>
        <w:t>,</w:t>
      </w:r>
      <w:r w:rsidR="00A24A4B" w:rsidRPr="00001F7B">
        <w:rPr>
          <w:rFonts w:cstheme="minorHAnsi"/>
        </w:rPr>
        <w:t xml:space="preserve"> the identification in the Rules of the material to be taken into account as forming context.</w:t>
      </w:r>
      <w:r w:rsidR="00A24A4B" w:rsidRPr="00001F7B">
        <w:rPr>
          <w:rStyle w:val="FootnoteReference"/>
          <w:rFonts w:cstheme="minorHAnsi"/>
        </w:rPr>
        <w:footnoteReference w:id="128"/>
      </w:r>
    </w:p>
    <w:p w14:paraId="7CEA0950" w14:textId="147DA06B" w:rsidR="00A24A4B" w:rsidRPr="00001F7B" w:rsidRDefault="00A24A4B" w:rsidP="00001F7B">
      <w:pPr>
        <w:rPr>
          <w:rFonts w:cstheme="minorHAnsi"/>
        </w:rPr>
      </w:pPr>
      <w:r w:rsidRPr="00001F7B">
        <w:rPr>
          <w:rFonts w:cstheme="minorHAnsi"/>
        </w:rPr>
        <w:t xml:space="preserve">The reference to dictionaries above does not mean </w:t>
      </w:r>
      <w:r w:rsidR="007526A8" w:rsidRPr="00001F7B">
        <w:rPr>
          <w:rFonts w:cstheme="minorHAnsi"/>
        </w:rPr>
        <w:t>that the use of dictionaries and other sources of definition are denied,</w:t>
      </w:r>
      <w:r w:rsidR="007526A8" w:rsidRPr="00001F7B">
        <w:rPr>
          <w:rStyle w:val="FootnoteReference"/>
          <w:rFonts w:cstheme="minorHAnsi"/>
        </w:rPr>
        <w:footnoteReference w:id="129"/>
      </w:r>
      <w:r w:rsidR="007526A8" w:rsidRPr="00001F7B">
        <w:rPr>
          <w:rFonts w:cstheme="minorHAnsi"/>
        </w:rPr>
        <w:t xml:space="preserve"> but even if a clear meaning seems to be provided this must be </w:t>
      </w:r>
      <w:r w:rsidR="0000536B" w:rsidRPr="00001F7B">
        <w:rPr>
          <w:rFonts w:cstheme="minorHAnsi"/>
        </w:rPr>
        <w:t>placed in its context to see if a different meaning from the ordinary meaning arises</w:t>
      </w:r>
      <w:r w:rsidR="00B45C3D" w:rsidRPr="00001F7B">
        <w:rPr>
          <w:rFonts w:cstheme="minorHAnsi"/>
        </w:rPr>
        <w:t xml:space="preserve"> or to make a choice among several</w:t>
      </w:r>
      <w:r w:rsidR="0000536B" w:rsidRPr="00001F7B">
        <w:rPr>
          <w:rFonts w:cstheme="minorHAnsi"/>
        </w:rPr>
        <w:t>.</w:t>
      </w:r>
      <w:r w:rsidR="0000536B" w:rsidRPr="00001F7B">
        <w:rPr>
          <w:rStyle w:val="FootnoteReference"/>
          <w:rFonts w:cstheme="minorHAnsi"/>
        </w:rPr>
        <w:footnoteReference w:id="130"/>
      </w:r>
      <w:r w:rsidR="00B2082B" w:rsidRPr="00001F7B">
        <w:rPr>
          <w:rFonts w:cstheme="minorHAnsi"/>
        </w:rPr>
        <w:t xml:space="preserve"> </w:t>
      </w:r>
      <w:r w:rsidR="00B45C3D" w:rsidRPr="00001F7B">
        <w:rPr>
          <w:rFonts w:cstheme="minorHAnsi"/>
        </w:rPr>
        <w:t xml:space="preserve">It has been said that </w:t>
      </w:r>
      <w:r w:rsidR="00B45C3D" w:rsidRPr="00001F7B">
        <w:rPr>
          <w:rFonts w:cstheme="minorHAnsi"/>
          <w:color w:val="000000"/>
        </w:rPr>
        <w:t>for treaty</w:t>
      </w:r>
      <w:r w:rsidR="003F0F27" w:rsidRPr="00001F7B">
        <w:rPr>
          <w:rFonts w:cstheme="minorHAnsi"/>
          <w:color w:val="000000"/>
        </w:rPr>
        <w:t xml:space="preserve"> interpretation </w:t>
      </w:r>
      <w:r w:rsidR="00B45C3D" w:rsidRPr="00001F7B">
        <w:rPr>
          <w:rFonts w:cstheme="minorHAnsi"/>
          <w:color w:val="000000"/>
        </w:rPr>
        <w:t xml:space="preserve">rules there is no “ordinary meaning” in the absolute or in the abstract. That is why Article 31 of the Vienna Convention refers to “good faith” and to the ordinary meaning </w:t>
      </w:r>
      <w:r w:rsidR="003F0F27" w:rsidRPr="00001F7B">
        <w:rPr>
          <w:rFonts w:cstheme="minorHAnsi"/>
          <w:color w:val="000000"/>
        </w:rPr>
        <w:t>‘</w:t>
      </w:r>
      <w:r w:rsidR="00B45C3D" w:rsidRPr="00001F7B">
        <w:rPr>
          <w:rFonts w:cstheme="minorHAnsi"/>
          <w:color w:val="000000"/>
        </w:rPr>
        <w:t>to be given’ to the terms of the treaty “in their context and in the light of its object and purpose</w:t>
      </w:r>
      <w:r w:rsidR="003F0F27" w:rsidRPr="00001F7B">
        <w:rPr>
          <w:rFonts w:cstheme="minorHAnsi"/>
          <w:color w:val="000000"/>
        </w:rPr>
        <w:t>”</w:t>
      </w:r>
      <w:r w:rsidR="00B45C3D" w:rsidRPr="00001F7B">
        <w:rPr>
          <w:rFonts w:cstheme="minorHAnsi"/>
          <w:color w:val="000000"/>
        </w:rPr>
        <w:t>. It is, therefore, a fully qualified ‘ordinary meaning ‘.</w:t>
      </w:r>
      <w:r w:rsidR="00B45C3D" w:rsidRPr="00001F7B">
        <w:rPr>
          <w:rStyle w:val="FootnoteReference"/>
          <w:rFonts w:cstheme="minorHAnsi"/>
          <w:color w:val="000000"/>
        </w:rPr>
        <w:footnoteReference w:id="131"/>
      </w:r>
      <w:r w:rsidR="00B45C3D" w:rsidRPr="00001F7B">
        <w:rPr>
          <w:rFonts w:cstheme="minorHAnsi"/>
          <w:color w:val="000000"/>
        </w:rPr>
        <w:t xml:space="preserve"> </w:t>
      </w:r>
      <w:r w:rsidR="0000536B" w:rsidRPr="00001F7B">
        <w:rPr>
          <w:rFonts w:cstheme="minorHAnsi"/>
        </w:rPr>
        <w:t>The context of the words used</w:t>
      </w:r>
      <w:r w:rsidR="00E3388F" w:rsidRPr="00001F7B">
        <w:rPr>
          <w:rFonts w:cstheme="minorHAnsi"/>
        </w:rPr>
        <w:t xml:space="preserve"> </w:t>
      </w:r>
      <w:r w:rsidR="0011670F" w:rsidRPr="00001F7B">
        <w:rPr>
          <w:rFonts w:cstheme="minorHAnsi"/>
        </w:rPr>
        <w:t>e.g.,</w:t>
      </w:r>
      <w:r w:rsidR="0000536B" w:rsidRPr="00001F7B">
        <w:rPr>
          <w:rFonts w:cstheme="minorHAnsi"/>
        </w:rPr>
        <w:t xml:space="preserve"> in CMR </w:t>
      </w:r>
      <w:r w:rsidR="0011670F">
        <w:rPr>
          <w:rFonts w:cstheme="minorHAnsi"/>
        </w:rPr>
        <w:t>is</w:t>
      </w:r>
      <w:r w:rsidR="0000536B" w:rsidRPr="00001F7B">
        <w:rPr>
          <w:rFonts w:cstheme="minorHAnsi"/>
        </w:rPr>
        <w:t xml:space="preserve"> the creation of legal rules</w:t>
      </w:r>
      <w:r w:rsidR="00531895">
        <w:rPr>
          <w:rFonts w:cstheme="minorHAnsi"/>
        </w:rPr>
        <w:t xml:space="preserve"> so that</w:t>
      </w:r>
      <w:r w:rsidR="0000536B" w:rsidRPr="00001F7B">
        <w:rPr>
          <w:rFonts w:cstheme="minorHAnsi"/>
        </w:rPr>
        <w:t xml:space="preserve"> not just the layman’s understanding of words or ph</w:t>
      </w:r>
      <w:r w:rsidR="003C262B" w:rsidRPr="00001F7B">
        <w:rPr>
          <w:rFonts w:cstheme="minorHAnsi"/>
        </w:rPr>
        <w:t>rases</w:t>
      </w:r>
      <w:r w:rsidR="0000536B" w:rsidRPr="00001F7B">
        <w:rPr>
          <w:rFonts w:cstheme="minorHAnsi"/>
        </w:rPr>
        <w:t xml:space="preserve"> </w:t>
      </w:r>
      <w:r w:rsidR="0011670F">
        <w:rPr>
          <w:rFonts w:cstheme="minorHAnsi"/>
        </w:rPr>
        <w:t>is</w:t>
      </w:r>
      <w:r w:rsidR="0000536B" w:rsidRPr="00001F7B">
        <w:rPr>
          <w:rFonts w:cstheme="minorHAnsi"/>
        </w:rPr>
        <w:t xml:space="preserve"> relevant </w:t>
      </w:r>
      <w:r w:rsidR="003C262B" w:rsidRPr="00001F7B">
        <w:rPr>
          <w:rFonts w:cstheme="minorHAnsi"/>
        </w:rPr>
        <w:t>but their ordinary meaning when used in a legal instrument. A reference to standard law dictionaries would naturally be relevant in determining the likely meaning of the word or phrase under consideration. Gardiner makes the point</w:t>
      </w:r>
      <w:r w:rsidR="003C262B" w:rsidRPr="00001F7B">
        <w:rPr>
          <w:rStyle w:val="FootnoteReference"/>
          <w:rFonts w:cstheme="minorHAnsi"/>
        </w:rPr>
        <w:footnoteReference w:id="132"/>
      </w:r>
      <w:r w:rsidR="003C262B" w:rsidRPr="00001F7B">
        <w:rPr>
          <w:rFonts w:cstheme="minorHAnsi"/>
        </w:rPr>
        <w:t xml:space="preserve"> that in this context “the degree of specialism in the term being interpreted is not such as to warrant an argument that the parties intended it to have a special meaning of the kind </w:t>
      </w:r>
      <w:r w:rsidR="00972B7E" w:rsidRPr="00001F7B">
        <w:rPr>
          <w:rFonts w:cstheme="minorHAnsi"/>
        </w:rPr>
        <w:t>to which article 31</w:t>
      </w:r>
      <w:r w:rsidR="00142C90" w:rsidRPr="00001F7B">
        <w:rPr>
          <w:rFonts w:cstheme="minorHAnsi"/>
        </w:rPr>
        <w:t>.</w:t>
      </w:r>
      <w:r w:rsidR="00972B7E" w:rsidRPr="00001F7B">
        <w:rPr>
          <w:rFonts w:cstheme="minorHAnsi"/>
        </w:rPr>
        <w:t>4 of the Vienna Convention refers.” In other words, context and object and purpose must perform their role. Only having don</w:t>
      </w:r>
      <w:r w:rsidR="000C407C" w:rsidRPr="00001F7B">
        <w:rPr>
          <w:rFonts w:cstheme="minorHAnsi"/>
        </w:rPr>
        <w:t>e</w:t>
      </w:r>
      <w:r w:rsidR="00972B7E" w:rsidRPr="00001F7B">
        <w:rPr>
          <w:rFonts w:cstheme="minorHAnsi"/>
        </w:rPr>
        <w:t xml:space="preserve"> so and having produced an ordinary meaning does the opportunity then arise for a claim that a different special meaning was intended, the burden of proof naturally being on the person making that claim.</w:t>
      </w:r>
      <w:r w:rsidR="00C8372C" w:rsidRPr="00001F7B">
        <w:rPr>
          <w:rStyle w:val="FootnoteReference"/>
          <w:rFonts w:cstheme="minorHAnsi"/>
        </w:rPr>
        <w:footnoteReference w:id="133"/>
      </w:r>
      <w:r w:rsidR="00A66163" w:rsidRPr="00001F7B">
        <w:rPr>
          <w:rFonts w:cstheme="minorHAnsi"/>
        </w:rPr>
        <w:t xml:space="preserve"> </w:t>
      </w:r>
    </w:p>
    <w:p w14:paraId="2D547F35" w14:textId="0AF398E5" w:rsidR="00150B48" w:rsidRPr="00001F7B" w:rsidRDefault="00EB16E4" w:rsidP="00001F7B">
      <w:pPr>
        <w:rPr>
          <w:rFonts w:cstheme="minorHAnsi"/>
          <w:b/>
          <w:bCs/>
        </w:rPr>
      </w:pPr>
      <w:r w:rsidRPr="00001F7B">
        <w:rPr>
          <w:rFonts w:cstheme="minorHAnsi"/>
          <w:b/>
          <w:bCs/>
        </w:rPr>
        <w:t>3.</w:t>
      </w:r>
      <w:r w:rsidR="00C65086" w:rsidRPr="00001F7B">
        <w:rPr>
          <w:rFonts w:cstheme="minorHAnsi"/>
          <w:b/>
          <w:bCs/>
        </w:rPr>
        <w:t>2</w:t>
      </w:r>
      <w:r w:rsidRPr="00001F7B">
        <w:rPr>
          <w:rFonts w:cstheme="minorHAnsi"/>
          <w:b/>
          <w:bCs/>
        </w:rPr>
        <w:t>.</w:t>
      </w:r>
      <w:r w:rsidR="00E71460" w:rsidRPr="00001F7B">
        <w:rPr>
          <w:rFonts w:cstheme="minorHAnsi"/>
          <w:b/>
          <w:bCs/>
        </w:rPr>
        <w:t>1.</w:t>
      </w:r>
      <w:r w:rsidR="00755BAE" w:rsidRPr="00001F7B">
        <w:rPr>
          <w:rFonts w:cstheme="minorHAnsi"/>
          <w:b/>
          <w:bCs/>
        </w:rPr>
        <w:t>3</w:t>
      </w:r>
      <w:r w:rsidR="00E71460" w:rsidRPr="00001F7B">
        <w:rPr>
          <w:rFonts w:cstheme="minorHAnsi"/>
          <w:b/>
          <w:bCs/>
        </w:rPr>
        <w:t xml:space="preserve"> </w:t>
      </w:r>
      <w:r w:rsidR="00150B48" w:rsidRPr="00001F7B">
        <w:rPr>
          <w:rFonts w:cstheme="minorHAnsi"/>
          <w:b/>
          <w:bCs/>
        </w:rPr>
        <w:t>Contex</w:t>
      </w:r>
      <w:r w:rsidR="00A276B5" w:rsidRPr="00001F7B">
        <w:rPr>
          <w:rFonts w:cstheme="minorHAnsi"/>
          <w:b/>
          <w:bCs/>
        </w:rPr>
        <w:t>t</w:t>
      </w:r>
    </w:p>
    <w:p w14:paraId="5B1949EA" w14:textId="2D0F968D" w:rsidR="000C407C" w:rsidRPr="00001F7B" w:rsidRDefault="000C407C" w:rsidP="00001F7B">
      <w:pPr>
        <w:rPr>
          <w:rFonts w:cstheme="minorHAnsi"/>
        </w:rPr>
      </w:pPr>
      <w:r w:rsidRPr="00001F7B">
        <w:rPr>
          <w:rFonts w:cstheme="minorHAnsi"/>
        </w:rPr>
        <w:t>The reference to context must not be seen as having a loose sense to indicate surrounding circumstances which are more a matter for the supplementary means.</w:t>
      </w:r>
      <w:r w:rsidRPr="00001F7B">
        <w:rPr>
          <w:rStyle w:val="FootnoteReference"/>
          <w:rFonts w:cstheme="minorHAnsi"/>
        </w:rPr>
        <w:footnoteReference w:id="134"/>
      </w:r>
      <w:r w:rsidRPr="00001F7B">
        <w:rPr>
          <w:rFonts w:cstheme="minorHAnsi"/>
        </w:rPr>
        <w:t xml:space="preserve"> </w:t>
      </w:r>
      <w:r w:rsidR="002F4879" w:rsidRPr="00001F7B">
        <w:rPr>
          <w:rFonts w:cstheme="minorHAnsi"/>
        </w:rPr>
        <w:t xml:space="preserve">This needs to be kept in mind to ensure that the scheme of the rules </w:t>
      </w:r>
      <w:r w:rsidR="00CF6343" w:rsidRPr="00001F7B">
        <w:rPr>
          <w:rFonts w:cstheme="minorHAnsi"/>
        </w:rPr>
        <w:t>is</w:t>
      </w:r>
      <w:r w:rsidR="002F4879" w:rsidRPr="00001F7B">
        <w:rPr>
          <w:rFonts w:cstheme="minorHAnsi"/>
        </w:rPr>
        <w:t xml:space="preserve"> followed correctly.</w:t>
      </w:r>
      <w:r w:rsidR="00574213" w:rsidRPr="00001F7B">
        <w:rPr>
          <w:rFonts w:cstheme="minorHAnsi"/>
        </w:rPr>
        <w:t xml:space="preserve"> </w:t>
      </w:r>
      <w:r w:rsidR="002F4879" w:rsidRPr="00001F7B">
        <w:rPr>
          <w:rFonts w:cstheme="minorHAnsi"/>
        </w:rPr>
        <w:t>The context is initially confined in art 31.2 to the text</w:t>
      </w:r>
      <w:r w:rsidR="00CF6343" w:rsidRPr="00001F7B">
        <w:rPr>
          <w:rFonts w:cstheme="minorHAnsi"/>
        </w:rPr>
        <w:t xml:space="preserve"> including its</w:t>
      </w:r>
      <w:r w:rsidR="002F4879" w:rsidRPr="00001F7B">
        <w:rPr>
          <w:rFonts w:cstheme="minorHAnsi"/>
        </w:rPr>
        <w:t xml:space="preserve"> </w:t>
      </w:r>
      <w:r w:rsidR="00CF6343" w:rsidRPr="00001F7B">
        <w:rPr>
          <w:rFonts w:cstheme="minorHAnsi"/>
        </w:rPr>
        <w:t>preamble and annexes and certain agreement</w:t>
      </w:r>
      <w:r w:rsidR="00BF1147">
        <w:rPr>
          <w:rFonts w:cstheme="minorHAnsi"/>
        </w:rPr>
        <w:t>s</w:t>
      </w:r>
      <w:r w:rsidR="00CF6343" w:rsidRPr="00001F7B">
        <w:rPr>
          <w:rFonts w:cstheme="minorHAnsi"/>
        </w:rPr>
        <w:t xml:space="preserve"> and instruments.</w:t>
      </w:r>
      <w:r w:rsidR="000A163A" w:rsidRPr="00001F7B">
        <w:rPr>
          <w:rStyle w:val="FootnoteReference"/>
          <w:rFonts w:cstheme="minorHAnsi"/>
        </w:rPr>
        <w:footnoteReference w:id="135"/>
      </w:r>
      <w:r w:rsidR="00661C6C" w:rsidRPr="00001F7B">
        <w:rPr>
          <w:rFonts w:cstheme="minorHAnsi"/>
        </w:rPr>
        <w:t xml:space="preserve"> </w:t>
      </w:r>
      <w:r w:rsidR="003809D3" w:rsidRPr="00001F7B">
        <w:rPr>
          <w:rFonts w:cstheme="minorHAnsi"/>
        </w:rPr>
        <w:t>T</w:t>
      </w:r>
      <w:r w:rsidR="002F4879" w:rsidRPr="00001F7B">
        <w:rPr>
          <w:rFonts w:cstheme="minorHAnsi"/>
        </w:rPr>
        <w:t xml:space="preserve">he ILC </w:t>
      </w:r>
      <w:r w:rsidR="00CF6343" w:rsidRPr="00001F7B">
        <w:rPr>
          <w:rFonts w:cstheme="minorHAnsi"/>
        </w:rPr>
        <w:t>noted a</w:t>
      </w:r>
      <w:r w:rsidR="00661C6C" w:rsidRPr="00001F7B">
        <w:rPr>
          <w:rFonts w:cstheme="minorHAnsi"/>
        </w:rPr>
        <w:t>n</w:t>
      </w:r>
      <w:r w:rsidR="00CF6343" w:rsidRPr="00001F7B">
        <w:rPr>
          <w:rFonts w:cstheme="minorHAnsi"/>
        </w:rPr>
        <w:t xml:space="preserve"> advisory opinion of the </w:t>
      </w:r>
      <w:r w:rsidR="00F85980" w:rsidRPr="00001F7B">
        <w:rPr>
          <w:rFonts w:cstheme="minorHAnsi"/>
        </w:rPr>
        <w:t>P</w:t>
      </w:r>
      <w:r w:rsidR="00CF6343" w:rsidRPr="00001F7B">
        <w:rPr>
          <w:rFonts w:cstheme="minorHAnsi"/>
        </w:rPr>
        <w:t xml:space="preserve">ermanent </w:t>
      </w:r>
      <w:r w:rsidR="00F85980" w:rsidRPr="00001F7B">
        <w:rPr>
          <w:rFonts w:cstheme="minorHAnsi"/>
        </w:rPr>
        <w:t>C</w:t>
      </w:r>
      <w:r w:rsidR="00CF6343" w:rsidRPr="00001F7B">
        <w:rPr>
          <w:rFonts w:cstheme="minorHAnsi"/>
        </w:rPr>
        <w:t xml:space="preserve">ourt of </w:t>
      </w:r>
      <w:r w:rsidR="00F85980" w:rsidRPr="00001F7B">
        <w:rPr>
          <w:rFonts w:cstheme="minorHAnsi"/>
        </w:rPr>
        <w:t>J</w:t>
      </w:r>
      <w:r w:rsidR="00CF6343" w:rsidRPr="00001F7B">
        <w:rPr>
          <w:rFonts w:cstheme="minorHAnsi"/>
        </w:rPr>
        <w:t>ustice referring to reading the treaty as a whole</w:t>
      </w:r>
      <w:r w:rsidR="003809D3" w:rsidRPr="00001F7B">
        <w:rPr>
          <w:rFonts w:cstheme="minorHAnsi"/>
        </w:rPr>
        <w:t xml:space="preserve"> and at the Conference it was said that</w:t>
      </w:r>
      <w:r w:rsidR="00F85980" w:rsidRPr="00001F7B">
        <w:rPr>
          <w:rFonts w:cstheme="minorHAnsi"/>
        </w:rPr>
        <w:t>:</w:t>
      </w:r>
      <w:r w:rsidR="003809D3" w:rsidRPr="00001F7B">
        <w:rPr>
          <w:rFonts w:cstheme="minorHAnsi"/>
        </w:rPr>
        <w:t xml:space="preserve"> “The Commission had been very insistent that the ordinary meaning of terms emerged in the context in which they were used, in the context of the treaty as a whol</w:t>
      </w:r>
      <w:r w:rsidR="00474E17" w:rsidRPr="00001F7B">
        <w:rPr>
          <w:rFonts w:cstheme="minorHAnsi"/>
        </w:rPr>
        <w:t>e and in the light of the object and purpose of the treaty</w:t>
      </w:r>
      <w:r w:rsidR="003809D3" w:rsidRPr="00001F7B">
        <w:rPr>
          <w:rFonts w:cstheme="minorHAnsi"/>
        </w:rPr>
        <w:t>.</w:t>
      </w:r>
      <w:r w:rsidR="005F5119" w:rsidRPr="00001F7B">
        <w:rPr>
          <w:rFonts w:cstheme="minorHAnsi"/>
        </w:rPr>
        <w:t>”</w:t>
      </w:r>
      <w:r w:rsidR="003809D3" w:rsidRPr="00001F7B">
        <w:rPr>
          <w:rStyle w:val="FootnoteReference"/>
          <w:rFonts w:cstheme="minorHAnsi"/>
        </w:rPr>
        <w:footnoteReference w:id="136"/>
      </w:r>
      <w:r w:rsidR="005F5119" w:rsidRPr="00001F7B">
        <w:rPr>
          <w:rFonts w:cstheme="minorHAnsi"/>
        </w:rPr>
        <w:t xml:space="preserve"> Thus the reference to the text encompasses</w:t>
      </w:r>
      <w:r w:rsidR="00474E17" w:rsidRPr="00001F7B">
        <w:rPr>
          <w:rFonts w:cstheme="minorHAnsi"/>
        </w:rPr>
        <w:t xml:space="preserve"> both</w:t>
      </w:r>
      <w:r w:rsidR="00BD2BD9" w:rsidRPr="00001F7B">
        <w:rPr>
          <w:rFonts w:cstheme="minorHAnsi"/>
        </w:rPr>
        <w:t xml:space="preserve"> the words proximate to the word or phrase </w:t>
      </w:r>
      <w:r w:rsidR="00F87E44" w:rsidRPr="00001F7B">
        <w:rPr>
          <w:rFonts w:cstheme="minorHAnsi"/>
        </w:rPr>
        <w:t>and</w:t>
      </w:r>
      <w:r w:rsidR="00BD2BD9" w:rsidRPr="00001F7B">
        <w:rPr>
          <w:rFonts w:cstheme="minorHAnsi"/>
        </w:rPr>
        <w:t xml:space="preserve"> the whole of the treaty, drawing in the structure or scheme underlying a provision or the treaty as a whole,</w:t>
      </w:r>
      <w:r w:rsidR="00BD2BD9" w:rsidRPr="00001F7B">
        <w:rPr>
          <w:rStyle w:val="FootnoteReference"/>
          <w:rFonts w:cstheme="minorHAnsi"/>
        </w:rPr>
        <w:footnoteReference w:id="137"/>
      </w:r>
      <w:r w:rsidR="005F567A" w:rsidRPr="00001F7B">
        <w:rPr>
          <w:rFonts w:cstheme="minorHAnsi"/>
        </w:rPr>
        <w:t xml:space="preserve"> </w:t>
      </w:r>
      <w:r w:rsidR="00FB7908" w:rsidRPr="00001F7B">
        <w:rPr>
          <w:rFonts w:cstheme="minorHAnsi"/>
        </w:rPr>
        <w:t>as well as</w:t>
      </w:r>
      <w:r w:rsidR="005F567A" w:rsidRPr="00001F7B">
        <w:rPr>
          <w:rFonts w:cstheme="minorHAnsi"/>
        </w:rPr>
        <w:t xml:space="preserve"> the use made of the same or similar terms throughout the treaty.</w:t>
      </w:r>
      <w:r w:rsidR="005F567A" w:rsidRPr="00001F7B">
        <w:rPr>
          <w:rStyle w:val="FootnoteReference"/>
          <w:rFonts w:cstheme="minorHAnsi"/>
        </w:rPr>
        <w:footnoteReference w:id="138"/>
      </w:r>
      <w:r w:rsidR="00FB7908" w:rsidRPr="00001F7B">
        <w:rPr>
          <w:rFonts w:cstheme="minorHAnsi"/>
        </w:rPr>
        <w:t xml:space="preserve"> </w:t>
      </w:r>
    </w:p>
    <w:p w14:paraId="250A2E73" w14:textId="2320346E" w:rsidR="00B22742" w:rsidRPr="00001F7B" w:rsidRDefault="00D26151" w:rsidP="00001F7B">
      <w:pPr>
        <w:rPr>
          <w:rFonts w:cstheme="minorHAnsi"/>
        </w:rPr>
      </w:pPr>
      <w:r w:rsidRPr="00001F7B">
        <w:rPr>
          <w:rFonts w:cstheme="minorHAnsi"/>
        </w:rPr>
        <w:t>The reference to any</w:t>
      </w:r>
      <w:r w:rsidR="00B942C8" w:rsidRPr="00001F7B">
        <w:rPr>
          <w:rFonts w:cstheme="minorHAnsi"/>
        </w:rPr>
        <w:t xml:space="preserve"> </w:t>
      </w:r>
      <w:r w:rsidR="00EF4411" w:rsidRPr="00001F7B">
        <w:rPr>
          <w:rFonts w:cstheme="minorHAnsi"/>
        </w:rPr>
        <w:t>a</w:t>
      </w:r>
      <w:r w:rsidR="00B942C8" w:rsidRPr="00001F7B">
        <w:rPr>
          <w:rFonts w:cstheme="minorHAnsi"/>
        </w:rPr>
        <w:t>greement</w:t>
      </w:r>
      <w:r w:rsidRPr="00001F7B">
        <w:rPr>
          <w:rFonts w:cstheme="minorHAnsi"/>
        </w:rPr>
        <w:t xml:space="preserve"> or instrument </w:t>
      </w:r>
      <w:r w:rsidR="00EF4411" w:rsidRPr="00001F7B">
        <w:rPr>
          <w:rFonts w:cstheme="minorHAnsi"/>
        </w:rPr>
        <w:t>in art</w:t>
      </w:r>
      <w:r w:rsidR="00D22261" w:rsidRPr="00001F7B">
        <w:rPr>
          <w:rFonts w:cstheme="minorHAnsi"/>
        </w:rPr>
        <w:t xml:space="preserve"> </w:t>
      </w:r>
      <w:r w:rsidR="00EF4411" w:rsidRPr="00001F7B">
        <w:rPr>
          <w:rFonts w:cstheme="minorHAnsi"/>
        </w:rPr>
        <w:t>31.2 in connection with the conclusion of the treaty provides a limited extra part of the context</w:t>
      </w:r>
      <w:r w:rsidR="00661C6C" w:rsidRPr="00001F7B">
        <w:rPr>
          <w:rFonts w:cstheme="minorHAnsi"/>
        </w:rPr>
        <w:t xml:space="preserve"> based on the principle that a unilateral document cannot be regarded as forming part of the "context" within the meaning of article 27 unless not only was it made in conne</w:t>
      </w:r>
      <w:r w:rsidR="00240F7B" w:rsidRPr="00001F7B">
        <w:rPr>
          <w:rFonts w:cstheme="minorHAnsi"/>
        </w:rPr>
        <w:t>ct</w:t>
      </w:r>
      <w:r w:rsidR="00661C6C" w:rsidRPr="00001F7B">
        <w:rPr>
          <w:rFonts w:cstheme="minorHAnsi"/>
        </w:rPr>
        <w:t>ion with the conclusion of the treaty but its relation to the treaty was accepted in the same manner by the other parties.</w:t>
      </w:r>
      <w:r w:rsidR="00661C6C" w:rsidRPr="00001F7B">
        <w:rPr>
          <w:rStyle w:val="FootnoteReference"/>
          <w:rFonts w:cstheme="minorHAnsi"/>
        </w:rPr>
        <w:footnoteReference w:id="139"/>
      </w:r>
      <w:r w:rsidR="00661C6C" w:rsidRPr="00001F7B">
        <w:rPr>
          <w:rFonts w:cstheme="minorHAnsi"/>
        </w:rPr>
        <w:t xml:space="preserve"> Art</w:t>
      </w:r>
      <w:r w:rsidR="00D22261" w:rsidRPr="00001F7B">
        <w:rPr>
          <w:rFonts w:cstheme="minorHAnsi"/>
        </w:rPr>
        <w:t xml:space="preserve"> </w:t>
      </w:r>
      <w:r w:rsidR="00661C6C" w:rsidRPr="00001F7B">
        <w:rPr>
          <w:rFonts w:cstheme="minorHAnsi"/>
        </w:rPr>
        <w:t>31.3</w:t>
      </w:r>
      <w:r w:rsidRPr="00001F7B">
        <w:rPr>
          <w:rFonts w:cstheme="minorHAnsi"/>
        </w:rPr>
        <w:t xml:space="preserve"> </w:t>
      </w:r>
      <w:r w:rsidR="002E2634" w:rsidRPr="00001F7B">
        <w:rPr>
          <w:rFonts w:cstheme="minorHAnsi"/>
        </w:rPr>
        <w:t>draws in</w:t>
      </w:r>
      <w:r w:rsidR="00D22261" w:rsidRPr="00001F7B">
        <w:rPr>
          <w:rFonts w:cstheme="minorHAnsi"/>
        </w:rPr>
        <w:t>,</w:t>
      </w:r>
      <w:r w:rsidR="002E2634" w:rsidRPr="00001F7B">
        <w:rPr>
          <w:rFonts w:cstheme="minorHAnsi"/>
        </w:rPr>
        <w:t xml:space="preserve"> as authentic elements </w:t>
      </w:r>
      <w:r w:rsidR="00871880" w:rsidRPr="00001F7B">
        <w:rPr>
          <w:rFonts w:cstheme="minorHAnsi"/>
        </w:rPr>
        <w:t>of interpretation to be taken into account together with the context any</w:t>
      </w:r>
      <w:r w:rsidR="002E2634" w:rsidRPr="00001F7B">
        <w:rPr>
          <w:rFonts w:cstheme="minorHAnsi"/>
        </w:rPr>
        <w:t xml:space="preserve"> subsequent agreement</w:t>
      </w:r>
      <w:r w:rsidR="00871880" w:rsidRPr="00001F7B">
        <w:rPr>
          <w:rFonts w:cstheme="minorHAnsi"/>
        </w:rPr>
        <w:t xml:space="preserve"> as to interpretation</w:t>
      </w:r>
      <w:r w:rsidR="002E2634" w:rsidRPr="00001F7B">
        <w:rPr>
          <w:rFonts w:cstheme="minorHAnsi"/>
        </w:rPr>
        <w:t xml:space="preserve">, subsequent practice </w:t>
      </w:r>
      <w:r w:rsidR="00871880" w:rsidRPr="00001F7B">
        <w:rPr>
          <w:rFonts w:cstheme="minorHAnsi"/>
        </w:rPr>
        <w:t xml:space="preserve">in the application of the treaty </w:t>
      </w:r>
      <w:r w:rsidR="00327FE9" w:rsidRPr="00001F7B">
        <w:rPr>
          <w:rFonts w:cstheme="minorHAnsi"/>
        </w:rPr>
        <w:t xml:space="preserve">which establishes the agreement of the parties as to interpretation </w:t>
      </w:r>
      <w:r w:rsidR="002E2634" w:rsidRPr="00001F7B">
        <w:rPr>
          <w:rFonts w:cstheme="minorHAnsi"/>
        </w:rPr>
        <w:t xml:space="preserve">and relevant rules of international </w:t>
      </w:r>
      <w:r w:rsidR="004B1731" w:rsidRPr="00001F7B">
        <w:rPr>
          <w:rFonts w:cstheme="minorHAnsi"/>
        </w:rPr>
        <w:t xml:space="preserve">law </w:t>
      </w:r>
      <w:r w:rsidR="002E2634" w:rsidRPr="00001F7B">
        <w:rPr>
          <w:rFonts w:cstheme="minorHAnsi"/>
        </w:rPr>
        <w:t xml:space="preserve">applicable in the relations between the parties. </w:t>
      </w:r>
      <w:r w:rsidR="004B1731" w:rsidRPr="00001F7B">
        <w:rPr>
          <w:rFonts w:cstheme="minorHAnsi"/>
        </w:rPr>
        <w:t>A</w:t>
      </w:r>
      <w:r w:rsidR="00082FFD" w:rsidRPr="00001F7B">
        <w:rPr>
          <w:rFonts w:cstheme="minorHAnsi"/>
        </w:rPr>
        <w:t>rt</w:t>
      </w:r>
      <w:r w:rsidR="004B1731" w:rsidRPr="00001F7B">
        <w:rPr>
          <w:rFonts w:cstheme="minorHAnsi"/>
        </w:rPr>
        <w:t>.</w:t>
      </w:r>
      <w:r w:rsidR="00082FFD" w:rsidRPr="00001F7B">
        <w:rPr>
          <w:rFonts w:cstheme="minorHAnsi"/>
        </w:rPr>
        <w:t xml:space="preserve"> 31.</w:t>
      </w:r>
      <w:r w:rsidR="00E1335D">
        <w:rPr>
          <w:rFonts w:cstheme="minorHAnsi"/>
        </w:rPr>
        <w:t>3</w:t>
      </w:r>
      <w:r w:rsidR="00082FFD" w:rsidRPr="00001F7B">
        <w:rPr>
          <w:rFonts w:cstheme="minorHAnsi"/>
        </w:rPr>
        <w:t>(a) refers to all the parties but in respect of art</w:t>
      </w:r>
      <w:r w:rsidR="00995C74" w:rsidRPr="00001F7B">
        <w:rPr>
          <w:rFonts w:cstheme="minorHAnsi"/>
        </w:rPr>
        <w:t xml:space="preserve"> </w:t>
      </w:r>
      <w:r w:rsidR="00082FFD" w:rsidRPr="00001F7B">
        <w:rPr>
          <w:rFonts w:cstheme="minorHAnsi"/>
        </w:rPr>
        <w:t xml:space="preserve">31.3(b) </w:t>
      </w:r>
      <w:r w:rsidR="00C85A56" w:rsidRPr="00001F7B">
        <w:rPr>
          <w:rFonts w:cstheme="minorHAnsi"/>
        </w:rPr>
        <w:t xml:space="preserve">the commission explained that omission of the word </w:t>
      </w:r>
      <w:r w:rsidR="006A59B6" w:rsidRPr="00001F7B">
        <w:rPr>
          <w:rFonts w:cstheme="minorHAnsi"/>
        </w:rPr>
        <w:t>‘</w:t>
      </w:r>
      <w:r w:rsidR="00C85A56" w:rsidRPr="00001F7B">
        <w:rPr>
          <w:rFonts w:cstheme="minorHAnsi"/>
        </w:rPr>
        <w:t>all</w:t>
      </w:r>
      <w:r w:rsidR="006A59B6" w:rsidRPr="00001F7B">
        <w:rPr>
          <w:rFonts w:cstheme="minorHAnsi"/>
        </w:rPr>
        <w:t>’</w:t>
      </w:r>
      <w:r w:rsidR="00C85A56" w:rsidRPr="00001F7B">
        <w:rPr>
          <w:rFonts w:cstheme="minorHAnsi"/>
        </w:rPr>
        <w:t xml:space="preserve"> which had been included in a previous draft was not intended to change the rule but considered that the phrase "the understanding of the parties" necessarily means "the parties as a whole</w:t>
      </w:r>
      <w:r w:rsidR="004B1731" w:rsidRPr="00001F7B">
        <w:rPr>
          <w:rFonts w:cstheme="minorHAnsi"/>
        </w:rPr>
        <w:t>.</w:t>
      </w:r>
      <w:r w:rsidR="00C85A56" w:rsidRPr="00001F7B">
        <w:rPr>
          <w:rFonts w:cstheme="minorHAnsi"/>
        </w:rPr>
        <w:t xml:space="preserve">" It omitted the word </w:t>
      </w:r>
      <w:r w:rsidR="004B1731" w:rsidRPr="00001F7B">
        <w:rPr>
          <w:rFonts w:cstheme="minorHAnsi"/>
        </w:rPr>
        <w:t>‘</w:t>
      </w:r>
      <w:r w:rsidR="00C85A56" w:rsidRPr="00001F7B">
        <w:rPr>
          <w:rFonts w:cstheme="minorHAnsi"/>
        </w:rPr>
        <w:t>all</w:t>
      </w:r>
      <w:r w:rsidR="004B1731" w:rsidRPr="00001F7B">
        <w:rPr>
          <w:rFonts w:cstheme="minorHAnsi"/>
        </w:rPr>
        <w:t>’</w:t>
      </w:r>
      <w:r w:rsidR="00C85A56" w:rsidRPr="00001F7B">
        <w:rPr>
          <w:rFonts w:cstheme="minorHAnsi"/>
        </w:rPr>
        <w:t xml:space="preserve"> merely to avoid any possible misconception that every party must individually have engaged in the practice where it suffices that it should have accepted the practice.</w:t>
      </w:r>
      <w:r w:rsidR="00C85A56" w:rsidRPr="00001F7B">
        <w:rPr>
          <w:rStyle w:val="FootnoteReference"/>
          <w:rFonts w:cstheme="minorHAnsi"/>
        </w:rPr>
        <w:footnoteReference w:id="140"/>
      </w:r>
    </w:p>
    <w:p w14:paraId="1E2E6A85" w14:textId="24BE3BB9" w:rsidR="001B0FC2" w:rsidRPr="00001F7B" w:rsidRDefault="00FC307F" w:rsidP="00001F7B">
      <w:pPr>
        <w:rPr>
          <w:rFonts w:cstheme="minorHAnsi"/>
        </w:rPr>
      </w:pPr>
      <w:r w:rsidRPr="00001F7B">
        <w:rPr>
          <w:rFonts w:cstheme="minorHAnsi"/>
        </w:rPr>
        <w:t>In</w:t>
      </w:r>
      <w:r w:rsidR="0078632B" w:rsidRPr="00001F7B">
        <w:rPr>
          <w:rFonts w:cstheme="minorHAnsi"/>
        </w:rPr>
        <w:t xml:space="preserve"> </w:t>
      </w:r>
      <w:r w:rsidR="00EA2D1F" w:rsidRPr="00001F7B">
        <w:rPr>
          <w:rFonts w:cstheme="minorHAnsi"/>
        </w:rPr>
        <w:t>respect of</w:t>
      </w:r>
      <w:r w:rsidR="0078632B" w:rsidRPr="00001F7B">
        <w:rPr>
          <w:rFonts w:cstheme="minorHAnsi"/>
        </w:rPr>
        <w:t xml:space="preserve"> subsequent </w:t>
      </w:r>
      <w:r w:rsidR="00E50133" w:rsidRPr="00001F7B">
        <w:rPr>
          <w:rFonts w:cstheme="minorHAnsi"/>
        </w:rPr>
        <w:t>practice,</w:t>
      </w:r>
      <w:r w:rsidR="0078632B" w:rsidRPr="00001F7B">
        <w:rPr>
          <w:rFonts w:cstheme="minorHAnsi"/>
        </w:rPr>
        <w:t xml:space="preserve"> </w:t>
      </w:r>
      <w:r w:rsidR="00EA2D1F" w:rsidRPr="00001F7B">
        <w:rPr>
          <w:rFonts w:cstheme="minorHAnsi"/>
        </w:rPr>
        <w:t>it is important to distinguish this practice as an authentic element of interpretation under art 31.</w:t>
      </w:r>
      <w:r w:rsidR="00E1335D">
        <w:rPr>
          <w:rFonts w:cstheme="minorHAnsi"/>
        </w:rPr>
        <w:t>3</w:t>
      </w:r>
      <w:r w:rsidR="00EA2D1F" w:rsidRPr="00001F7B">
        <w:rPr>
          <w:rFonts w:cstheme="minorHAnsi"/>
        </w:rPr>
        <w:t xml:space="preserve">(b) and practice that can be taken into account </w:t>
      </w:r>
      <w:r w:rsidR="0053293C" w:rsidRPr="00001F7B">
        <w:rPr>
          <w:rFonts w:cstheme="minorHAnsi"/>
        </w:rPr>
        <w:t>as supplementary means of interpretation under art 32.</w:t>
      </w:r>
      <w:r w:rsidRPr="00001F7B">
        <w:rPr>
          <w:rStyle w:val="FootnoteReference"/>
          <w:rFonts w:cstheme="minorHAnsi"/>
        </w:rPr>
        <w:footnoteReference w:id="141"/>
      </w:r>
      <w:r w:rsidR="0053293C" w:rsidRPr="00001F7B">
        <w:rPr>
          <w:rFonts w:cstheme="minorHAnsi"/>
        </w:rPr>
        <w:t xml:space="preserve">  Under art 31.</w:t>
      </w:r>
      <w:r w:rsidR="00E1335D">
        <w:rPr>
          <w:rFonts w:cstheme="minorHAnsi"/>
        </w:rPr>
        <w:t>3</w:t>
      </w:r>
      <w:r w:rsidR="0053293C" w:rsidRPr="00001F7B">
        <w:rPr>
          <w:rFonts w:cstheme="minorHAnsi"/>
        </w:rPr>
        <w:t>(b) i</w:t>
      </w:r>
      <w:r w:rsidR="00EE074F" w:rsidRPr="00001F7B">
        <w:rPr>
          <w:rFonts w:cstheme="minorHAnsi"/>
        </w:rPr>
        <w:t xml:space="preserve">t is the agreement of the parties that must be shown. </w:t>
      </w:r>
      <w:r w:rsidR="00A42990" w:rsidRPr="00001F7B">
        <w:rPr>
          <w:rFonts w:cstheme="minorHAnsi"/>
        </w:rPr>
        <w:t>The word ‘party’ is defined in art</w:t>
      </w:r>
      <w:r w:rsidR="00EB16E4" w:rsidRPr="00001F7B">
        <w:rPr>
          <w:rFonts w:cstheme="minorHAnsi"/>
        </w:rPr>
        <w:t xml:space="preserve"> </w:t>
      </w:r>
      <w:r w:rsidR="00A42990" w:rsidRPr="00001F7B">
        <w:rPr>
          <w:rFonts w:cstheme="minorHAnsi"/>
        </w:rPr>
        <w:t xml:space="preserve">2(g) as a state. </w:t>
      </w:r>
      <w:r w:rsidR="00EE074F" w:rsidRPr="00001F7B">
        <w:rPr>
          <w:rFonts w:cstheme="minorHAnsi"/>
        </w:rPr>
        <w:t>Technically</w:t>
      </w:r>
      <w:r w:rsidR="00766900" w:rsidRPr="00001F7B">
        <w:rPr>
          <w:rFonts w:cstheme="minorHAnsi"/>
        </w:rPr>
        <w:t>, whilst courts are organs of the state their constitutional authority to represent the interpretative position of the state may need to be assessed.</w:t>
      </w:r>
      <w:r w:rsidR="00766900" w:rsidRPr="00001F7B">
        <w:rPr>
          <w:rStyle w:val="FootnoteReference"/>
          <w:rFonts w:cstheme="minorHAnsi"/>
        </w:rPr>
        <w:footnoteReference w:id="142"/>
      </w:r>
      <w:r w:rsidR="0034779D" w:rsidRPr="00001F7B">
        <w:rPr>
          <w:rFonts w:cstheme="minorHAnsi"/>
        </w:rPr>
        <w:t xml:space="preserve"> No doubt this is relevant at the higher level of the state’s foreign relations </w:t>
      </w:r>
      <w:r w:rsidR="0053293C" w:rsidRPr="00001F7B">
        <w:rPr>
          <w:rFonts w:cstheme="minorHAnsi"/>
        </w:rPr>
        <w:t xml:space="preserve">and </w:t>
      </w:r>
      <w:r w:rsidR="007E1343" w:rsidRPr="00001F7B">
        <w:rPr>
          <w:rFonts w:cstheme="minorHAnsi"/>
        </w:rPr>
        <w:t xml:space="preserve">international law obligations </w:t>
      </w:r>
      <w:r w:rsidR="0034779D" w:rsidRPr="00001F7B">
        <w:rPr>
          <w:rFonts w:cstheme="minorHAnsi"/>
        </w:rPr>
        <w:t>but at the level of the interpretation of uniform law a court’s view would hardly ever</w:t>
      </w:r>
      <w:r w:rsidR="007E1343" w:rsidRPr="00001F7B">
        <w:rPr>
          <w:rFonts w:cstheme="minorHAnsi"/>
        </w:rPr>
        <w:t xml:space="preserve"> have such relevance so there may be little objection to courts’ decision</w:t>
      </w:r>
      <w:r w:rsidR="008D367F" w:rsidRPr="00001F7B">
        <w:rPr>
          <w:rFonts w:cstheme="minorHAnsi"/>
        </w:rPr>
        <w:t>s</w:t>
      </w:r>
      <w:r w:rsidR="007E1343" w:rsidRPr="00001F7B">
        <w:rPr>
          <w:rFonts w:cstheme="minorHAnsi"/>
        </w:rPr>
        <w:t xml:space="preserve"> being taken as representative of a state’s position.</w:t>
      </w:r>
      <w:r w:rsidRPr="00001F7B">
        <w:rPr>
          <w:rStyle w:val="FootnoteReference"/>
          <w:rFonts w:cstheme="minorHAnsi"/>
        </w:rPr>
        <w:footnoteReference w:id="143"/>
      </w:r>
      <w:r w:rsidR="007E1343" w:rsidRPr="00001F7B">
        <w:rPr>
          <w:rFonts w:cstheme="minorHAnsi"/>
        </w:rPr>
        <w:t xml:space="preserve"> </w:t>
      </w:r>
      <w:r w:rsidR="00C60356" w:rsidRPr="00001F7B">
        <w:rPr>
          <w:rFonts w:cstheme="minorHAnsi"/>
        </w:rPr>
        <w:t xml:space="preserve"> However</w:t>
      </w:r>
      <w:r w:rsidR="0053293C" w:rsidRPr="00001F7B">
        <w:rPr>
          <w:rFonts w:cstheme="minorHAnsi"/>
        </w:rPr>
        <w:t>, as noted above what must be shown is the common understanding of the parties</w:t>
      </w:r>
      <w:r w:rsidR="00985022" w:rsidRPr="00001F7B">
        <w:rPr>
          <w:rFonts w:cstheme="minorHAnsi"/>
        </w:rPr>
        <w:t>. It is not required that every state has</w:t>
      </w:r>
      <w:r w:rsidR="0034779D" w:rsidRPr="00001F7B">
        <w:rPr>
          <w:rFonts w:cstheme="minorHAnsi"/>
        </w:rPr>
        <w:t xml:space="preserve"> </w:t>
      </w:r>
      <w:r w:rsidR="00985022" w:rsidRPr="00001F7B">
        <w:rPr>
          <w:rFonts w:cstheme="minorHAnsi"/>
        </w:rPr>
        <w:t>engaged in the practice but</w:t>
      </w:r>
      <w:r w:rsidR="00E50133" w:rsidRPr="00001F7B">
        <w:rPr>
          <w:rFonts w:cstheme="minorHAnsi"/>
        </w:rPr>
        <w:t xml:space="preserve"> it suffices that it should</w:t>
      </w:r>
      <w:r w:rsidR="00985022" w:rsidRPr="00001F7B">
        <w:rPr>
          <w:rFonts w:cstheme="minorHAnsi"/>
        </w:rPr>
        <w:t xml:space="preserve"> </w:t>
      </w:r>
      <w:r w:rsidR="00E50133" w:rsidRPr="00001F7B">
        <w:rPr>
          <w:rFonts w:cstheme="minorHAnsi"/>
        </w:rPr>
        <w:t xml:space="preserve">have </w:t>
      </w:r>
      <w:r w:rsidR="00985022" w:rsidRPr="00001F7B">
        <w:rPr>
          <w:rFonts w:cstheme="minorHAnsi"/>
        </w:rPr>
        <w:t>accep</w:t>
      </w:r>
      <w:r w:rsidR="00E50133" w:rsidRPr="00001F7B">
        <w:rPr>
          <w:rFonts w:cstheme="minorHAnsi"/>
        </w:rPr>
        <w:t>ted</w:t>
      </w:r>
      <w:r w:rsidR="00985022" w:rsidRPr="00001F7B">
        <w:rPr>
          <w:rFonts w:cstheme="minorHAnsi"/>
        </w:rPr>
        <w:t xml:space="preserve"> it.</w:t>
      </w:r>
      <w:r w:rsidR="00985022" w:rsidRPr="00001F7B">
        <w:rPr>
          <w:rStyle w:val="FootnoteReference"/>
          <w:rFonts w:cstheme="minorHAnsi"/>
        </w:rPr>
        <w:footnoteReference w:id="144"/>
      </w:r>
      <w:r w:rsidR="00F302AA" w:rsidRPr="00001F7B">
        <w:rPr>
          <w:rFonts w:cstheme="minorHAnsi"/>
        </w:rPr>
        <w:t xml:space="preserve"> </w:t>
      </w:r>
      <w:r w:rsidR="001B0FC2" w:rsidRPr="00001F7B">
        <w:rPr>
          <w:rFonts w:cstheme="minorHAnsi"/>
        </w:rPr>
        <w:t>In so far as it may be difficult to establish the necessary consent across the whole range of members states,</w:t>
      </w:r>
      <w:r w:rsidR="001B0FC2" w:rsidRPr="00001F7B">
        <w:rPr>
          <w:rStyle w:val="FootnoteReference"/>
          <w:rFonts w:cstheme="minorHAnsi"/>
        </w:rPr>
        <w:footnoteReference w:id="145"/>
      </w:r>
      <w:r w:rsidR="001B0FC2" w:rsidRPr="00001F7B">
        <w:rPr>
          <w:rFonts w:cstheme="minorHAnsi"/>
        </w:rPr>
        <w:t xml:space="preserve"> there would not, in that case be fulfilment of the precondition necessary to require courts to follow the particular interpretation notwithstanding a line of decisions adopting it.</w:t>
      </w:r>
      <w:r w:rsidR="001B0FC2" w:rsidRPr="00001F7B">
        <w:rPr>
          <w:rStyle w:val="FootnoteReference"/>
          <w:rFonts w:cstheme="minorHAnsi"/>
        </w:rPr>
        <w:footnoteReference w:id="146"/>
      </w:r>
    </w:p>
    <w:p w14:paraId="094D461E" w14:textId="07E04520" w:rsidR="0078632B" w:rsidRPr="00001F7B" w:rsidRDefault="00FC307F" w:rsidP="00001F7B">
      <w:pPr>
        <w:rPr>
          <w:rFonts w:cstheme="minorHAnsi"/>
        </w:rPr>
      </w:pPr>
      <w:r w:rsidRPr="00001F7B">
        <w:rPr>
          <w:rFonts w:cstheme="minorHAnsi"/>
        </w:rPr>
        <w:t>However</w:t>
      </w:r>
      <w:r w:rsidR="002F37CD" w:rsidRPr="00001F7B">
        <w:rPr>
          <w:rFonts w:cstheme="minorHAnsi"/>
        </w:rPr>
        <w:t xml:space="preserve">, decisions of </w:t>
      </w:r>
      <w:r w:rsidR="00AA6164" w:rsidRPr="00001F7B">
        <w:rPr>
          <w:rFonts w:cstheme="minorHAnsi"/>
        </w:rPr>
        <w:t>foreign</w:t>
      </w:r>
      <w:r w:rsidR="002F37CD" w:rsidRPr="00001F7B">
        <w:rPr>
          <w:rFonts w:cstheme="minorHAnsi"/>
        </w:rPr>
        <w:t xml:space="preserve"> courts</w:t>
      </w:r>
      <w:r w:rsidRPr="00001F7B">
        <w:rPr>
          <w:rFonts w:cstheme="minorHAnsi"/>
        </w:rPr>
        <w:t xml:space="preserve"> </w:t>
      </w:r>
      <w:r w:rsidR="002F37CD" w:rsidRPr="00001F7B">
        <w:rPr>
          <w:rFonts w:cstheme="minorHAnsi"/>
        </w:rPr>
        <w:t xml:space="preserve">can amount to subsequent practice </w:t>
      </w:r>
      <w:r w:rsidR="00C94BD0" w:rsidRPr="00001F7B">
        <w:rPr>
          <w:rFonts w:cstheme="minorHAnsi"/>
        </w:rPr>
        <w:t>in a broader sense</w:t>
      </w:r>
      <w:r w:rsidR="00FC0919" w:rsidRPr="00001F7B">
        <w:rPr>
          <w:rFonts w:cstheme="minorHAnsi"/>
        </w:rPr>
        <w:t xml:space="preserve"> </w:t>
      </w:r>
      <w:r w:rsidR="002F37CD" w:rsidRPr="00001F7B">
        <w:rPr>
          <w:rFonts w:cstheme="minorHAnsi"/>
        </w:rPr>
        <w:t xml:space="preserve">as supplementary means </w:t>
      </w:r>
      <w:r w:rsidR="00C94BD0" w:rsidRPr="00001F7B">
        <w:rPr>
          <w:rFonts w:cstheme="minorHAnsi"/>
        </w:rPr>
        <w:t xml:space="preserve">under art 32 </w:t>
      </w:r>
      <w:r w:rsidR="002F37CD" w:rsidRPr="00001F7B">
        <w:rPr>
          <w:rFonts w:cstheme="minorHAnsi"/>
        </w:rPr>
        <w:t xml:space="preserve">which does not need to meet the strict </w:t>
      </w:r>
      <w:r w:rsidR="00C94BD0" w:rsidRPr="00001F7B">
        <w:rPr>
          <w:rFonts w:cstheme="minorHAnsi"/>
        </w:rPr>
        <w:t xml:space="preserve">requirement </w:t>
      </w:r>
      <w:r w:rsidR="002F37CD" w:rsidRPr="00001F7B">
        <w:rPr>
          <w:rFonts w:cstheme="minorHAnsi"/>
        </w:rPr>
        <w:t>for agreement under art 3</w:t>
      </w:r>
      <w:r w:rsidR="00EB16E4" w:rsidRPr="00001F7B">
        <w:rPr>
          <w:rFonts w:cstheme="minorHAnsi"/>
        </w:rPr>
        <w:t>1.</w:t>
      </w:r>
      <w:r w:rsidR="002F37CD" w:rsidRPr="00001F7B">
        <w:rPr>
          <w:rFonts w:cstheme="minorHAnsi"/>
        </w:rPr>
        <w:t>1</w:t>
      </w:r>
      <w:r w:rsidR="00AE74D0" w:rsidRPr="00001F7B">
        <w:rPr>
          <w:rFonts w:cstheme="minorHAnsi"/>
        </w:rPr>
        <w:t>(</w:t>
      </w:r>
      <w:r w:rsidR="002F37CD" w:rsidRPr="00001F7B">
        <w:rPr>
          <w:rFonts w:cstheme="minorHAnsi"/>
        </w:rPr>
        <w:t>b</w:t>
      </w:r>
      <w:r w:rsidR="00AE74D0" w:rsidRPr="00001F7B">
        <w:rPr>
          <w:rFonts w:cstheme="minorHAnsi"/>
        </w:rPr>
        <w:t>)</w:t>
      </w:r>
      <w:r w:rsidR="002F37CD" w:rsidRPr="00001F7B">
        <w:rPr>
          <w:rFonts w:cstheme="minorHAnsi"/>
        </w:rPr>
        <w:t xml:space="preserve"> </w:t>
      </w:r>
      <w:r w:rsidR="00C94BD0" w:rsidRPr="00001F7B">
        <w:rPr>
          <w:rFonts w:cstheme="minorHAnsi"/>
        </w:rPr>
        <w:t>n</w:t>
      </w:r>
      <w:r w:rsidR="002F37CD" w:rsidRPr="00001F7B">
        <w:rPr>
          <w:rFonts w:cstheme="minorHAnsi"/>
        </w:rPr>
        <w:t>or necessarily have t</w:t>
      </w:r>
      <w:r w:rsidR="00C94BD0" w:rsidRPr="00001F7B">
        <w:rPr>
          <w:rFonts w:cstheme="minorHAnsi"/>
        </w:rPr>
        <w:t>o have involved any sustained practice of particular frequency.</w:t>
      </w:r>
      <w:r w:rsidR="00C94BD0" w:rsidRPr="00001F7B">
        <w:rPr>
          <w:rStyle w:val="FootnoteReference"/>
          <w:rFonts w:cstheme="minorHAnsi"/>
        </w:rPr>
        <w:footnoteReference w:id="147"/>
      </w:r>
      <w:r w:rsidR="00896619" w:rsidRPr="00001F7B">
        <w:rPr>
          <w:rFonts w:cstheme="minorHAnsi"/>
        </w:rPr>
        <w:t xml:space="preserve"> </w:t>
      </w:r>
      <w:r w:rsidR="00FC0919" w:rsidRPr="00001F7B">
        <w:rPr>
          <w:rFonts w:cstheme="minorHAnsi"/>
        </w:rPr>
        <w:t xml:space="preserve">Furthermore the interpreter is given a discretion whether to consider them rather being required to do so. </w:t>
      </w:r>
    </w:p>
    <w:p w14:paraId="55E74B28" w14:textId="27B9A584" w:rsidR="00150B48" w:rsidRPr="00001F7B" w:rsidRDefault="0071136A" w:rsidP="00001F7B">
      <w:pPr>
        <w:rPr>
          <w:rFonts w:cstheme="minorHAnsi"/>
        </w:rPr>
      </w:pPr>
      <w:r w:rsidRPr="00001F7B">
        <w:rPr>
          <w:rFonts w:cstheme="minorHAnsi"/>
          <w:b/>
          <w:bCs/>
        </w:rPr>
        <w:t>3.</w:t>
      </w:r>
      <w:r w:rsidR="00C65086" w:rsidRPr="00001F7B">
        <w:rPr>
          <w:rFonts w:cstheme="minorHAnsi"/>
          <w:b/>
          <w:bCs/>
        </w:rPr>
        <w:t>2</w:t>
      </w:r>
      <w:r w:rsidRPr="00001F7B">
        <w:rPr>
          <w:rFonts w:cstheme="minorHAnsi"/>
          <w:b/>
          <w:bCs/>
        </w:rPr>
        <w:t>.1.</w:t>
      </w:r>
      <w:r w:rsidR="00755BAE" w:rsidRPr="00001F7B">
        <w:rPr>
          <w:rFonts w:cstheme="minorHAnsi"/>
          <w:b/>
          <w:bCs/>
        </w:rPr>
        <w:t>4</w:t>
      </w:r>
      <w:r w:rsidRPr="00001F7B">
        <w:rPr>
          <w:rFonts w:cstheme="minorHAnsi"/>
          <w:b/>
          <w:bCs/>
        </w:rPr>
        <w:t xml:space="preserve"> </w:t>
      </w:r>
      <w:r w:rsidR="00150B48" w:rsidRPr="00001F7B">
        <w:rPr>
          <w:rFonts w:cstheme="minorHAnsi"/>
          <w:b/>
          <w:bCs/>
        </w:rPr>
        <w:t>International Law</w:t>
      </w:r>
      <w:r w:rsidR="00AE74D0" w:rsidRPr="00001F7B">
        <w:rPr>
          <w:rFonts w:cstheme="minorHAnsi"/>
          <w:b/>
          <w:bCs/>
        </w:rPr>
        <w:t xml:space="preserve"> – Article 31.3(c)</w:t>
      </w:r>
    </w:p>
    <w:p w14:paraId="4BDC084D" w14:textId="7C4FEE08" w:rsidR="00FF40C7" w:rsidRPr="00001F7B" w:rsidRDefault="00DF2DFA" w:rsidP="00001F7B">
      <w:pPr>
        <w:rPr>
          <w:rFonts w:cstheme="minorHAnsi"/>
        </w:rPr>
      </w:pPr>
      <w:r w:rsidRPr="00001F7B">
        <w:rPr>
          <w:rFonts w:cstheme="minorHAnsi"/>
        </w:rPr>
        <w:t>Little guidance was given by the ILC regarding this provision s</w:t>
      </w:r>
      <w:r w:rsidR="00AC42F0" w:rsidRPr="00001F7B">
        <w:rPr>
          <w:rFonts w:cstheme="minorHAnsi"/>
        </w:rPr>
        <w:t>ince the discussion was focussed on the place of the intertemporal law in respect of the interpretation of treaties in the context of international law</w:t>
      </w:r>
      <w:r w:rsidRPr="00001F7B">
        <w:rPr>
          <w:rFonts w:cstheme="minorHAnsi"/>
        </w:rPr>
        <w:t>.</w:t>
      </w:r>
      <w:r w:rsidRPr="00001F7B">
        <w:rPr>
          <w:rStyle w:val="FootnoteReference"/>
          <w:rFonts w:cstheme="minorHAnsi"/>
        </w:rPr>
        <w:footnoteReference w:id="148"/>
      </w:r>
      <w:r w:rsidR="00FF40C7" w:rsidRPr="00001F7B">
        <w:rPr>
          <w:rFonts w:cstheme="minorHAnsi"/>
        </w:rPr>
        <w:t xml:space="preserve"> The intertemporal law relates to how far a treaty should be placed in the circumstances of its time or </w:t>
      </w:r>
      <w:r w:rsidR="0076614A" w:rsidRPr="00001F7B">
        <w:rPr>
          <w:rFonts w:cstheme="minorHAnsi"/>
        </w:rPr>
        <w:t xml:space="preserve">take account </w:t>
      </w:r>
      <w:r w:rsidR="00AC42F0" w:rsidRPr="00001F7B">
        <w:rPr>
          <w:rFonts w:cstheme="minorHAnsi"/>
        </w:rPr>
        <w:t xml:space="preserve">of </w:t>
      </w:r>
      <w:r w:rsidR="0076614A" w:rsidRPr="00001F7B">
        <w:rPr>
          <w:rFonts w:cstheme="minorHAnsi"/>
        </w:rPr>
        <w:t>subsequent developments. An example might be an old treaty providing for diplomatic immunity which might clash with a modern treaty dealing generally with the suppression of terrorism. The early expression of the principle by Judge Huber</w:t>
      </w:r>
      <w:r w:rsidR="007925BE" w:rsidRPr="00001F7B">
        <w:rPr>
          <w:rStyle w:val="FootnoteReference"/>
          <w:rFonts w:cstheme="minorHAnsi"/>
        </w:rPr>
        <w:footnoteReference w:id="149"/>
      </w:r>
      <w:r w:rsidR="005E4E52" w:rsidRPr="00001F7B">
        <w:rPr>
          <w:rFonts w:cstheme="minorHAnsi"/>
        </w:rPr>
        <w:t xml:space="preserve"> indicated firstly, that a juridical fact must be appreciated in the light of the law contemporaneous to it</w:t>
      </w:r>
      <w:r w:rsidR="006E617C" w:rsidRPr="00001F7B">
        <w:rPr>
          <w:rStyle w:val="FootnoteReference"/>
          <w:rFonts w:cstheme="minorHAnsi"/>
        </w:rPr>
        <w:footnoteReference w:id="150"/>
      </w:r>
      <w:r w:rsidR="005E4E52" w:rsidRPr="00001F7B">
        <w:rPr>
          <w:rFonts w:cstheme="minorHAnsi"/>
        </w:rPr>
        <w:t xml:space="preserve"> and secondly, that </w:t>
      </w:r>
      <w:r w:rsidR="007925BE" w:rsidRPr="00001F7B">
        <w:rPr>
          <w:rFonts w:cstheme="minorHAnsi"/>
        </w:rPr>
        <w:t>whilst the act creative of a right is subject to such law, the continued existence of the right is subject to the evolution of the law.</w:t>
      </w:r>
      <w:r w:rsidR="007B7387" w:rsidRPr="00001F7B">
        <w:rPr>
          <w:rStyle w:val="FootnoteReference"/>
          <w:rFonts w:cstheme="minorHAnsi"/>
        </w:rPr>
        <w:footnoteReference w:id="151"/>
      </w:r>
      <w:r w:rsidR="0045315C" w:rsidRPr="00001F7B">
        <w:rPr>
          <w:rFonts w:cstheme="minorHAnsi"/>
        </w:rPr>
        <w:t xml:space="preserve"> The outcome of the case itself was understandable in its context but applied as </w:t>
      </w:r>
      <w:r w:rsidR="00C60356" w:rsidRPr="00001F7B">
        <w:rPr>
          <w:rFonts w:cstheme="minorHAnsi"/>
        </w:rPr>
        <w:t xml:space="preserve">a </w:t>
      </w:r>
      <w:r w:rsidR="0045315C" w:rsidRPr="00001F7B">
        <w:rPr>
          <w:rFonts w:cstheme="minorHAnsi"/>
        </w:rPr>
        <w:t xml:space="preserve">general rule the </w:t>
      </w:r>
      <w:r w:rsidR="00D957B4" w:rsidRPr="00001F7B">
        <w:rPr>
          <w:rFonts w:cstheme="minorHAnsi"/>
        </w:rPr>
        <w:t>first limb is said to be too narrow,</w:t>
      </w:r>
      <w:r w:rsidR="00D957B4" w:rsidRPr="00001F7B">
        <w:rPr>
          <w:rStyle w:val="FootnoteReference"/>
          <w:rFonts w:cstheme="minorHAnsi"/>
        </w:rPr>
        <w:footnoteReference w:id="152"/>
      </w:r>
      <w:r w:rsidR="00D957B4" w:rsidRPr="00001F7B">
        <w:rPr>
          <w:rFonts w:cstheme="minorHAnsi"/>
        </w:rPr>
        <w:t xml:space="preserve"> and the second </w:t>
      </w:r>
      <w:r w:rsidR="00053FD3" w:rsidRPr="00001F7B">
        <w:rPr>
          <w:rFonts w:cstheme="minorHAnsi"/>
        </w:rPr>
        <w:t xml:space="preserve">limb, if applied in its broadest sense could undermine rights already validly acquired. </w:t>
      </w:r>
      <w:r w:rsidR="001706E1" w:rsidRPr="00001F7B">
        <w:rPr>
          <w:rFonts w:cstheme="minorHAnsi"/>
        </w:rPr>
        <w:t xml:space="preserve">This ‘law’ has the further difficulty that reference </w:t>
      </w:r>
      <w:r w:rsidR="00C41600" w:rsidRPr="00001F7B">
        <w:rPr>
          <w:rFonts w:cstheme="minorHAnsi"/>
        </w:rPr>
        <w:t xml:space="preserve">made </w:t>
      </w:r>
      <w:r w:rsidR="001706E1" w:rsidRPr="00001F7B">
        <w:rPr>
          <w:rFonts w:cstheme="minorHAnsi"/>
        </w:rPr>
        <w:t>to the ‘law’ is sometimes a reference only to the first limb or the second.</w:t>
      </w:r>
      <w:r w:rsidR="001706E1" w:rsidRPr="00001F7B">
        <w:rPr>
          <w:rStyle w:val="FootnoteReference"/>
          <w:rFonts w:cstheme="minorHAnsi"/>
        </w:rPr>
        <w:footnoteReference w:id="153"/>
      </w:r>
      <w:r w:rsidR="00C41600" w:rsidRPr="00001F7B">
        <w:rPr>
          <w:rFonts w:cstheme="minorHAnsi"/>
        </w:rPr>
        <w:t xml:space="preserve">  </w:t>
      </w:r>
      <w:r w:rsidR="001A32F8" w:rsidRPr="00001F7B">
        <w:rPr>
          <w:rFonts w:cstheme="minorHAnsi"/>
        </w:rPr>
        <w:t xml:space="preserve">Changes in international law was the focus in its origin but time issues can arise in situations involving </w:t>
      </w:r>
      <w:r w:rsidR="00C60356" w:rsidRPr="00001F7B">
        <w:rPr>
          <w:rFonts w:cstheme="minorHAnsi"/>
        </w:rPr>
        <w:t xml:space="preserve">either </w:t>
      </w:r>
      <w:r w:rsidR="001A32F8" w:rsidRPr="00001F7B">
        <w:rPr>
          <w:rFonts w:cstheme="minorHAnsi"/>
        </w:rPr>
        <w:t>changes in law or</w:t>
      </w:r>
      <w:r w:rsidR="00A472FD" w:rsidRPr="00001F7B">
        <w:rPr>
          <w:rFonts w:cstheme="minorHAnsi"/>
        </w:rPr>
        <w:t xml:space="preserve"> the factual context in which a treaty operates. The VCLT provides s</w:t>
      </w:r>
      <w:r w:rsidR="001A32F8" w:rsidRPr="00001F7B">
        <w:rPr>
          <w:rFonts w:cstheme="minorHAnsi"/>
        </w:rPr>
        <w:t>pecific solutions</w:t>
      </w:r>
      <w:r w:rsidR="00A472FD" w:rsidRPr="00001F7B">
        <w:rPr>
          <w:rFonts w:cstheme="minorHAnsi"/>
        </w:rPr>
        <w:t xml:space="preserve"> to s</w:t>
      </w:r>
      <w:r w:rsidR="00766856" w:rsidRPr="00001F7B">
        <w:rPr>
          <w:rFonts w:cstheme="minorHAnsi"/>
        </w:rPr>
        <w:t>ome</w:t>
      </w:r>
      <w:r w:rsidR="00A472FD" w:rsidRPr="00001F7B">
        <w:rPr>
          <w:rFonts w:cstheme="minorHAnsi"/>
        </w:rPr>
        <w:t xml:space="preserve"> of these </w:t>
      </w:r>
      <w:r w:rsidR="00C60356" w:rsidRPr="00001F7B">
        <w:rPr>
          <w:rFonts w:cstheme="minorHAnsi"/>
        </w:rPr>
        <w:t xml:space="preserve">aspects </w:t>
      </w:r>
      <w:r w:rsidR="00A472FD" w:rsidRPr="00001F7B">
        <w:rPr>
          <w:rFonts w:cstheme="minorHAnsi"/>
        </w:rPr>
        <w:t>without the application of any general rule.</w:t>
      </w:r>
      <w:r w:rsidR="006E6E73" w:rsidRPr="00001F7B">
        <w:rPr>
          <w:rStyle w:val="FootnoteReference"/>
          <w:rFonts w:cstheme="minorHAnsi"/>
        </w:rPr>
        <w:footnoteReference w:id="154"/>
      </w:r>
      <w:r w:rsidR="00C41600" w:rsidRPr="00001F7B">
        <w:rPr>
          <w:rFonts w:cstheme="minorHAnsi"/>
        </w:rPr>
        <w:t xml:space="preserve"> </w:t>
      </w:r>
    </w:p>
    <w:p w14:paraId="56F29BEB" w14:textId="672AFEC2" w:rsidR="004C4F91" w:rsidRPr="00001F7B" w:rsidRDefault="00A472FD" w:rsidP="00001F7B">
      <w:pPr>
        <w:rPr>
          <w:rFonts w:cstheme="minorHAnsi"/>
        </w:rPr>
      </w:pPr>
      <w:r w:rsidRPr="00001F7B">
        <w:rPr>
          <w:rFonts w:cstheme="minorHAnsi"/>
        </w:rPr>
        <w:t xml:space="preserve">The context of the </w:t>
      </w:r>
      <w:r w:rsidR="00C60356" w:rsidRPr="00001F7B">
        <w:rPr>
          <w:rFonts w:cstheme="minorHAnsi"/>
        </w:rPr>
        <w:t>sub paragraph</w:t>
      </w:r>
      <w:r w:rsidRPr="00001F7B">
        <w:rPr>
          <w:rFonts w:cstheme="minorHAnsi"/>
        </w:rPr>
        <w:t xml:space="preserve"> is interpretation of a treaty in the context of international law. In the first draft </w:t>
      </w:r>
      <w:r w:rsidR="00766856" w:rsidRPr="00001F7B">
        <w:rPr>
          <w:rFonts w:cstheme="minorHAnsi"/>
        </w:rPr>
        <w:t>provision d</w:t>
      </w:r>
      <w:r w:rsidRPr="00001F7B">
        <w:rPr>
          <w:rFonts w:cstheme="minorHAnsi"/>
        </w:rPr>
        <w:t>ealing with this aspect Special Rapporteur Waldock brought the first limb in</w:t>
      </w:r>
      <w:r w:rsidR="00766856" w:rsidRPr="00001F7B">
        <w:rPr>
          <w:rFonts w:cstheme="minorHAnsi"/>
        </w:rPr>
        <w:t>to</w:t>
      </w:r>
      <w:r w:rsidRPr="00001F7B">
        <w:rPr>
          <w:rFonts w:cstheme="minorHAnsi"/>
        </w:rPr>
        <w:t xml:space="preserve"> a </w:t>
      </w:r>
      <w:r w:rsidR="00DB03D5" w:rsidRPr="00001F7B">
        <w:rPr>
          <w:rFonts w:cstheme="minorHAnsi"/>
        </w:rPr>
        <w:t>provision</w:t>
      </w:r>
      <w:r w:rsidR="00766856" w:rsidRPr="00001F7B">
        <w:rPr>
          <w:rFonts w:cstheme="minorHAnsi"/>
        </w:rPr>
        <w:t xml:space="preserve"> which required interpretation of a treaty in the light of the international law in force at its creation.</w:t>
      </w:r>
      <w:r w:rsidR="004A2281" w:rsidRPr="00001F7B">
        <w:rPr>
          <w:rStyle w:val="FootnoteReference"/>
          <w:rFonts w:cstheme="minorHAnsi"/>
        </w:rPr>
        <w:footnoteReference w:id="155"/>
      </w:r>
      <w:r w:rsidR="00F75E53" w:rsidRPr="00001F7B">
        <w:rPr>
          <w:rFonts w:cstheme="minorHAnsi"/>
        </w:rPr>
        <w:t xml:space="preserve"> </w:t>
      </w:r>
      <w:r w:rsidR="00766856" w:rsidRPr="00001F7B">
        <w:rPr>
          <w:rFonts w:cstheme="minorHAnsi"/>
        </w:rPr>
        <w:t>The second limb was tran</w:t>
      </w:r>
      <w:r w:rsidR="001B6F78" w:rsidRPr="00001F7B">
        <w:rPr>
          <w:rFonts w:cstheme="minorHAnsi"/>
        </w:rPr>
        <w:t>sformed</w:t>
      </w:r>
      <w:r w:rsidR="00766856" w:rsidRPr="00001F7B">
        <w:rPr>
          <w:rFonts w:cstheme="minorHAnsi"/>
        </w:rPr>
        <w:t xml:space="preserve"> </w:t>
      </w:r>
      <w:r w:rsidR="00DB03D5" w:rsidRPr="00001F7B">
        <w:rPr>
          <w:rFonts w:cstheme="minorHAnsi"/>
        </w:rPr>
        <w:t>within the same provision into</w:t>
      </w:r>
      <w:r w:rsidR="00766856" w:rsidRPr="00001F7B">
        <w:rPr>
          <w:rFonts w:cstheme="minorHAnsi"/>
        </w:rPr>
        <w:t xml:space="preserve"> a rule about the application of the treaty which was to be governed by the applicable international law at the time the treaty is applied</w:t>
      </w:r>
      <w:r w:rsidR="00ED420C" w:rsidRPr="00001F7B">
        <w:rPr>
          <w:rFonts w:cstheme="minorHAnsi"/>
        </w:rPr>
        <w:t>.</w:t>
      </w:r>
      <w:r w:rsidR="00ED420C" w:rsidRPr="00001F7B">
        <w:rPr>
          <w:rStyle w:val="FootnoteReference"/>
          <w:rFonts w:cstheme="minorHAnsi"/>
        </w:rPr>
        <w:footnoteReference w:id="156"/>
      </w:r>
      <w:r w:rsidR="00766856" w:rsidRPr="00001F7B">
        <w:rPr>
          <w:rFonts w:cstheme="minorHAnsi"/>
        </w:rPr>
        <w:t xml:space="preserve"> </w:t>
      </w:r>
      <w:r w:rsidR="005E34B3" w:rsidRPr="00001F7B">
        <w:rPr>
          <w:rFonts w:cstheme="minorHAnsi"/>
        </w:rPr>
        <w:t xml:space="preserve">The result of the discussion at that point </w:t>
      </w:r>
      <w:r w:rsidR="00DB03D5" w:rsidRPr="00001F7B">
        <w:rPr>
          <w:rFonts w:cstheme="minorHAnsi"/>
        </w:rPr>
        <w:t xml:space="preserve">was that </w:t>
      </w:r>
      <w:r w:rsidR="005E34B3" w:rsidRPr="00001F7B">
        <w:rPr>
          <w:rFonts w:cstheme="minorHAnsi"/>
        </w:rPr>
        <w:t>the first part of the provision was saved as a general rule of interpretation whi</w:t>
      </w:r>
      <w:r w:rsidR="00DB03D5" w:rsidRPr="00001F7B">
        <w:rPr>
          <w:rFonts w:cstheme="minorHAnsi"/>
        </w:rPr>
        <w:t>lst the second part became a rule requiring interpretation to take account of the emergence of any later rule of CIL.</w:t>
      </w:r>
      <w:r w:rsidR="001A3083" w:rsidRPr="00001F7B">
        <w:rPr>
          <w:rFonts w:cstheme="minorHAnsi"/>
        </w:rPr>
        <w:t xml:space="preserve"> </w:t>
      </w:r>
      <w:r w:rsidR="00DB03D5" w:rsidRPr="00001F7B">
        <w:rPr>
          <w:rFonts w:cstheme="minorHAnsi"/>
        </w:rPr>
        <w:t>This ru</w:t>
      </w:r>
      <w:r w:rsidR="004A2281" w:rsidRPr="00001F7B">
        <w:rPr>
          <w:rFonts w:cstheme="minorHAnsi"/>
        </w:rPr>
        <w:t>le eventually disappeared from the emergent convention whilst the first rule eventually lost its reference to international law in force at the time of a treaty’s creation.</w:t>
      </w:r>
      <w:r w:rsidR="00F75E53" w:rsidRPr="00001F7B">
        <w:rPr>
          <w:rFonts w:cstheme="minorHAnsi"/>
        </w:rPr>
        <w:t xml:space="preserve"> </w:t>
      </w:r>
      <w:r w:rsidR="006D1B81" w:rsidRPr="00001F7B">
        <w:rPr>
          <w:rFonts w:cstheme="minorHAnsi"/>
        </w:rPr>
        <w:t xml:space="preserve">This leaves a rather general rule </w:t>
      </w:r>
      <w:r w:rsidRPr="00001F7B">
        <w:rPr>
          <w:rFonts w:cstheme="minorHAnsi"/>
        </w:rPr>
        <w:t xml:space="preserve">which </w:t>
      </w:r>
      <w:r w:rsidR="009357E2" w:rsidRPr="00001F7B">
        <w:rPr>
          <w:rFonts w:cstheme="minorHAnsi"/>
        </w:rPr>
        <w:t xml:space="preserve">leaves the question of the time element implicit but without resolution. Both the retroactive concept and possible evolutionary change are contained within it </w:t>
      </w:r>
      <w:r w:rsidR="004C4F91" w:rsidRPr="00001F7B">
        <w:rPr>
          <w:rFonts w:cstheme="minorHAnsi"/>
        </w:rPr>
        <w:t>dependent on criteria which will</w:t>
      </w:r>
      <w:r w:rsidR="009357E2" w:rsidRPr="00001F7B">
        <w:rPr>
          <w:rFonts w:cstheme="minorHAnsi"/>
        </w:rPr>
        <w:t xml:space="preserve"> be returned to shortly</w:t>
      </w:r>
      <w:r w:rsidR="004C4F91" w:rsidRPr="00001F7B">
        <w:rPr>
          <w:rFonts w:cstheme="minorHAnsi"/>
        </w:rPr>
        <w:t>. Apart from this the operational context of the rule in its present form can be considered through the questions which arise from its wording as it stands which are</w:t>
      </w:r>
      <w:r w:rsidR="00E30726" w:rsidRPr="00001F7B">
        <w:rPr>
          <w:rFonts w:cstheme="minorHAnsi"/>
        </w:rPr>
        <w:t>:</w:t>
      </w:r>
      <w:r w:rsidR="004D506B" w:rsidRPr="00001F7B">
        <w:rPr>
          <w:rFonts w:cstheme="minorHAnsi"/>
        </w:rPr>
        <w:t xml:space="preserve"> </w:t>
      </w:r>
      <w:r w:rsidR="00EB0B4F" w:rsidRPr="00001F7B">
        <w:rPr>
          <w:rFonts w:cstheme="minorHAnsi"/>
        </w:rPr>
        <w:t xml:space="preserve">what </w:t>
      </w:r>
      <w:r w:rsidR="009D47FE" w:rsidRPr="00001F7B">
        <w:rPr>
          <w:rFonts w:cstheme="minorHAnsi"/>
        </w:rPr>
        <w:t xml:space="preserve">are the relevant </w:t>
      </w:r>
      <w:r w:rsidR="00EB0B4F" w:rsidRPr="00001F7B">
        <w:rPr>
          <w:rFonts w:cstheme="minorHAnsi"/>
        </w:rPr>
        <w:t>rule</w:t>
      </w:r>
      <w:r w:rsidR="009D47FE" w:rsidRPr="00001F7B">
        <w:rPr>
          <w:rFonts w:cstheme="minorHAnsi"/>
        </w:rPr>
        <w:t xml:space="preserve">s of </w:t>
      </w:r>
      <w:r w:rsidR="00C0309F" w:rsidRPr="00001F7B">
        <w:rPr>
          <w:rFonts w:cstheme="minorHAnsi"/>
        </w:rPr>
        <w:t xml:space="preserve">international law and which parties </w:t>
      </w:r>
      <w:r w:rsidR="004C4F91" w:rsidRPr="00001F7B">
        <w:rPr>
          <w:rFonts w:cstheme="minorHAnsi"/>
        </w:rPr>
        <w:t>are to be identified as having relations to which they are applicable to?</w:t>
      </w:r>
    </w:p>
    <w:p w14:paraId="6099E55E" w14:textId="4E81DBAE" w:rsidR="00DF2DFA" w:rsidRPr="00001F7B" w:rsidRDefault="002A5396" w:rsidP="00001F7B">
      <w:pPr>
        <w:rPr>
          <w:rFonts w:cstheme="minorHAnsi"/>
        </w:rPr>
      </w:pPr>
      <w:r w:rsidRPr="00001F7B">
        <w:rPr>
          <w:rFonts w:cstheme="minorHAnsi"/>
        </w:rPr>
        <w:t xml:space="preserve">In </w:t>
      </w:r>
      <w:r w:rsidR="004C4F91" w:rsidRPr="00001F7B">
        <w:rPr>
          <w:rFonts w:cstheme="minorHAnsi"/>
        </w:rPr>
        <w:t xml:space="preserve">respect of the first question it can be said that in </w:t>
      </w:r>
      <w:r w:rsidRPr="00001F7B">
        <w:rPr>
          <w:rFonts w:cstheme="minorHAnsi"/>
        </w:rPr>
        <w:t>general, the</w:t>
      </w:r>
      <w:r w:rsidR="004C4F91" w:rsidRPr="00001F7B">
        <w:rPr>
          <w:rFonts w:cstheme="minorHAnsi"/>
        </w:rPr>
        <w:t>se are the</w:t>
      </w:r>
      <w:r w:rsidRPr="00001F7B">
        <w:rPr>
          <w:rFonts w:cstheme="minorHAnsi"/>
        </w:rPr>
        <w:t xml:space="preserve"> rules of public international </w:t>
      </w:r>
      <w:r w:rsidR="001A3083" w:rsidRPr="00001F7B">
        <w:rPr>
          <w:rFonts w:cstheme="minorHAnsi"/>
        </w:rPr>
        <w:t xml:space="preserve">law </w:t>
      </w:r>
      <w:r w:rsidRPr="00001F7B">
        <w:rPr>
          <w:rFonts w:cstheme="minorHAnsi"/>
        </w:rPr>
        <w:t>as indicated in art 38 of the ICJ statutes (i.e. treaties, customary law, general principles, and as subsidiary sources, judicial decisions and academic writing).</w:t>
      </w:r>
      <w:r w:rsidRPr="00001F7B">
        <w:rPr>
          <w:rStyle w:val="FootnoteReference"/>
          <w:rFonts w:cstheme="minorHAnsi"/>
        </w:rPr>
        <w:footnoteReference w:id="157"/>
      </w:r>
      <w:r w:rsidRPr="00001F7B">
        <w:rPr>
          <w:rFonts w:cstheme="minorHAnsi"/>
        </w:rPr>
        <w:t xml:space="preserve"> </w:t>
      </w:r>
      <w:r w:rsidR="008E6769" w:rsidRPr="00001F7B">
        <w:rPr>
          <w:rFonts w:cstheme="minorHAnsi"/>
        </w:rPr>
        <w:t>The issue of relevance may well be sati</w:t>
      </w:r>
      <w:r w:rsidR="00771CC7" w:rsidRPr="00001F7B">
        <w:rPr>
          <w:rFonts w:cstheme="minorHAnsi"/>
        </w:rPr>
        <w:t xml:space="preserve">sfied by </w:t>
      </w:r>
      <w:r w:rsidR="00406CDA" w:rsidRPr="00001F7B">
        <w:rPr>
          <w:rFonts w:cstheme="minorHAnsi"/>
        </w:rPr>
        <w:t>rules of international law which touch on the same subject matter,</w:t>
      </w:r>
      <w:r w:rsidR="00406CDA" w:rsidRPr="00001F7B">
        <w:rPr>
          <w:rStyle w:val="FootnoteReference"/>
          <w:rFonts w:cstheme="minorHAnsi"/>
        </w:rPr>
        <w:footnoteReference w:id="158"/>
      </w:r>
      <w:r w:rsidR="006D1B81" w:rsidRPr="00001F7B">
        <w:rPr>
          <w:rFonts w:cstheme="minorHAnsi"/>
        </w:rPr>
        <w:t xml:space="preserve"> </w:t>
      </w:r>
      <w:r w:rsidR="00D95CBB" w:rsidRPr="00001F7B">
        <w:rPr>
          <w:rFonts w:cstheme="minorHAnsi"/>
        </w:rPr>
        <w:t xml:space="preserve">but the scope </w:t>
      </w:r>
      <w:r w:rsidR="008A3CD0" w:rsidRPr="00001F7B">
        <w:rPr>
          <w:rFonts w:cstheme="minorHAnsi"/>
        </w:rPr>
        <w:t xml:space="preserve">seems to </w:t>
      </w:r>
      <w:r w:rsidR="00D95CBB" w:rsidRPr="00001F7B">
        <w:rPr>
          <w:rFonts w:cstheme="minorHAnsi"/>
        </w:rPr>
        <w:t>be wider than this. Treaties operate within the system of international law (systemic integration)</w:t>
      </w:r>
      <w:r w:rsidR="00365EBC" w:rsidRPr="00001F7B">
        <w:rPr>
          <w:rFonts w:cstheme="minorHAnsi"/>
        </w:rPr>
        <w:t>.</w:t>
      </w:r>
      <w:r w:rsidR="00D95CBB" w:rsidRPr="00001F7B">
        <w:rPr>
          <w:rStyle w:val="FootnoteReference"/>
          <w:rFonts w:cstheme="minorHAnsi"/>
        </w:rPr>
        <w:footnoteReference w:id="159"/>
      </w:r>
      <w:r w:rsidR="00365EBC" w:rsidRPr="00001F7B">
        <w:rPr>
          <w:rFonts w:cstheme="minorHAnsi"/>
        </w:rPr>
        <w:t xml:space="preserve"> Thus general principles and CIL</w:t>
      </w:r>
      <w:r w:rsidR="00A31E40" w:rsidRPr="00001F7B">
        <w:rPr>
          <w:rStyle w:val="FootnoteReference"/>
          <w:rFonts w:cstheme="minorHAnsi"/>
        </w:rPr>
        <w:footnoteReference w:id="160"/>
      </w:r>
      <w:r w:rsidR="00365EBC" w:rsidRPr="00001F7B">
        <w:rPr>
          <w:rFonts w:cstheme="minorHAnsi"/>
        </w:rPr>
        <w:t xml:space="preserve"> can apply whenever they are relevant to the terms of the treaty being interpreted. </w:t>
      </w:r>
      <w:r w:rsidR="00C80120" w:rsidRPr="00001F7B">
        <w:rPr>
          <w:rFonts w:cstheme="minorHAnsi"/>
        </w:rPr>
        <w:t xml:space="preserve">These may be particularly relevant in </w:t>
      </w:r>
      <w:r w:rsidR="003D167F" w:rsidRPr="00001F7B">
        <w:rPr>
          <w:rFonts w:cstheme="minorHAnsi"/>
        </w:rPr>
        <w:t xml:space="preserve">respect of a presumption </w:t>
      </w:r>
      <w:r w:rsidR="00C80120" w:rsidRPr="00001F7B">
        <w:rPr>
          <w:rFonts w:cstheme="minorHAnsi"/>
        </w:rPr>
        <w:t xml:space="preserve">that a treaty is interpreted consistently with international law </w:t>
      </w:r>
      <w:r w:rsidR="003D167F" w:rsidRPr="00001F7B">
        <w:rPr>
          <w:rFonts w:cstheme="minorHAnsi"/>
        </w:rPr>
        <w:t>(as a principle of systemic integration)</w:t>
      </w:r>
      <w:r w:rsidR="003D167F" w:rsidRPr="00001F7B">
        <w:rPr>
          <w:rStyle w:val="FootnoteReference"/>
          <w:rFonts w:cstheme="minorHAnsi"/>
        </w:rPr>
        <w:footnoteReference w:id="161"/>
      </w:r>
      <w:r w:rsidR="003D167F" w:rsidRPr="00001F7B">
        <w:rPr>
          <w:rFonts w:cstheme="minorHAnsi"/>
        </w:rPr>
        <w:t xml:space="preserve"> </w:t>
      </w:r>
      <w:r w:rsidR="00C80120" w:rsidRPr="00001F7B">
        <w:rPr>
          <w:rFonts w:cstheme="minorHAnsi"/>
        </w:rPr>
        <w:t xml:space="preserve">and for answering questions for which the treaty does not provide an answer. </w:t>
      </w:r>
      <w:r w:rsidR="00365EBC" w:rsidRPr="00001F7B">
        <w:rPr>
          <w:rFonts w:cstheme="minorHAnsi"/>
        </w:rPr>
        <w:t xml:space="preserve">In respect of </w:t>
      </w:r>
      <w:r w:rsidR="00912562" w:rsidRPr="00001F7B">
        <w:rPr>
          <w:rFonts w:cstheme="minorHAnsi"/>
        </w:rPr>
        <w:t xml:space="preserve">the </w:t>
      </w:r>
      <w:r w:rsidR="00C80120" w:rsidRPr="00001F7B">
        <w:rPr>
          <w:rFonts w:cstheme="minorHAnsi"/>
        </w:rPr>
        <w:t xml:space="preserve">consideration of </w:t>
      </w:r>
      <w:r w:rsidR="008A3CD0" w:rsidRPr="00001F7B">
        <w:rPr>
          <w:rFonts w:cstheme="minorHAnsi"/>
        </w:rPr>
        <w:t xml:space="preserve">other </w:t>
      </w:r>
      <w:r w:rsidR="00C80120" w:rsidRPr="00001F7B">
        <w:rPr>
          <w:rFonts w:cstheme="minorHAnsi"/>
        </w:rPr>
        <w:t>treaties</w:t>
      </w:r>
      <w:r w:rsidR="008A3CD0" w:rsidRPr="00001F7B">
        <w:rPr>
          <w:rFonts w:cstheme="minorHAnsi"/>
        </w:rPr>
        <w:t xml:space="preserve">, subject matter may have more of a role. How the subject matter is identified seems pertinent – </w:t>
      </w:r>
      <w:r w:rsidR="001A3083" w:rsidRPr="00001F7B">
        <w:rPr>
          <w:rFonts w:cstheme="minorHAnsi"/>
        </w:rPr>
        <w:t xml:space="preserve">e.g.: </w:t>
      </w:r>
      <w:r w:rsidR="008A3CD0" w:rsidRPr="00001F7B">
        <w:rPr>
          <w:rFonts w:cstheme="minorHAnsi"/>
        </w:rPr>
        <w:t xml:space="preserve">international carriage of goods by road, international carriage of goods, international carriage, carriage, uniform private law?  Ultimately relevance is a matter of both judgement and justification by the interpreter.  </w:t>
      </w:r>
    </w:p>
    <w:p w14:paraId="7BBE8E96" w14:textId="29C878B2" w:rsidR="008A3CD0" w:rsidRPr="00001F7B" w:rsidRDefault="002B7A28" w:rsidP="00001F7B">
      <w:pPr>
        <w:rPr>
          <w:rFonts w:cstheme="minorHAnsi"/>
        </w:rPr>
      </w:pPr>
      <w:r w:rsidRPr="00001F7B">
        <w:rPr>
          <w:rFonts w:cstheme="minorHAnsi"/>
        </w:rPr>
        <w:t>Also,</w:t>
      </w:r>
      <w:r w:rsidR="008A3CD0" w:rsidRPr="00001F7B">
        <w:rPr>
          <w:rFonts w:cstheme="minorHAnsi"/>
        </w:rPr>
        <w:t xml:space="preserve"> in respect of the use of other treaties </w:t>
      </w:r>
      <w:r w:rsidRPr="00001F7B">
        <w:rPr>
          <w:rFonts w:cstheme="minorHAnsi"/>
        </w:rPr>
        <w:t xml:space="preserve">the issue of what is meant by the parties is especially pertinent in a CMR context. The reference to parties is a reference to states. If this means </w:t>
      </w:r>
      <w:r w:rsidR="001A3083" w:rsidRPr="00001F7B">
        <w:rPr>
          <w:rFonts w:cstheme="minorHAnsi"/>
        </w:rPr>
        <w:t xml:space="preserve">that </w:t>
      </w:r>
      <w:r w:rsidRPr="00001F7B">
        <w:rPr>
          <w:rFonts w:cstheme="minorHAnsi"/>
        </w:rPr>
        <w:t>states alone must be parties to the dispute then the provision has no relevance to CMR</w:t>
      </w:r>
      <w:r w:rsidR="00401C64" w:rsidRPr="00001F7B">
        <w:rPr>
          <w:rFonts w:cstheme="minorHAnsi"/>
        </w:rPr>
        <w:t>. Whilst the cases where the provision has been considered have involved international tribunals,</w:t>
      </w:r>
      <w:r w:rsidR="00A86487" w:rsidRPr="00001F7B">
        <w:rPr>
          <w:rFonts w:cstheme="minorHAnsi"/>
        </w:rPr>
        <w:t xml:space="preserve"> they have involved both cases as between states and as between individuals and states. This suggests that the reference to parties means parties to treaties.  McLachlan takes the view that the provision applies in two situations 1</w:t>
      </w:r>
      <w:r w:rsidR="00163E60" w:rsidRPr="00001F7B">
        <w:rPr>
          <w:rFonts w:cstheme="minorHAnsi"/>
        </w:rPr>
        <w:t>)</w:t>
      </w:r>
      <w:r w:rsidR="00A86487" w:rsidRPr="00001F7B">
        <w:rPr>
          <w:rFonts w:cstheme="minorHAnsi"/>
        </w:rPr>
        <w:t xml:space="preserve"> Where the parties to the interpretation treaty are also parties </w:t>
      </w:r>
      <w:r w:rsidR="00E86DA0" w:rsidRPr="00001F7B">
        <w:rPr>
          <w:rFonts w:cstheme="minorHAnsi"/>
        </w:rPr>
        <w:t>to the treaty being relied upon and 2</w:t>
      </w:r>
      <w:r w:rsidR="00163E60" w:rsidRPr="00001F7B">
        <w:rPr>
          <w:rFonts w:cstheme="minorHAnsi"/>
        </w:rPr>
        <w:t>)</w:t>
      </w:r>
      <w:r w:rsidR="00E86DA0" w:rsidRPr="00001F7B">
        <w:rPr>
          <w:rFonts w:cstheme="minorHAnsi"/>
        </w:rPr>
        <w:t xml:space="preserve"> Where the rule in the treaty relied on was treated as being a rule of CIL.</w:t>
      </w:r>
      <w:r w:rsidR="00E86DA0" w:rsidRPr="00001F7B">
        <w:rPr>
          <w:rStyle w:val="FootnoteReference"/>
          <w:rFonts w:cstheme="minorHAnsi"/>
        </w:rPr>
        <w:footnoteReference w:id="162"/>
      </w:r>
      <w:r w:rsidR="00E86DA0" w:rsidRPr="00001F7B">
        <w:rPr>
          <w:rFonts w:cstheme="minorHAnsi"/>
        </w:rPr>
        <w:t xml:space="preserve"> Gardiner is more guarded but considers</w:t>
      </w:r>
      <w:r w:rsidR="00836494" w:rsidRPr="00001F7B">
        <w:rPr>
          <w:rStyle w:val="FootnoteReference"/>
          <w:rFonts w:cstheme="minorHAnsi"/>
        </w:rPr>
        <w:footnoteReference w:id="163"/>
      </w:r>
      <w:r w:rsidR="00E86DA0" w:rsidRPr="00001F7B">
        <w:rPr>
          <w:rFonts w:cstheme="minorHAnsi"/>
        </w:rPr>
        <w:t xml:space="preserve"> </w:t>
      </w:r>
      <w:r w:rsidR="00163E60" w:rsidRPr="00001F7B">
        <w:rPr>
          <w:rFonts w:cstheme="minorHAnsi"/>
        </w:rPr>
        <w:t xml:space="preserve">that </w:t>
      </w:r>
      <w:r w:rsidR="00E86DA0" w:rsidRPr="00001F7B">
        <w:rPr>
          <w:rFonts w:cstheme="minorHAnsi"/>
        </w:rPr>
        <w:t xml:space="preserve">the ILC offered guidance in its 2006 report </w:t>
      </w:r>
      <w:r w:rsidR="00836494" w:rsidRPr="00001F7B">
        <w:rPr>
          <w:rFonts w:cstheme="minorHAnsi"/>
        </w:rPr>
        <w:t>which he quotes.</w:t>
      </w:r>
      <w:r w:rsidR="00836494" w:rsidRPr="00001F7B">
        <w:rPr>
          <w:rStyle w:val="FootnoteReference"/>
          <w:rFonts w:cstheme="minorHAnsi"/>
        </w:rPr>
        <w:footnoteReference w:id="164"/>
      </w:r>
      <w:r w:rsidR="00F73F3D" w:rsidRPr="00001F7B">
        <w:rPr>
          <w:rFonts w:cstheme="minorHAnsi"/>
        </w:rPr>
        <w:t xml:space="preserve"> It is possible that a requirement may be imposed on courts in respect of the interpretation of CMR to consider treaties such as carriage by rail and air conventions etc where there is either correspondence in respect of parties to such treaties or where they demonstrate a common understanding.</w:t>
      </w:r>
      <w:r w:rsidR="00F73F3D" w:rsidRPr="00001F7B">
        <w:rPr>
          <w:rStyle w:val="FootnoteReference"/>
          <w:rFonts w:cstheme="minorHAnsi"/>
        </w:rPr>
        <w:footnoteReference w:id="165"/>
      </w:r>
      <w:r w:rsidR="00F73F3D" w:rsidRPr="00001F7B">
        <w:rPr>
          <w:rFonts w:cstheme="minorHAnsi"/>
        </w:rPr>
        <w:t xml:space="preserve"> </w:t>
      </w:r>
      <w:r w:rsidR="00960697" w:rsidRPr="00001F7B">
        <w:rPr>
          <w:rFonts w:cstheme="minorHAnsi"/>
        </w:rPr>
        <w:t>Apart from that, it seems likely that consideration of cognate treaties can be regarded as permitted under the Rules anyhow. As Gardiner says:</w:t>
      </w:r>
      <w:r w:rsidR="00960697" w:rsidRPr="00001F7B">
        <w:rPr>
          <w:rStyle w:val="FootnoteReference"/>
          <w:rFonts w:cstheme="minorHAnsi"/>
        </w:rPr>
        <w:footnoteReference w:id="166"/>
      </w:r>
      <w:r w:rsidR="00960697" w:rsidRPr="00001F7B">
        <w:rPr>
          <w:rFonts w:cstheme="minorHAnsi"/>
        </w:rPr>
        <w:t xml:space="preserve"> “</w:t>
      </w:r>
      <w:r w:rsidR="00CE6A1F" w:rsidRPr="00001F7B">
        <w:rPr>
          <w:rFonts w:cstheme="minorHAnsi"/>
        </w:rPr>
        <w:t>Courts and tribunals, nationa</w:t>
      </w:r>
      <w:r w:rsidR="001A3083" w:rsidRPr="00001F7B">
        <w:rPr>
          <w:rFonts w:cstheme="minorHAnsi"/>
        </w:rPr>
        <w:t>l</w:t>
      </w:r>
      <w:r w:rsidR="00CE6A1F" w:rsidRPr="00001F7B">
        <w:rPr>
          <w:rFonts w:cstheme="minorHAnsi"/>
        </w:rPr>
        <w:t xml:space="preserve"> and international, appear to have no hesitation over using provisions in treaties other than the one being applied as aids to interpretation</w:t>
      </w:r>
      <w:r w:rsidR="00CE6A1F" w:rsidRPr="00001F7B">
        <w:rPr>
          <w:rStyle w:val="FootnoteReference"/>
          <w:rFonts w:cstheme="minorHAnsi"/>
        </w:rPr>
        <w:footnoteReference w:id="167"/>
      </w:r>
      <w:r w:rsidR="00CE6A1F" w:rsidRPr="00001F7B">
        <w:rPr>
          <w:rFonts w:cstheme="minorHAnsi"/>
        </w:rPr>
        <w:t xml:space="preserve"> where the same, similar, or different term sheds light on the meaning under consideration. This is such an accepted and established practice that it is hard to find any situation in which justification in terms of the Vienna Rules has been presented.”</w:t>
      </w:r>
    </w:p>
    <w:p w14:paraId="4B7BD09B" w14:textId="6CC24823" w:rsidR="00BC5DA6" w:rsidRPr="00001F7B" w:rsidRDefault="00AE74D0" w:rsidP="00001F7B">
      <w:pPr>
        <w:rPr>
          <w:rFonts w:cstheme="minorHAnsi"/>
        </w:rPr>
      </w:pPr>
      <w:r w:rsidRPr="00001F7B">
        <w:rPr>
          <w:rFonts w:cstheme="minorHAnsi"/>
        </w:rPr>
        <w:t xml:space="preserve">Turning back to the time issues introduced by consideration of art 31.3(c) the opportunity can be taken to consider these issues of interpretation both </w:t>
      </w:r>
      <w:r w:rsidR="007A6F32" w:rsidRPr="00001F7B">
        <w:rPr>
          <w:rFonts w:cstheme="minorHAnsi"/>
        </w:rPr>
        <w:t>in respect of international law as governed by this provision and more generally in respect of other changes such as in linguistic practice, science, technology and other areas of life that could potentially be relevant</w:t>
      </w:r>
      <w:r w:rsidR="00A41D8C" w:rsidRPr="00001F7B">
        <w:rPr>
          <w:rFonts w:cstheme="minorHAnsi"/>
        </w:rPr>
        <w:t>.</w:t>
      </w:r>
      <w:r w:rsidR="00A41D8C" w:rsidRPr="00001F7B">
        <w:rPr>
          <w:rStyle w:val="FootnoteReference"/>
          <w:rFonts w:cstheme="minorHAnsi"/>
        </w:rPr>
        <w:footnoteReference w:id="168"/>
      </w:r>
      <w:r w:rsidR="008878E0" w:rsidRPr="00001F7B">
        <w:rPr>
          <w:rFonts w:cstheme="minorHAnsi"/>
        </w:rPr>
        <w:t xml:space="preserve"> </w:t>
      </w:r>
      <w:r w:rsidR="00BC5DA6" w:rsidRPr="00001F7B">
        <w:rPr>
          <w:rFonts w:cstheme="minorHAnsi"/>
        </w:rPr>
        <w:t>A</w:t>
      </w:r>
      <w:r w:rsidR="008878E0" w:rsidRPr="00001F7B">
        <w:rPr>
          <w:rFonts w:cstheme="minorHAnsi"/>
        </w:rPr>
        <w:t>rguably all kinds of changes</w:t>
      </w:r>
      <w:r w:rsidR="009B4387" w:rsidRPr="00001F7B">
        <w:rPr>
          <w:rFonts w:cstheme="minorHAnsi"/>
        </w:rPr>
        <w:t xml:space="preserve"> raise the same issue and the connecting point to art 31.3(c) may come through the intertemporal law.</w:t>
      </w:r>
    </w:p>
    <w:p w14:paraId="751F3800" w14:textId="770F55D2" w:rsidR="00016756" w:rsidRPr="00001F7B" w:rsidRDefault="00BC5DA6" w:rsidP="00001F7B">
      <w:pPr>
        <w:rPr>
          <w:rFonts w:cstheme="minorHAnsi"/>
        </w:rPr>
      </w:pPr>
      <w:r w:rsidRPr="00001F7B">
        <w:rPr>
          <w:rFonts w:cstheme="minorHAnsi"/>
        </w:rPr>
        <w:t>Gardiner</w:t>
      </w:r>
      <w:r w:rsidR="00D37C97" w:rsidRPr="00001F7B">
        <w:rPr>
          <w:rFonts w:cstheme="minorHAnsi"/>
        </w:rPr>
        <w:t xml:space="preserve"> starts with time factors in treaty interpretation generally</w:t>
      </w:r>
      <w:r w:rsidR="002058C3" w:rsidRPr="00001F7B">
        <w:rPr>
          <w:rFonts w:cstheme="minorHAnsi"/>
        </w:rPr>
        <w:t xml:space="preserve">. At </w:t>
      </w:r>
      <w:r w:rsidR="00B61304" w:rsidRPr="00001F7B">
        <w:rPr>
          <w:rFonts w:cstheme="minorHAnsi"/>
        </w:rPr>
        <w:t xml:space="preserve">p </w:t>
      </w:r>
      <w:r w:rsidR="00D37C97" w:rsidRPr="00001F7B">
        <w:rPr>
          <w:rFonts w:cstheme="minorHAnsi"/>
        </w:rPr>
        <w:t xml:space="preserve">293 </w:t>
      </w:r>
      <w:r w:rsidR="002058C3" w:rsidRPr="00001F7B">
        <w:rPr>
          <w:rFonts w:cstheme="minorHAnsi"/>
        </w:rPr>
        <w:t>he notes that 1) a</w:t>
      </w:r>
      <w:r w:rsidR="00D37C97" w:rsidRPr="00001F7B">
        <w:rPr>
          <w:rFonts w:cstheme="minorHAnsi"/>
        </w:rPr>
        <w:t xml:space="preserve"> treaty may speak to a different time from its conclusions</w:t>
      </w:r>
      <w:r w:rsidR="002058C3" w:rsidRPr="00001F7B">
        <w:rPr>
          <w:rFonts w:cstheme="minorHAnsi"/>
        </w:rPr>
        <w:t xml:space="preserve"> (i.e., an obligation or a right might be predicated on a lapse of time or a specific occurrence</w:t>
      </w:r>
      <w:r w:rsidR="00B61304" w:rsidRPr="00001F7B">
        <w:rPr>
          <w:rFonts w:cstheme="minorHAnsi"/>
        </w:rPr>
        <w:t>)</w:t>
      </w:r>
      <w:r w:rsidR="002058C3" w:rsidRPr="00001F7B">
        <w:rPr>
          <w:rFonts w:cstheme="minorHAnsi"/>
        </w:rPr>
        <w:t xml:space="preserve">; 2) there may be time factors relevant to objections and reservations; </w:t>
      </w:r>
      <w:r w:rsidR="00F752A4" w:rsidRPr="00001F7B">
        <w:rPr>
          <w:rFonts w:cstheme="minorHAnsi"/>
        </w:rPr>
        <w:t xml:space="preserve">3) </w:t>
      </w:r>
      <w:r w:rsidR="002058C3" w:rsidRPr="00001F7B">
        <w:rPr>
          <w:rFonts w:cstheme="minorHAnsi"/>
        </w:rPr>
        <w:t>the terms of a treaty may be open to evolutionary interpretation and 4) international law may have moved on</w:t>
      </w:r>
      <w:r w:rsidR="00B61304" w:rsidRPr="00001F7B">
        <w:rPr>
          <w:rFonts w:cstheme="minorHAnsi"/>
        </w:rPr>
        <w:t xml:space="preserve"> in a way that relates to the task of interpretation.</w:t>
      </w:r>
      <w:r w:rsidR="00D37C97" w:rsidRPr="00001F7B">
        <w:rPr>
          <w:rFonts w:cstheme="minorHAnsi"/>
        </w:rPr>
        <w:t xml:space="preserve"> </w:t>
      </w:r>
      <w:r w:rsidR="009B4387" w:rsidRPr="00001F7B">
        <w:rPr>
          <w:rFonts w:cstheme="minorHAnsi"/>
        </w:rPr>
        <w:t>G</w:t>
      </w:r>
      <w:r w:rsidR="00B61304" w:rsidRPr="00001F7B">
        <w:rPr>
          <w:rFonts w:cstheme="minorHAnsi"/>
        </w:rPr>
        <w:t>ardiner</w:t>
      </w:r>
      <w:r w:rsidR="009B4387" w:rsidRPr="00001F7B">
        <w:rPr>
          <w:rFonts w:cstheme="minorHAnsi"/>
        </w:rPr>
        <w:t xml:space="preserve"> argues that n</w:t>
      </w:r>
      <w:r w:rsidR="00D37C97" w:rsidRPr="00001F7B">
        <w:rPr>
          <w:rFonts w:cstheme="minorHAnsi"/>
        </w:rPr>
        <w:t>o universal answer is to be found in a general rule such as the intertemporal law but lies in the treaty itself</w:t>
      </w:r>
      <w:r w:rsidR="00B61304" w:rsidRPr="00001F7B">
        <w:rPr>
          <w:rFonts w:cstheme="minorHAnsi"/>
        </w:rPr>
        <w:t>.</w:t>
      </w:r>
      <w:r w:rsidR="00D14DDF" w:rsidRPr="00001F7B">
        <w:rPr>
          <w:rStyle w:val="FootnoteReference"/>
          <w:rFonts w:cstheme="minorHAnsi"/>
        </w:rPr>
        <w:footnoteReference w:id="169"/>
      </w:r>
      <w:r w:rsidR="00D37C97" w:rsidRPr="00001F7B">
        <w:rPr>
          <w:rFonts w:cstheme="minorHAnsi"/>
        </w:rPr>
        <w:t xml:space="preserve"> </w:t>
      </w:r>
      <w:r w:rsidR="00F752A4" w:rsidRPr="00001F7B">
        <w:rPr>
          <w:rFonts w:cstheme="minorHAnsi"/>
        </w:rPr>
        <w:t>I</w:t>
      </w:r>
      <w:r w:rsidR="00D37C97" w:rsidRPr="00001F7B">
        <w:rPr>
          <w:rFonts w:cstheme="minorHAnsi"/>
        </w:rPr>
        <w:t xml:space="preserve">f the changed </w:t>
      </w:r>
      <w:r w:rsidR="00E84E08" w:rsidRPr="00001F7B">
        <w:rPr>
          <w:rFonts w:cstheme="minorHAnsi"/>
        </w:rPr>
        <w:t>circumstances</w:t>
      </w:r>
      <w:r w:rsidR="00D37C97" w:rsidRPr="00001F7B">
        <w:rPr>
          <w:rFonts w:cstheme="minorHAnsi"/>
        </w:rPr>
        <w:t xml:space="preserve"> are factual does the treaty envisage the possibility of change</w:t>
      </w:r>
      <w:r w:rsidR="00F752A4" w:rsidRPr="00001F7B">
        <w:rPr>
          <w:rFonts w:cstheme="minorHAnsi"/>
        </w:rPr>
        <w:t>,</w:t>
      </w:r>
      <w:r w:rsidR="00D711CF" w:rsidRPr="00001F7B">
        <w:rPr>
          <w:rFonts w:cstheme="minorHAnsi"/>
        </w:rPr>
        <w:t xml:space="preserve"> which might be clear under art 31 or require application of art 32</w:t>
      </w:r>
      <w:r w:rsidR="006B5240" w:rsidRPr="00001F7B">
        <w:rPr>
          <w:rFonts w:cstheme="minorHAnsi"/>
        </w:rPr>
        <w:t>?</w:t>
      </w:r>
      <w:r w:rsidR="00D711CF" w:rsidRPr="00001F7B">
        <w:rPr>
          <w:rFonts w:cstheme="minorHAnsi"/>
        </w:rPr>
        <w:t xml:space="preserve"> The treaty might envisage the changes or effective interpretation </w:t>
      </w:r>
      <w:r w:rsidR="00E5706F" w:rsidRPr="00001F7B">
        <w:rPr>
          <w:rFonts w:cstheme="minorHAnsi"/>
        </w:rPr>
        <w:t>may</w:t>
      </w:r>
      <w:r w:rsidR="00D711CF" w:rsidRPr="00001F7B">
        <w:rPr>
          <w:rFonts w:cstheme="minorHAnsi"/>
        </w:rPr>
        <w:t xml:space="preserve"> still </w:t>
      </w:r>
      <w:r w:rsidR="00E5706F" w:rsidRPr="00001F7B">
        <w:rPr>
          <w:rFonts w:cstheme="minorHAnsi"/>
        </w:rPr>
        <w:t xml:space="preserve">be </w:t>
      </w:r>
      <w:r w:rsidR="00D711CF" w:rsidRPr="00001F7B">
        <w:rPr>
          <w:rFonts w:cstheme="minorHAnsi"/>
        </w:rPr>
        <w:t>possible or the change is so fundamental that the treaty cannot be applied (e.g.</w:t>
      </w:r>
      <w:r w:rsidR="006B5240" w:rsidRPr="00001F7B">
        <w:rPr>
          <w:rFonts w:cstheme="minorHAnsi"/>
        </w:rPr>
        <w:t xml:space="preserve"> if </w:t>
      </w:r>
      <w:r w:rsidR="00D711CF" w:rsidRPr="00001F7B">
        <w:rPr>
          <w:rFonts w:cstheme="minorHAnsi"/>
        </w:rPr>
        <w:t xml:space="preserve">transport technology </w:t>
      </w:r>
      <w:r w:rsidR="000315FC" w:rsidRPr="00001F7B">
        <w:rPr>
          <w:rFonts w:cstheme="minorHAnsi"/>
        </w:rPr>
        <w:t>(use of drones)</w:t>
      </w:r>
      <w:r w:rsidR="00D711CF" w:rsidRPr="00001F7B">
        <w:rPr>
          <w:rFonts w:cstheme="minorHAnsi"/>
        </w:rPr>
        <w:t xml:space="preserve"> render</w:t>
      </w:r>
      <w:r w:rsidR="006B5240" w:rsidRPr="00001F7B">
        <w:rPr>
          <w:rFonts w:cstheme="minorHAnsi"/>
        </w:rPr>
        <w:t>s</w:t>
      </w:r>
      <w:r w:rsidR="00D711CF" w:rsidRPr="00001F7B">
        <w:rPr>
          <w:rFonts w:cstheme="minorHAnsi"/>
        </w:rPr>
        <w:t xml:space="preserve"> road vehicles redundant!).</w:t>
      </w:r>
      <w:r w:rsidR="005C0D05" w:rsidRPr="00001F7B">
        <w:rPr>
          <w:rFonts w:cstheme="minorHAnsi"/>
        </w:rPr>
        <w:t xml:space="preserve"> </w:t>
      </w:r>
      <w:r w:rsidR="006B5240" w:rsidRPr="00001F7B">
        <w:rPr>
          <w:rFonts w:cstheme="minorHAnsi"/>
        </w:rPr>
        <w:t>Ultimately,</w:t>
      </w:r>
      <w:r w:rsidR="000315FC" w:rsidRPr="00001F7B">
        <w:rPr>
          <w:rFonts w:cstheme="minorHAnsi"/>
        </w:rPr>
        <w:t xml:space="preserve"> </w:t>
      </w:r>
      <w:r w:rsidR="00016756" w:rsidRPr="00001F7B">
        <w:rPr>
          <w:rFonts w:cstheme="minorHAnsi"/>
        </w:rPr>
        <w:t>whether the terms in the treaty are fixed or open to change in meaning with the evolution of the law can only be decided by interpreting the intention of the parties.</w:t>
      </w:r>
      <w:r w:rsidR="000315FC" w:rsidRPr="00001F7B">
        <w:rPr>
          <w:rStyle w:val="FootnoteReference"/>
          <w:rFonts w:cstheme="minorHAnsi"/>
        </w:rPr>
        <w:footnoteReference w:id="170"/>
      </w:r>
      <w:r w:rsidR="00016756" w:rsidRPr="00001F7B">
        <w:rPr>
          <w:rFonts w:cstheme="minorHAnsi"/>
        </w:rPr>
        <w:t xml:space="preserve"> </w:t>
      </w:r>
    </w:p>
    <w:p w14:paraId="2DF247DB" w14:textId="59D4482C" w:rsidR="00E84E08" w:rsidRPr="00001F7B" w:rsidRDefault="00364934" w:rsidP="00001F7B">
      <w:pPr>
        <w:rPr>
          <w:rFonts w:cstheme="minorHAnsi"/>
        </w:rPr>
      </w:pPr>
      <w:r w:rsidRPr="00001F7B">
        <w:rPr>
          <w:rFonts w:cstheme="minorHAnsi"/>
        </w:rPr>
        <w:t xml:space="preserve">A useful example of the consideration of a treaty in the light of both factual changes and changes in international law is the </w:t>
      </w:r>
      <w:r w:rsidRPr="00001F7B">
        <w:rPr>
          <w:rFonts w:cstheme="minorHAnsi"/>
          <w:i/>
          <w:iCs/>
        </w:rPr>
        <w:t>Iron Rhine Railway</w:t>
      </w:r>
      <w:r w:rsidRPr="00001F7B">
        <w:rPr>
          <w:rFonts w:cstheme="minorHAnsi"/>
        </w:rPr>
        <w:t xml:space="preserve"> case.</w:t>
      </w:r>
      <w:r w:rsidRPr="00001F7B">
        <w:rPr>
          <w:rStyle w:val="FootnoteReference"/>
          <w:rFonts w:cstheme="minorHAnsi"/>
        </w:rPr>
        <w:footnoteReference w:id="171"/>
      </w:r>
      <w:r w:rsidR="008B7715" w:rsidRPr="00001F7B">
        <w:rPr>
          <w:rFonts w:cstheme="minorHAnsi"/>
        </w:rPr>
        <w:t xml:space="preserve"> This </w:t>
      </w:r>
      <w:r w:rsidR="0019513C" w:rsidRPr="00001F7B">
        <w:rPr>
          <w:rFonts w:cstheme="minorHAnsi"/>
        </w:rPr>
        <w:t>involv</w:t>
      </w:r>
      <w:r w:rsidR="008B7715" w:rsidRPr="00001F7B">
        <w:rPr>
          <w:rFonts w:cstheme="minorHAnsi"/>
        </w:rPr>
        <w:t>ed the issue of</w:t>
      </w:r>
      <w:r w:rsidR="0019513C" w:rsidRPr="00001F7B">
        <w:rPr>
          <w:rFonts w:cstheme="minorHAnsi"/>
        </w:rPr>
        <w:t xml:space="preserve"> responsibility for </w:t>
      </w:r>
      <w:r w:rsidR="000D0E51" w:rsidRPr="00001F7B">
        <w:rPr>
          <w:rFonts w:cstheme="minorHAnsi"/>
        </w:rPr>
        <w:t xml:space="preserve">the </w:t>
      </w:r>
      <w:r w:rsidR="0019513C" w:rsidRPr="00001F7B">
        <w:rPr>
          <w:rFonts w:cstheme="minorHAnsi"/>
        </w:rPr>
        <w:t xml:space="preserve">costs </w:t>
      </w:r>
      <w:r w:rsidR="000D0E51" w:rsidRPr="00001F7B">
        <w:rPr>
          <w:rFonts w:cstheme="minorHAnsi"/>
        </w:rPr>
        <w:t>in restoring a railway which was designed to prov</w:t>
      </w:r>
      <w:r w:rsidR="00E461C2" w:rsidRPr="00001F7B">
        <w:rPr>
          <w:rFonts w:cstheme="minorHAnsi"/>
        </w:rPr>
        <w:t>ide</w:t>
      </w:r>
      <w:r w:rsidR="000D0E51" w:rsidRPr="00001F7B">
        <w:rPr>
          <w:rFonts w:cstheme="minorHAnsi"/>
        </w:rPr>
        <w:t xml:space="preserve"> Belgium </w:t>
      </w:r>
      <w:r w:rsidR="00E461C2" w:rsidRPr="00001F7B">
        <w:rPr>
          <w:rFonts w:cstheme="minorHAnsi"/>
        </w:rPr>
        <w:t>transit</w:t>
      </w:r>
      <w:r w:rsidR="00F231A7" w:rsidRPr="00001F7B">
        <w:rPr>
          <w:rFonts w:cstheme="minorHAnsi"/>
        </w:rPr>
        <w:t xml:space="preserve"> </w:t>
      </w:r>
      <w:r w:rsidR="00E461C2" w:rsidRPr="00001F7B">
        <w:rPr>
          <w:rFonts w:cstheme="minorHAnsi"/>
        </w:rPr>
        <w:t>from the port of Antwerp to the Rhine Basin in Germany via a</w:t>
      </w:r>
      <w:r w:rsidR="000D0E51" w:rsidRPr="00001F7B">
        <w:rPr>
          <w:rFonts w:cstheme="minorHAnsi"/>
        </w:rPr>
        <w:t xml:space="preserve"> route through the Netherlands</w:t>
      </w:r>
      <w:r w:rsidR="00E461C2" w:rsidRPr="00001F7B">
        <w:rPr>
          <w:rFonts w:cstheme="minorHAnsi"/>
        </w:rPr>
        <w:t xml:space="preserve">. </w:t>
      </w:r>
      <w:r w:rsidR="009173C6" w:rsidRPr="00001F7B">
        <w:rPr>
          <w:rFonts w:cstheme="minorHAnsi"/>
        </w:rPr>
        <w:t>However,</w:t>
      </w:r>
      <w:r w:rsidR="009B4387" w:rsidRPr="00001F7B">
        <w:rPr>
          <w:rFonts w:cstheme="minorHAnsi"/>
        </w:rPr>
        <w:t xml:space="preserve"> </w:t>
      </w:r>
      <w:r w:rsidR="00D14DDF" w:rsidRPr="00001F7B">
        <w:rPr>
          <w:rFonts w:cstheme="minorHAnsi"/>
        </w:rPr>
        <w:t>it is noteworthy</w:t>
      </w:r>
      <w:r w:rsidR="009B4387" w:rsidRPr="00001F7B">
        <w:rPr>
          <w:rFonts w:cstheme="minorHAnsi"/>
        </w:rPr>
        <w:t xml:space="preserve"> that the tribunal</w:t>
      </w:r>
      <w:r w:rsidR="006B5240" w:rsidRPr="00001F7B">
        <w:rPr>
          <w:rFonts w:cstheme="minorHAnsi"/>
        </w:rPr>
        <w:t>’</w:t>
      </w:r>
      <w:r w:rsidR="009B4387" w:rsidRPr="00001F7B">
        <w:rPr>
          <w:rFonts w:cstheme="minorHAnsi"/>
        </w:rPr>
        <w:t xml:space="preserve">s own starting point was the intertemporal law which it saw as a rule of international law which </w:t>
      </w:r>
      <w:r w:rsidR="004616B0" w:rsidRPr="00001F7B">
        <w:rPr>
          <w:rFonts w:cstheme="minorHAnsi"/>
        </w:rPr>
        <w:t xml:space="preserve">therefore </w:t>
      </w:r>
      <w:r w:rsidR="009B4387" w:rsidRPr="00001F7B">
        <w:rPr>
          <w:rFonts w:cstheme="minorHAnsi"/>
        </w:rPr>
        <w:t xml:space="preserve">brought in art 31.3(c). The tribunal applied it as a rule which required regard to be had to the juridical facts </w:t>
      </w:r>
      <w:r w:rsidR="0073017C" w:rsidRPr="00001F7B">
        <w:rPr>
          <w:rFonts w:cstheme="minorHAnsi"/>
        </w:rPr>
        <w:t xml:space="preserve">at the time of the conclusion of the </w:t>
      </w:r>
      <w:r w:rsidR="00F80742" w:rsidRPr="00001F7B">
        <w:rPr>
          <w:rFonts w:cstheme="minorHAnsi"/>
        </w:rPr>
        <w:t xml:space="preserve">separation </w:t>
      </w:r>
      <w:r w:rsidR="0073017C" w:rsidRPr="00001F7B">
        <w:rPr>
          <w:rFonts w:cstheme="minorHAnsi"/>
        </w:rPr>
        <w:t>treaty of 1839 with which it was dealing. The tribunal considered however that the rule did not require it to be oblivious either to later facts that bear on the effective</w:t>
      </w:r>
      <w:r w:rsidR="008D3628" w:rsidRPr="00001F7B">
        <w:rPr>
          <w:rFonts w:cstheme="minorHAnsi"/>
        </w:rPr>
        <w:t xml:space="preserve"> application of the treaty, nor indeed to all later legal developments. </w:t>
      </w:r>
      <w:r w:rsidR="001775A6" w:rsidRPr="00001F7B">
        <w:rPr>
          <w:rFonts w:cstheme="minorHAnsi"/>
        </w:rPr>
        <w:t>Thus,</w:t>
      </w:r>
      <w:r w:rsidR="00973788" w:rsidRPr="00001F7B">
        <w:rPr>
          <w:rFonts w:cstheme="minorHAnsi"/>
        </w:rPr>
        <w:t xml:space="preserve"> the first limb is the starting </w:t>
      </w:r>
      <w:r w:rsidR="00F80742" w:rsidRPr="00001F7B">
        <w:rPr>
          <w:rFonts w:cstheme="minorHAnsi"/>
        </w:rPr>
        <w:t xml:space="preserve">point </w:t>
      </w:r>
      <w:r w:rsidR="00973788" w:rsidRPr="00001F7B">
        <w:rPr>
          <w:rFonts w:cstheme="minorHAnsi"/>
        </w:rPr>
        <w:t xml:space="preserve">but the potential effect of changes </w:t>
      </w:r>
      <w:r w:rsidR="0019513C" w:rsidRPr="00001F7B">
        <w:rPr>
          <w:rFonts w:cstheme="minorHAnsi"/>
        </w:rPr>
        <w:t xml:space="preserve">should be considered as a matter of interpretation. In this case the tribunal thought that given </w:t>
      </w:r>
      <w:r w:rsidR="00F80742" w:rsidRPr="00001F7B">
        <w:rPr>
          <w:rFonts w:cstheme="minorHAnsi"/>
        </w:rPr>
        <w:t xml:space="preserve">the increase in costs due to technological advances </w:t>
      </w:r>
      <w:r w:rsidR="00D4626C" w:rsidRPr="00001F7B">
        <w:rPr>
          <w:rFonts w:cstheme="minorHAnsi"/>
        </w:rPr>
        <w:t>which had not been foreseen in 1</w:t>
      </w:r>
      <w:r w:rsidR="009C526A">
        <w:rPr>
          <w:rFonts w:cstheme="minorHAnsi"/>
        </w:rPr>
        <w:t>8</w:t>
      </w:r>
      <w:r w:rsidR="00D4626C" w:rsidRPr="00001F7B">
        <w:rPr>
          <w:rFonts w:cstheme="minorHAnsi"/>
        </w:rPr>
        <w:t>39 and the changes in environmental law which also had the effect of increasing costs</w:t>
      </w:r>
      <w:r w:rsidR="006B5240" w:rsidRPr="00001F7B">
        <w:rPr>
          <w:rFonts w:cstheme="minorHAnsi"/>
        </w:rPr>
        <w:t>,</w:t>
      </w:r>
      <w:r w:rsidR="00D4626C" w:rsidRPr="00001F7B">
        <w:rPr>
          <w:rFonts w:cstheme="minorHAnsi"/>
        </w:rPr>
        <w:t xml:space="preserve"> an evolutive interpretation would be preferred so that an application of the treaty would be effective in terms of its object and purpose.</w:t>
      </w:r>
      <w:r w:rsidR="001775A6" w:rsidRPr="00001F7B">
        <w:rPr>
          <w:rFonts w:cstheme="minorHAnsi"/>
        </w:rPr>
        <w:t xml:space="preserve"> </w:t>
      </w:r>
      <w:r w:rsidR="003A6E7D" w:rsidRPr="00001F7B">
        <w:rPr>
          <w:rFonts w:cstheme="minorHAnsi"/>
        </w:rPr>
        <w:t xml:space="preserve">The initial costs fell on Belgium but the treaty did not say anything about maintenance </w:t>
      </w:r>
      <w:r w:rsidR="009173C6" w:rsidRPr="00001F7B">
        <w:rPr>
          <w:rFonts w:cstheme="minorHAnsi"/>
        </w:rPr>
        <w:t xml:space="preserve">nor indeed restoration of a disused line so that </w:t>
      </w:r>
      <w:r w:rsidR="003A6E7D" w:rsidRPr="00001F7B">
        <w:rPr>
          <w:rFonts w:cstheme="minorHAnsi"/>
        </w:rPr>
        <w:t xml:space="preserve">consequently complex questions arose as to the nature of the works and costs </w:t>
      </w:r>
      <w:r w:rsidR="00A36EC1" w:rsidRPr="00001F7B">
        <w:rPr>
          <w:rFonts w:cstheme="minorHAnsi"/>
        </w:rPr>
        <w:t>and how they fitted into the scheme. The object of the treaty was not for a fixed duration and future work must have been envisaged</w:t>
      </w:r>
      <w:r w:rsidR="009173C6" w:rsidRPr="00001F7B">
        <w:rPr>
          <w:rFonts w:cstheme="minorHAnsi"/>
        </w:rPr>
        <w:t xml:space="preserve"> but not provided for. The tribunal </w:t>
      </w:r>
      <w:r w:rsidR="00707DB8" w:rsidRPr="00001F7B">
        <w:rPr>
          <w:rFonts w:cstheme="minorHAnsi"/>
        </w:rPr>
        <w:t xml:space="preserve">came to a solution which maintained the right of Belgium to the line and made it responsible for the financial risks associated with its reactivation but </w:t>
      </w:r>
      <w:r w:rsidR="00E41C27" w:rsidRPr="00001F7B">
        <w:rPr>
          <w:rFonts w:cstheme="minorHAnsi"/>
        </w:rPr>
        <w:t xml:space="preserve">for different sectors of the line </w:t>
      </w:r>
      <w:r w:rsidR="00DB05D3" w:rsidRPr="00001F7B">
        <w:rPr>
          <w:rFonts w:cstheme="minorHAnsi"/>
        </w:rPr>
        <w:t xml:space="preserve">the cost might fall entirely on Belgium </w:t>
      </w:r>
      <w:r w:rsidR="0076721D" w:rsidRPr="00001F7B">
        <w:rPr>
          <w:rFonts w:cstheme="minorHAnsi"/>
        </w:rPr>
        <w:t>or</w:t>
      </w:r>
      <w:r w:rsidR="00DB05D3" w:rsidRPr="00001F7B">
        <w:rPr>
          <w:rFonts w:cstheme="minorHAnsi"/>
        </w:rPr>
        <w:t xml:space="preserve"> </w:t>
      </w:r>
      <w:r w:rsidR="0076721D" w:rsidRPr="00001F7B">
        <w:rPr>
          <w:rFonts w:cstheme="minorHAnsi"/>
        </w:rPr>
        <w:t xml:space="preserve">otherwise </w:t>
      </w:r>
      <w:r w:rsidR="00E41C27" w:rsidRPr="00001F7B">
        <w:rPr>
          <w:rFonts w:cstheme="minorHAnsi"/>
        </w:rPr>
        <w:t xml:space="preserve">an adjustment was made to </w:t>
      </w:r>
      <w:r w:rsidR="00707DB8" w:rsidRPr="00001F7B">
        <w:rPr>
          <w:rFonts w:cstheme="minorHAnsi"/>
        </w:rPr>
        <w:t>diminis</w:t>
      </w:r>
      <w:r w:rsidR="00E41C27" w:rsidRPr="00001F7B">
        <w:rPr>
          <w:rFonts w:cstheme="minorHAnsi"/>
        </w:rPr>
        <w:t>h these cost</w:t>
      </w:r>
      <w:r w:rsidR="00DB05D3" w:rsidRPr="00001F7B">
        <w:rPr>
          <w:rFonts w:cstheme="minorHAnsi"/>
        </w:rPr>
        <w:t>s</w:t>
      </w:r>
      <w:r w:rsidR="004616B0" w:rsidRPr="00001F7B">
        <w:rPr>
          <w:rFonts w:cstheme="minorHAnsi"/>
        </w:rPr>
        <w:t>.</w:t>
      </w:r>
      <w:r w:rsidR="00E41C27" w:rsidRPr="00001F7B">
        <w:rPr>
          <w:rFonts w:cstheme="minorHAnsi"/>
        </w:rPr>
        <w:t xml:space="preserve"> </w:t>
      </w:r>
      <w:r w:rsidR="00DB05D3" w:rsidRPr="00001F7B">
        <w:rPr>
          <w:rFonts w:cstheme="minorHAnsi"/>
        </w:rPr>
        <w:t>Th</w:t>
      </w:r>
      <w:r w:rsidR="004616B0" w:rsidRPr="00001F7B">
        <w:rPr>
          <w:rFonts w:cstheme="minorHAnsi"/>
        </w:rPr>
        <w:t>e result</w:t>
      </w:r>
      <w:r w:rsidR="00DB05D3" w:rsidRPr="00001F7B">
        <w:rPr>
          <w:rFonts w:cstheme="minorHAnsi"/>
        </w:rPr>
        <w:t xml:space="preserve"> </w:t>
      </w:r>
      <w:r w:rsidR="0076721D" w:rsidRPr="00001F7B">
        <w:rPr>
          <w:rFonts w:cstheme="minorHAnsi"/>
        </w:rPr>
        <w:t>was</w:t>
      </w:r>
      <w:r w:rsidR="00DB05D3" w:rsidRPr="00001F7B">
        <w:rPr>
          <w:rFonts w:cstheme="minorHAnsi"/>
        </w:rPr>
        <w:t xml:space="preserve"> a </w:t>
      </w:r>
      <w:r w:rsidR="0076721D" w:rsidRPr="00001F7B">
        <w:rPr>
          <w:rFonts w:cstheme="minorHAnsi"/>
        </w:rPr>
        <w:t xml:space="preserve">reconciliation of the right of transit granted to Belgium (which should not be unreasonably inhibited), the sovereignty of the Netherlands and its legitimate environmental concerns, the tribunal seeing that </w:t>
      </w:r>
      <w:r w:rsidR="00462B7C" w:rsidRPr="00001F7B">
        <w:rPr>
          <w:rFonts w:cstheme="minorHAnsi"/>
        </w:rPr>
        <w:t>the object and purpose of the treaty suggested an interpretation which</w:t>
      </w:r>
      <w:r w:rsidR="0076721D" w:rsidRPr="00001F7B">
        <w:rPr>
          <w:rFonts w:cstheme="minorHAnsi"/>
        </w:rPr>
        <w:t xml:space="preserve"> brought the new needs and developments into the balance struck by</w:t>
      </w:r>
      <w:r w:rsidR="00462B7C" w:rsidRPr="00001F7B">
        <w:rPr>
          <w:rFonts w:cstheme="minorHAnsi"/>
        </w:rPr>
        <w:t xml:space="preserve"> it. </w:t>
      </w:r>
      <w:r w:rsidR="0011716B" w:rsidRPr="00001F7B">
        <w:rPr>
          <w:rFonts w:cstheme="minorHAnsi"/>
        </w:rPr>
        <w:t>Thus, the tribunal provided an application of the treaty which ensured its effectiveness in terms of its object and purpose.</w:t>
      </w:r>
      <w:r w:rsidR="0011716B" w:rsidRPr="00001F7B">
        <w:rPr>
          <w:rStyle w:val="FootnoteReference"/>
          <w:rFonts w:cstheme="minorHAnsi"/>
        </w:rPr>
        <w:footnoteReference w:id="172"/>
      </w:r>
      <w:r w:rsidR="00E84E08" w:rsidRPr="00001F7B">
        <w:rPr>
          <w:rFonts w:cstheme="minorHAnsi"/>
        </w:rPr>
        <w:t xml:space="preserve"> </w:t>
      </w:r>
    </w:p>
    <w:p w14:paraId="44BCA3D2" w14:textId="03BD46CC" w:rsidR="000C2F97" w:rsidRPr="00001F7B" w:rsidRDefault="009C526A" w:rsidP="00001F7B">
      <w:pPr>
        <w:rPr>
          <w:rFonts w:cstheme="minorHAnsi"/>
        </w:rPr>
      </w:pPr>
      <w:r>
        <w:rPr>
          <w:rFonts w:cstheme="minorHAnsi"/>
        </w:rPr>
        <w:t>Whilst</w:t>
      </w:r>
      <w:r w:rsidR="000C2F97" w:rsidRPr="00001F7B">
        <w:rPr>
          <w:rFonts w:cstheme="minorHAnsi"/>
        </w:rPr>
        <w:t xml:space="preserve"> many treaties may speak to the future they may not do so in a way where change may not have been foreseeable in the same way as in the </w:t>
      </w:r>
      <w:r w:rsidR="000C2F97" w:rsidRPr="00001F7B">
        <w:rPr>
          <w:rFonts w:cstheme="minorHAnsi"/>
          <w:i/>
          <w:iCs/>
        </w:rPr>
        <w:t>Iron Rhine</w:t>
      </w:r>
      <w:r w:rsidR="001E14F2" w:rsidRPr="00001F7B">
        <w:rPr>
          <w:rFonts w:cstheme="minorHAnsi"/>
        </w:rPr>
        <w:t>. They</w:t>
      </w:r>
      <w:r w:rsidR="000C2F97" w:rsidRPr="00001F7B">
        <w:rPr>
          <w:rFonts w:cstheme="minorHAnsi"/>
        </w:rPr>
        <w:t xml:space="preserve"> may </w:t>
      </w:r>
      <w:r w:rsidR="001E14F2" w:rsidRPr="00001F7B">
        <w:rPr>
          <w:rFonts w:cstheme="minorHAnsi"/>
        </w:rPr>
        <w:t xml:space="preserve">yet </w:t>
      </w:r>
      <w:r w:rsidR="000C2F97" w:rsidRPr="00001F7B">
        <w:rPr>
          <w:rFonts w:cstheme="minorHAnsi"/>
        </w:rPr>
        <w:t xml:space="preserve">remain effective despite changes that might have been addressed if they had been anticipated but weren’t and cannot now be addressed.  </w:t>
      </w:r>
    </w:p>
    <w:p w14:paraId="133C5B7C" w14:textId="0D2187E5" w:rsidR="00AB50B0" w:rsidRPr="00001F7B" w:rsidRDefault="003704C3" w:rsidP="00001F7B">
      <w:pPr>
        <w:widowControl w:val="0"/>
        <w:autoSpaceDE w:val="0"/>
        <w:autoSpaceDN w:val="0"/>
        <w:adjustRightInd w:val="0"/>
        <w:spacing w:after="0" w:line="240" w:lineRule="auto"/>
        <w:rPr>
          <w:rFonts w:eastAsiaTheme="minorEastAsia" w:cstheme="minorHAnsi"/>
          <w:color w:val="000000"/>
          <w:lang w:eastAsia="en-GB"/>
        </w:rPr>
      </w:pPr>
      <w:r w:rsidRPr="00001F7B">
        <w:rPr>
          <w:rFonts w:cstheme="minorHAnsi"/>
        </w:rPr>
        <w:t xml:space="preserve">The cases of </w:t>
      </w:r>
      <w:r w:rsidR="00401673" w:rsidRPr="00001F7B">
        <w:rPr>
          <w:rFonts w:cstheme="minorHAnsi"/>
          <w:i/>
          <w:iCs/>
        </w:rPr>
        <w:t xml:space="preserve">King v Bristow </w:t>
      </w:r>
      <w:r w:rsidR="0041619A" w:rsidRPr="00001F7B">
        <w:rPr>
          <w:rFonts w:cstheme="minorHAnsi"/>
          <w:i/>
          <w:iCs/>
        </w:rPr>
        <w:t>Helicopters</w:t>
      </w:r>
      <w:r w:rsidR="0041619A" w:rsidRPr="00001F7B">
        <w:rPr>
          <w:rFonts w:cstheme="minorHAnsi"/>
        </w:rPr>
        <w:t xml:space="preserve"> </w:t>
      </w:r>
      <w:r w:rsidR="00401673" w:rsidRPr="00001F7B">
        <w:rPr>
          <w:rFonts w:cstheme="minorHAnsi"/>
        </w:rPr>
        <w:t>and</w:t>
      </w:r>
      <w:r w:rsidR="00E84E08" w:rsidRPr="00001F7B">
        <w:rPr>
          <w:rFonts w:cstheme="minorHAnsi"/>
        </w:rPr>
        <w:t xml:space="preserve"> </w:t>
      </w:r>
      <w:r w:rsidR="00E84E08" w:rsidRPr="00001F7B">
        <w:rPr>
          <w:rFonts w:cstheme="minorHAnsi"/>
          <w:i/>
          <w:iCs/>
        </w:rPr>
        <w:t>Morris v KLM</w:t>
      </w:r>
      <w:r w:rsidR="00E84E08" w:rsidRPr="00001F7B">
        <w:rPr>
          <w:rFonts w:cstheme="minorHAnsi"/>
        </w:rPr>
        <w:t xml:space="preserve"> </w:t>
      </w:r>
      <w:r w:rsidR="000C2F97" w:rsidRPr="00001F7B">
        <w:rPr>
          <w:rFonts w:cstheme="minorHAnsi"/>
        </w:rPr>
        <w:t xml:space="preserve">seem to </w:t>
      </w:r>
      <w:r w:rsidRPr="00001F7B">
        <w:rPr>
          <w:rFonts w:cstheme="minorHAnsi"/>
        </w:rPr>
        <w:t>be of this nature.</w:t>
      </w:r>
      <w:r w:rsidRPr="00001F7B">
        <w:rPr>
          <w:rStyle w:val="FootnoteReference"/>
          <w:rFonts w:cstheme="minorHAnsi"/>
        </w:rPr>
        <w:footnoteReference w:id="173"/>
      </w:r>
      <w:r w:rsidRPr="00001F7B">
        <w:rPr>
          <w:rFonts w:cstheme="minorHAnsi"/>
        </w:rPr>
        <w:t xml:space="preserve"> </w:t>
      </w:r>
      <w:r w:rsidR="00E84E08" w:rsidRPr="00001F7B">
        <w:rPr>
          <w:rFonts w:cstheme="minorHAnsi"/>
        </w:rPr>
        <w:t>where the court had to consider the meaning of ‘bodily injury’ under art 17 of the Warsaw Conven</w:t>
      </w:r>
      <w:r w:rsidR="00FF06B0" w:rsidRPr="00001F7B">
        <w:rPr>
          <w:rFonts w:cstheme="minorHAnsi"/>
        </w:rPr>
        <w:t>tion on carriage by air as amended by the Hague Protocol</w:t>
      </w:r>
      <w:r w:rsidR="000C003F" w:rsidRPr="00001F7B">
        <w:rPr>
          <w:rFonts w:cstheme="minorHAnsi"/>
        </w:rPr>
        <w:t>.</w:t>
      </w:r>
      <w:r w:rsidR="00FF06B0" w:rsidRPr="00001F7B">
        <w:rPr>
          <w:rFonts w:cstheme="minorHAnsi"/>
        </w:rPr>
        <w:t xml:space="preserve"> </w:t>
      </w:r>
      <w:r w:rsidR="000C003F" w:rsidRPr="00001F7B">
        <w:rPr>
          <w:rFonts w:cstheme="minorHAnsi"/>
        </w:rPr>
        <w:t>I</w:t>
      </w:r>
      <w:r w:rsidRPr="00001F7B">
        <w:rPr>
          <w:rFonts w:cstheme="minorHAnsi"/>
        </w:rPr>
        <w:t xml:space="preserve">n </w:t>
      </w:r>
      <w:r w:rsidRPr="00001F7B">
        <w:rPr>
          <w:rFonts w:cstheme="minorHAnsi"/>
          <w:i/>
          <w:iCs/>
        </w:rPr>
        <w:t>King</w:t>
      </w:r>
      <w:r w:rsidR="0041619A" w:rsidRPr="00001F7B">
        <w:rPr>
          <w:rFonts w:cstheme="minorHAnsi"/>
        </w:rPr>
        <w:t>,</w:t>
      </w:r>
      <w:r w:rsidRPr="00001F7B">
        <w:rPr>
          <w:rFonts w:cstheme="minorHAnsi"/>
        </w:rPr>
        <w:t xml:space="preserve"> </w:t>
      </w:r>
      <w:r w:rsidR="00E13754" w:rsidRPr="00001F7B">
        <w:rPr>
          <w:rFonts w:cstheme="minorHAnsi"/>
        </w:rPr>
        <w:t xml:space="preserve">a heavy landing caused the passenger to suffer stress which resulted </w:t>
      </w:r>
      <w:r w:rsidR="0041619A" w:rsidRPr="00001F7B">
        <w:rPr>
          <w:rFonts w:cstheme="minorHAnsi"/>
        </w:rPr>
        <w:t xml:space="preserve">in </w:t>
      </w:r>
      <w:r w:rsidR="00E13754" w:rsidRPr="00001F7B">
        <w:rPr>
          <w:rFonts w:cstheme="minorHAnsi"/>
        </w:rPr>
        <w:t>PTSD which then led to a peptic</w:t>
      </w:r>
      <w:r w:rsidR="000C003F" w:rsidRPr="00001F7B">
        <w:rPr>
          <w:rFonts w:cstheme="minorHAnsi"/>
        </w:rPr>
        <w:t xml:space="preserve"> </w:t>
      </w:r>
      <w:r w:rsidR="00E13754" w:rsidRPr="00001F7B">
        <w:rPr>
          <w:rFonts w:cstheme="minorHAnsi"/>
        </w:rPr>
        <w:t>ulcer,</w:t>
      </w:r>
      <w:r w:rsidR="000C003F" w:rsidRPr="00001F7B">
        <w:rPr>
          <w:rFonts w:cstheme="minorHAnsi"/>
        </w:rPr>
        <w:t xml:space="preserve"> </w:t>
      </w:r>
      <w:r w:rsidR="00E13754" w:rsidRPr="00001F7B">
        <w:rPr>
          <w:rFonts w:cstheme="minorHAnsi"/>
        </w:rPr>
        <w:t xml:space="preserve">and in </w:t>
      </w:r>
      <w:r w:rsidR="00E13754" w:rsidRPr="00001F7B">
        <w:rPr>
          <w:rFonts w:cstheme="minorHAnsi"/>
          <w:i/>
          <w:iCs/>
        </w:rPr>
        <w:t>Morris</w:t>
      </w:r>
      <w:r w:rsidR="00E13754" w:rsidRPr="00001F7B">
        <w:rPr>
          <w:rFonts w:cstheme="minorHAnsi"/>
        </w:rPr>
        <w:t xml:space="preserve">, </w:t>
      </w:r>
      <w:r w:rsidR="00FF06B0" w:rsidRPr="00001F7B">
        <w:rPr>
          <w:rFonts w:cstheme="minorHAnsi"/>
        </w:rPr>
        <w:t xml:space="preserve">an indecent assault on a passenger caused her to suffer depression. </w:t>
      </w:r>
      <w:r w:rsidR="007B3791" w:rsidRPr="00001F7B">
        <w:rPr>
          <w:rFonts w:cstheme="minorHAnsi"/>
        </w:rPr>
        <w:t xml:space="preserve">Ultimately King recovered compensation for the ulcer (but only that), whilst Morris recovered nothing there being no physical injury. </w:t>
      </w:r>
      <w:r w:rsidR="00AB50B0" w:rsidRPr="00001F7B">
        <w:rPr>
          <w:rFonts w:cstheme="minorHAnsi"/>
        </w:rPr>
        <w:t xml:space="preserve">It was held that mental injuries unaccompanied by physical injury were not covered by the words ‘bodily injury’. </w:t>
      </w:r>
      <w:r w:rsidR="002B179A" w:rsidRPr="00001F7B">
        <w:rPr>
          <w:rFonts w:cstheme="minorHAnsi"/>
        </w:rPr>
        <w:t>For Lord Hope</w:t>
      </w:r>
      <w:r w:rsidR="0050740D" w:rsidRPr="00001F7B">
        <w:rPr>
          <w:rFonts w:cstheme="minorHAnsi"/>
        </w:rPr>
        <w:t>,</w:t>
      </w:r>
      <w:r w:rsidR="0002357F" w:rsidRPr="00001F7B">
        <w:rPr>
          <w:rStyle w:val="FootnoteReference"/>
          <w:rFonts w:cstheme="minorHAnsi"/>
        </w:rPr>
        <w:footnoteReference w:id="174"/>
      </w:r>
      <w:r w:rsidR="002B179A" w:rsidRPr="00001F7B">
        <w:rPr>
          <w:rFonts w:cstheme="minorHAnsi"/>
        </w:rPr>
        <w:t xml:space="preserve"> </w:t>
      </w:r>
      <w:r w:rsidR="00AB50B0" w:rsidRPr="00001F7B">
        <w:rPr>
          <w:rFonts w:cstheme="minorHAnsi"/>
        </w:rPr>
        <w:t xml:space="preserve">the </w:t>
      </w:r>
      <w:r w:rsidR="00AB50B0" w:rsidRPr="00001F7B">
        <w:rPr>
          <w:rFonts w:cstheme="minorHAnsi"/>
          <w:color w:val="000000"/>
        </w:rPr>
        <w:t>meaning of the words was the meaning attributed to them when the Convention was entered into in 1929 but the application of that meaning to the facts depended on the evidence, in this case of the best current medical and scientific knowledge available.</w:t>
      </w:r>
      <w:r w:rsidR="0050740D" w:rsidRPr="00001F7B">
        <w:rPr>
          <w:rFonts w:cstheme="minorHAnsi"/>
          <w:color w:val="000000"/>
        </w:rPr>
        <w:t xml:space="preserve"> Lord Steyn,</w:t>
      </w:r>
      <w:r w:rsidR="0050740D" w:rsidRPr="00001F7B">
        <w:rPr>
          <w:rStyle w:val="FootnoteReference"/>
          <w:rFonts w:cstheme="minorHAnsi"/>
          <w:color w:val="000000"/>
        </w:rPr>
        <w:footnoteReference w:id="175"/>
      </w:r>
      <w:r w:rsidR="000C003F" w:rsidRPr="00001F7B">
        <w:rPr>
          <w:rFonts w:cstheme="minorHAnsi"/>
          <w:color w:val="000000"/>
        </w:rPr>
        <w:t xml:space="preserve"> said that</w:t>
      </w:r>
      <w:r w:rsidR="0050740D" w:rsidRPr="00001F7B">
        <w:rPr>
          <w:rFonts w:cstheme="minorHAnsi"/>
          <w:color w:val="000000"/>
        </w:rPr>
        <w:t xml:space="preserve"> looking at the circumstances exi</w:t>
      </w:r>
      <w:r w:rsidR="00B140B1">
        <w:rPr>
          <w:rFonts w:cstheme="minorHAnsi"/>
          <w:color w:val="000000"/>
        </w:rPr>
        <w:t>s</w:t>
      </w:r>
      <w:r w:rsidR="0050740D" w:rsidRPr="00001F7B">
        <w:rPr>
          <w:rFonts w:cstheme="minorHAnsi"/>
          <w:color w:val="000000"/>
        </w:rPr>
        <w:t xml:space="preserve">ting in 1929 he would have expected mental injury to have been covered expressly and </w:t>
      </w:r>
      <w:r w:rsidR="00D81958" w:rsidRPr="00001F7B">
        <w:rPr>
          <w:rFonts w:cstheme="minorHAnsi"/>
          <w:color w:val="000000"/>
        </w:rPr>
        <w:t xml:space="preserve">that </w:t>
      </w:r>
      <w:r w:rsidR="0050740D" w:rsidRPr="00001F7B">
        <w:rPr>
          <w:rFonts w:cstheme="minorHAnsi"/>
          <w:color w:val="000000"/>
        </w:rPr>
        <w:t xml:space="preserve">the silence </w:t>
      </w:r>
      <w:r w:rsidR="00D81958" w:rsidRPr="00001F7B">
        <w:rPr>
          <w:rFonts w:cstheme="minorHAnsi"/>
          <w:color w:val="000000"/>
        </w:rPr>
        <w:t xml:space="preserve">as to this </w:t>
      </w:r>
      <w:r w:rsidR="0050740D" w:rsidRPr="00001F7B">
        <w:rPr>
          <w:rFonts w:cstheme="minorHAnsi"/>
          <w:color w:val="000000"/>
        </w:rPr>
        <w:t xml:space="preserve">suggests that it was never contemplated. In respect of </w:t>
      </w:r>
      <w:r w:rsidR="007E0D98" w:rsidRPr="00001F7B">
        <w:rPr>
          <w:rFonts w:cstheme="minorHAnsi"/>
          <w:color w:val="000000"/>
        </w:rPr>
        <w:t>changes over time he said: ”</w:t>
      </w:r>
      <w:r w:rsidR="0001643F" w:rsidRPr="00001F7B">
        <w:rPr>
          <w:rFonts w:cstheme="minorHAnsi"/>
          <w:color w:val="000000"/>
        </w:rPr>
        <w:t>…</w:t>
      </w:r>
      <w:r w:rsidR="007E0D98" w:rsidRPr="00001F7B">
        <w:rPr>
          <w:rFonts w:eastAsiaTheme="minorEastAsia" w:cstheme="minorHAnsi"/>
          <w:color w:val="000000"/>
          <w:lang w:eastAsia="en-GB"/>
        </w:rPr>
        <w:t>statutes are generally always speaking and ought therefore to be interpreted in light of the contemporary social and scientific world. This is not a rule of law but a principle of construction, which may be displaced by a contrary intent revealed by a particular statutory context…</w:t>
      </w:r>
      <w:r w:rsidR="0001643F" w:rsidRPr="00001F7B">
        <w:rPr>
          <w:rFonts w:eastAsiaTheme="minorEastAsia" w:cstheme="minorHAnsi"/>
          <w:color w:val="000000"/>
          <w:lang w:eastAsia="en-GB"/>
        </w:rPr>
        <w:t>.</w:t>
      </w:r>
      <w:r w:rsidR="007E0D98" w:rsidRPr="00001F7B">
        <w:rPr>
          <w:rFonts w:eastAsiaTheme="minorEastAsia" w:cstheme="minorHAnsi"/>
          <w:color w:val="000000"/>
          <w:lang w:eastAsia="en-GB"/>
        </w:rPr>
        <w:t xml:space="preserve">Given that the rationale of the principle is that statutes are generally intended to endure for a long time, one can readily accept that multilateral international trade conventions, which are by statute incorporated in our law, should be approached in a similar way. </w:t>
      </w:r>
      <w:r w:rsidR="00A60C01" w:rsidRPr="00001F7B">
        <w:rPr>
          <w:rFonts w:eastAsiaTheme="minorEastAsia" w:cstheme="minorHAnsi"/>
          <w:color w:val="000000"/>
          <w:lang w:eastAsia="en-GB"/>
        </w:rPr>
        <w:t>Indeed,</w:t>
      </w:r>
      <w:r w:rsidR="007E0D98" w:rsidRPr="00001F7B">
        <w:rPr>
          <w:rFonts w:eastAsiaTheme="minorEastAsia" w:cstheme="minorHAnsi"/>
          <w:color w:val="000000"/>
          <w:lang w:eastAsia="en-GB"/>
        </w:rPr>
        <w:t xml:space="preserve"> one may say that a fortiori they ought to be so interpreted.”</w:t>
      </w:r>
    </w:p>
    <w:p w14:paraId="3E310B86" w14:textId="54D667E7" w:rsidR="008526F9" w:rsidRPr="00001F7B" w:rsidRDefault="008526F9" w:rsidP="00001F7B">
      <w:pPr>
        <w:widowControl w:val="0"/>
        <w:autoSpaceDE w:val="0"/>
        <w:autoSpaceDN w:val="0"/>
        <w:adjustRightInd w:val="0"/>
        <w:spacing w:after="0" w:line="240" w:lineRule="auto"/>
        <w:rPr>
          <w:rFonts w:cstheme="minorHAnsi"/>
        </w:rPr>
      </w:pPr>
    </w:p>
    <w:p w14:paraId="7A93DCE2" w14:textId="18CD85CB" w:rsidR="008526F9" w:rsidRPr="00001F7B" w:rsidRDefault="007E0D98" w:rsidP="00001F7B">
      <w:pPr>
        <w:widowControl w:val="0"/>
        <w:autoSpaceDE w:val="0"/>
        <w:autoSpaceDN w:val="0"/>
        <w:adjustRightInd w:val="0"/>
        <w:spacing w:after="0" w:line="240" w:lineRule="auto"/>
        <w:rPr>
          <w:rFonts w:eastAsiaTheme="minorEastAsia" w:cstheme="minorHAnsi"/>
          <w:color w:val="000000"/>
          <w:lang w:eastAsia="en-GB"/>
        </w:rPr>
      </w:pPr>
      <w:r w:rsidRPr="00001F7B">
        <w:rPr>
          <w:rFonts w:cstheme="minorHAnsi"/>
        </w:rPr>
        <w:t>Despite the abandonment of the distinction between meaning and application which had been proposed by Lord Waldock</w:t>
      </w:r>
      <w:r w:rsidR="00A60C01" w:rsidRPr="00001F7B">
        <w:rPr>
          <w:rFonts w:cstheme="minorHAnsi"/>
        </w:rPr>
        <w:t xml:space="preserve"> in the course of the creation of the VCLT</w:t>
      </w:r>
      <w:r w:rsidR="002F72A5" w:rsidRPr="00001F7B">
        <w:rPr>
          <w:rFonts w:cstheme="minorHAnsi"/>
        </w:rPr>
        <w:t>,</w:t>
      </w:r>
      <w:r w:rsidR="002F72A5" w:rsidRPr="00001F7B">
        <w:rPr>
          <w:rStyle w:val="FootnoteReference"/>
          <w:rFonts w:cstheme="minorHAnsi"/>
        </w:rPr>
        <w:footnoteReference w:id="176"/>
      </w:r>
      <w:r w:rsidR="002F72A5" w:rsidRPr="00001F7B">
        <w:rPr>
          <w:rFonts w:cstheme="minorHAnsi"/>
        </w:rPr>
        <w:t xml:space="preserve"> </w:t>
      </w:r>
      <w:r w:rsidR="00A60C01" w:rsidRPr="00001F7B">
        <w:rPr>
          <w:rFonts w:cstheme="minorHAnsi"/>
        </w:rPr>
        <w:t xml:space="preserve">it seems it is still capable of being applied in appropriate circumstances. In the context of CMR a word such as ‘damage’ </w:t>
      </w:r>
      <w:r w:rsidR="00DA7D5C" w:rsidRPr="00001F7B">
        <w:rPr>
          <w:rFonts w:cstheme="minorHAnsi"/>
        </w:rPr>
        <w:t>would seem to be capable of being applied to kinds of damage not envisaged by 1956 but now scientifically understood as such.</w:t>
      </w:r>
      <w:r w:rsidR="00A60C01" w:rsidRPr="00001F7B">
        <w:rPr>
          <w:rFonts w:cstheme="minorHAnsi"/>
        </w:rPr>
        <w:t xml:space="preserve"> </w:t>
      </w:r>
      <w:r w:rsidR="008526F9" w:rsidRPr="00001F7B">
        <w:rPr>
          <w:rFonts w:eastAsiaTheme="minorEastAsia" w:cstheme="minorHAnsi"/>
          <w:color w:val="000000"/>
          <w:lang w:eastAsia="en-GB"/>
        </w:rPr>
        <w:t> </w:t>
      </w:r>
    </w:p>
    <w:p w14:paraId="38ACD4EC" w14:textId="45B20D5D" w:rsidR="0020262E" w:rsidRPr="00001F7B" w:rsidRDefault="0020262E" w:rsidP="00001F7B">
      <w:pPr>
        <w:widowControl w:val="0"/>
        <w:autoSpaceDE w:val="0"/>
        <w:autoSpaceDN w:val="0"/>
        <w:adjustRightInd w:val="0"/>
        <w:spacing w:after="0" w:line="240" w:lineRule="auto"/>
        <w:rPr>
          <w:rFonts w:eastAsiaTheme="minorEastAsia" w:cstheme="minorHAnsi"/>
          <w:color w:val="000000"/>
          <w:lang w:eastAsia="en-GB"/>
        </w:rPr>
      </w:pPr>
    </w:p>
    <w:p w14:paraId="1A08EDAB" w14:textId="77777777" w:rsidR="005F4DAA" w:rsidRPr="00001F7B" w:rsidRDefault="00D72701" w:rsidP="00001F7B">
      <w:pPr>
        <w:widowControl w:val="0"/>
        <w:autoSpaceDE w:val="0"/>
        <w:autoSpaceDN w:val="0"/>
        <w:adjustRightInd w:val="0"/>
        <w:spacing w:after="0" w:line="240" w:lineRule="auto"/>
        <w:rPr>
          <w:rFonts w:eastAsiaTheme="minorEastAsia" w:cstheme="minorHAnsi"/>
          <w:color w:val="000000"/>
          <w:lang w:eastAsia="en-GB"/>
        </w:rPr>
      </w:pPr>
      <w:r w:rsidRPr="00001F7B">
        <w:rPr>
          <w:rFonts w:eastAsiaTheme="minorEastAsia" w:cstheme="minorHAnsi"/>
          <w:color w:val="000000"/>
          <w:lang w:eastAsia="en-GB"/>
        </w:rPr>
        <w:t xml:space="preserve">A further guide </w:t>
      </w:r>
      <w:r w:rsidR="00FA45DB" w:rsidRPr="00001F7B">
        <w:rPr>
          <w:rFonts w:eastAsiaTheme="minorEastAsia" w:cstheme="minorHAnsi"/>
          <w:color w:val="000000"/>
          <w:lang w:eastAsia="en-GB"/>
        </w:rPr>
        <w:t xml:space="preserve">to the possibility of words having an evolutionary effect is provided by </w:t>
      </w:r>
      <w:r w:rsidR="00DC109B" w:rsidRPr="00001F7B">
        <w:rPr>
          <w:rFonts w:eastAsiaTheme="minorEastAsia" w:cstheme="minorHAnsi"/>
          <w:color w:val="000000"/>
          <w:lang w:eastAsia="en-GB"/>
        </w:rPr>
        <w:t>G</w:t>
      </w:r>
      <w:r w:rsidR="00FA45DB" w:rsidRPr="00001F7B">
        <w:rPr>
          <w:rFonts w:eastAsiaTheme="minorEastAsia" w:cstheme="minorHAnsi"/>
          <w:color w:val="000000"/>
          <w:lang w:eastAsia="en-GB"/>
        </w:rPr>
        <w:t>ardiner.</w:t>
      </w:r>
      <w:r w:rsidR="00FA45DB" w:rsidRPr="00001F7B">
        <w:rPr>
          <w:rStyle w:val="FootnoteReference"/>
          <w:rFonts w:eastAsiaTheme="minorEastAsia" w:cstheme="minorHAnsi"/>
          <w:color w:val="000000"/>
          <w:lang w:eastAsia="en-GB"/>
        </w:rPr>
        <w:footnoteReference w:id="177"/>
      </w:r>
      <w:r w:rsidR="001E477B" w:rsidRPr="00001F7B">
        <w:rPr>
          <w:rFonts w:eastAsiaTheme="minorEastAsia" w:cstheme="minorHAnsi"/>
          <w:color w:val="000000"/>
          <w:lang w:eastAsia="en-GB"/>
        </w:rPr>
        <w:t xml:space="preserve"> </w:t>
      </w:r>
      <w:r w:rsidR="00DC109B" w:rsidRPr="00001F7B">
        <w:rPr>
          <w:rFonts w:eastAsiaTheme="minorEastAsia" w:cstheme="minorHAnsi"/>
          <w:color w:val="000000"/>
          <w:lang w:eastAsia="en-GB"/>
        </w:rPr>
        <w:t xml:space="preserve"> </w:t>
      </w:r>
      <w:r w:rsidR="00FA45DB" w:rsidRPr="00001F7B">
        <w:rPr>
          <w:rFonts w:eastAsiaTheme="minorEastAsia" w:cstheme="minorHAnsi"/>
          <w:color w:val="000000"/>
          <w:lang w:eastAsia="en-GB"/>
        </w:rPr>
        <w:t xml:space="preserve">He notes that in the </w:t>
      </w:r>
      <w:r w:rsidR="00DC109B" w:rsidRPr="00001F7B">
        <w:rPr>
          <w:rFonts w:eastAsiaTheme="minorEastAsia" w:cstheme="minorHAnsi"/>
          <w:i/>
          <w:iCs/>
          <w:color w:val="000000"/>
          <w:lang w:eastAsia="en-GB"/>
        </w:rPr>
        <w:t xml:space="preserve">Iron Rhine </w:t>
      </w:r>
      <w:r w:rsidR="00FA45DB" w:rsidRPr="00001F7B">
        <w:rPr>
          <w:rFonts w:eastAsiaTheme="minorEastAsia" w:cstheme="minorHAnsi"/>
          <w:i/>
          <w:iCs/>
          <w:color w:val="000000"/>
          <w:lang w:eastAsia="en-GB"/>
        </w:rPr>
        <w:t>Railway</w:t>
      </w:r>
      <w:r w:rsidR="00FA45DB" w:rsidRPr="00001F7B">
        <w:rPr>
          <w:rStyle w:val="FootnoteReference"/>
          <w:rFonts w:eastAsiaTheme="minorEastAsia" w:cstheme="minorHAnsi"/>
          <w:color w:val="000000"/>
          <w:lang w:eastAsia="en-GB"/>
        </w:rPr>
        <w:footnoteReference w:id="178"/>
      </w:r>
      <w:r w:rsidR="00FA45DB" w:rsidRPr="00001F7B">
        <w:rPr>
          <w:rFonts w:eastAsiaTheme="minorEastAsia" w:cstheme="minorHAnsi"/>
          <w:color w:val="000000"/>
          <w:lang w:eastAsia="en-GB"/>
        </w:rPr>
        <w:t xml:space="preserve"> case reference was made to </w:t>
      </w:r>
      <w:r w:rsidR="00DC109B" w:rsidRPr="00001F7B">
        <w:rPr>
          <w:rFonts w:eastAsiaTheme="minorEastAsia" w:cstheme="minorHAnsi"/>
          <w:color w:val="000000"/>
          <w:lang w:eastAsia="en-GB"/>
        </w:rPr>
        <w:t xml:space="preserve">the acceptance in treaty interpretation that some terms, such as conceptual or generic terms are to be taken as having </w:t>
      </w:r>
      <w:r w:rsidR="006E617C" w:rsidRPr="00001F7B">
        <w:rPr>
          <w:rFonts w:eastAsiaTheme="minorEastAsia" w:cstheme="minorHAnsi"/>
          <w:color w:val="000000"/>
          <w:lang w:eastAsia="en-GB"/>
        </w:rPr>
        <w:t>a meaning necessarily following evolution of th</w:t>
      </w:r>
      <w:r w:rsidR="001E477B" w:rsidRPr="00001F7B">
        <w:rPr>
          <w:rFonts w:eastAsiaTheme="minorEastAsia" w:cstheme="minorHAnsi"/>
          <w:color w:val="000000"/>
          <w:lang w:eastAsia="en-GB"/>
        </w:rPr>
        <w:t xml:space="preserve">e </w:t>
      </w:r>
      <w:r w:rsidR="006E617C" w:rsidRPr="00001F7B">
        <w:rPr>
          <w:rFonts w:eastAsiaTheme="minorEastAsia" w:cstheme="minorHAnsi"/>
          <w:color w:val="000000"/>
          <w:lang w:eastAsia="en-GB"/>
        </w:rPr>
        <w:t xml:space="preserve">law. </w:t>
      </w:r>
      <w:r w:rsidR="00905794" w:rsidRPr="00001F7B">
        <w:rPr>
          <w:rFonts w:eastAsiaTheme="minorEastAsia" w:cstheme="minorHAnsi"/>
          <w:color w:val="000000"/>
          <w:lang w:eastAsia="en-GB"/>
        </w:rPr>
        <w:t xml:space="preserve">More precisely </w:t>
      </w:r>
      <w:r w:rsidR="00FA45DB" w:rsidRPr="00001F7B">
        <w:rPr>
          <w:rFonts w:eastAsiaTheme="minorEastAsia" w:cstheme="minorHAnsi"/>
          <w:color w:val="000000"/>
          <w:lang w:eastAsia="en-GB"/>
        </w:rPr>
        <w:t xml:space="preserve">in that case </w:t>
      </w:r>
      <w:r w:rsidR="00905794" w:rsidRPr="00001F7B">
        <w:rPr>
          <w:rFonts w:eastAsiaTheme="minorEastAsia" w:cstheme="minorHAnsi"/>
          <w:color w:val="000000"/>
          <w:lang w:eastAsia="en-GB"/>
        </w:rPr>
        <w:t>the Tribunal said that t</w:t>
      </w:r>
      <w:r w:rsidR="00504898" w:rsidRPr="00001F7B">
        <w:rPr>
          <w:rFonts w:eastAsiaTheme="minorEastAsia" w:cstheme="minorHAnsi"/>
          <w:color w:val="000000"/>
          <w:lang w:eastAsia="en-GB"/>
        </w:rPr>
        <w:t xml:space="preserve">he understanding of conceptual </w:t>
      </w:r>
      <w:r w:rsidR="004F3B8A" w:rsidRPr="00001F7B">
        <w:rPr>
          <w:rFonts w:eastAsiaTheme="minorEastAsia" w:cstheme="minorHAnsi"/>
          <w:color w:val="000000"/>
          <w:lang w:eastAsia="en-GB"/>
        </w:rPr>
        <w:t xml:space="preserve">or generic </w:t>
      </w:r>
      <w:r w:rsidR="00504898" w:rsidRPr="00001F7B">
        <w:rPr>
          <w:rFonts w:eastAsiaTheme="minorEastAsia" w:cstheme="minorHAnsi"/>
          <w:color w:val="000000"/>
          <w:lang w:eastAsia="en-GB"/>
        </w:rPr>
        <w:t xml:space="preserve">terms </w:t>
      </w:r>
      <w:r w:rsidR="004F3B8A" w:rsidRPr="00001F7B">
        <w:rPr>
          <w:rFonts w:eastAsiaTheme="minorEastAsia" w:cstheme="minorHAnsi"/>
          <w:color w:val="000000"/>
          <w:lang w:eastAsia="en-GB"/>
        </w:rPr>
        <w:t>may be seen as an essentially relative question</w:t>
      </w:r>
      <w:r w:rsidR="005F0B74" w:rsidRPr="00001F7B">
        <w:rPr>
          <w:rFonts w:eastAsiaTheme="minorEastAsia" w:cstheme="minorHAnsi"/>
          <w:color w:val="000000"/>
          <w:lang w:eastAsia="en-GB"/>
        </w:rPr>
        <w:t>.</w:t>
      </w:r>
      <w:r w:rsidR="004F3B8A" w:rsidRPr="00001F7B">
        <w:rPr>
          <w:rStyle w:val="FootnoteReference"/>
          <w:rFonts w:eastAsiaTheme="minorEastAsia" w:cstheme="minorHAnsi"/>
          <w:color w:val="000000"/>
          <w:lang w:eastAsia="en-GB"/>
        </w:rPr>
        <w:footnoteReference w:id="179"/>
      </w:r>
      <w:r w:rsidR="004F3B8A" w:rsidRPr="00001F7B">
        <w:rPr>
          <w:rFonts w:eastAsiaTheme="minorEastAsia" w:cstheme="minorHAnsi"/>
          <w:color w:val="000000"/>
          <w:lang w:eastAsia="en-GB"/>
        </w:rPr>
        <w:t xml:space="preserve">  </w:t>
      </w:r>
      <w:r w:rsidR="005F4DAA" w:rsidRPr="00001F7B">
        <w:rPr>
          <w:rFonts w:eastAsiaTheme="minorEastAsia" w:cstheme="minorHAnsi"/>
          <w:color w:val="000000"/>
          <w:lang w:eastAsia="en-GB"/>
        </w:rPr>
        <w:t>S</w:t>
      </w:r>
      <w:r w:rsidR="00905794" w:rsidRPr="00001F7B">
        <w:rPr>
          <w:rFonts w:eastAsiaTheme="minorEastAsia" w:cstheme="minorHAnsi"/>
          <w:color w:val="000000"/>
          <w:lang w:eastAsia="en-GB"/>
        </w:rPr>
        <w:t>ome</w:t>
      </w:r>
      <w:r w:rsidR="00AA0E4F" w:rsidRPr="00001F7B">
        <w:rPr>
          <w:rFonts w:eastAsiaTheme="minorEastAsia" w:cstheme="minorHAnsi"/>
          <w:color w:val="000000"/>
          <w:lang w:eastAsia="en-GB"/>
        </w:rPr>
        <w:t xml:space="preserve"> terms are not static but are by definition evolutionary, the parties being deemed to have accepted them as such</w:t>
      </w:r>
      <w:r w:rsidR="005F4DAA" w:rsidRPr="00001F7B">
        <w:rPr>
          <w:rFonts w:eastAsiaTheme="minorEastAsia" w:cstheme="minorHAnsi"/>
          <w:color w:val="000000"/>
          <w:lang w:eastAsia="en-GB"/>
        </w:rPr>
        <w:t>.</w:t>
      </w:r>
      <w:r w:rsidR="00AA0E4F" w:rsidRPr="00001F7B">
        <w:rPr>
          <w:rStyle w:val="FootnoteReference"/>
          <w:rFonts w:eastAsiaTheme="minorEastAsia" w:cstheme="minorHAnsi"/>
          <w:color w:val="000000"/>
          <w:lang w:eastAsia="en-GB"/>
        </w:rPr>
        <w:footnoteReference w:id="180"/>
      </w:r>
      <w:r w:rsidR="00AA0E4F" w:rsidRPr="00001F7B">
        <w:rPr>
          <w:rFonts w:eastAsiaTheme="minorEastAsia" w:cstheme="minorHAnsi"/>
          <w:color w:val="000000"/>
          <w:lang w:eastAsia="en-GB"/>
        </w:rPr>
        <w:t xml:space="preserve"> </w:t>
      </w:r>
      <w:r w:rsidR="005F4DAA" w:rsidRPr="00001F7B">
        <w:rPr>
          <w:rFonts w:eastAsiaTheme="minorEastAsia" w:cstheme="minorHAnsi"/>
          <w:color w:val="000000"/>
          <w:lang w:eastAsia="en-GB"/>
        </w:rPr>
        <w:t>F</w:t>
      </w:r>
      <w:r w:rsidR="00905794" w:rsidRPr="00001F7B">
        <w:rPr>
          <w:rFonts w:eastAsiaTheme="minorEastAsia" w:cstheme="minorHAnsi"/>
          <w:color w:val="000000"/>
          <w:lang w:eastAsia="en-GB"/>
        </w:rPr>
        <w:t>inally</w:t>
      </w:r>
      <w:r w:rsidR="005F4DAA" w:rsidRPr="00001F7B">
        <w:rPr>
          <w:rFonts w:eastAsiaTheme="minorEastAsia" w:cstheme="minorHAnsi"/>
          <w:color w:val="000000"/>
          <w:lang w:eastAsia="en-GB"/>
        </w:rPr>
        <w:t xml:space="preserve">, </w:t>
      </w:r>
      <w:r w:rsidR="00905794" w:rsidRPr="00001F7B">
        <w:rPr>
          <w:rFonts w:eastAsiaTheme="minorEastAsia" w:cstheme="minorHAnsi"/>
          <w:color w:val="000000"/>
          <w:lang w:eastAsia="en-GB"/>
        </w:rPr>
        <w:t xml:space="preserve">where a term can be classified as generic the presumption necessarily arises that its meaning was intended to follow the evolution of the law and to correspond with the meaning attached to the expression by </w:t>
      </w:r>
      <w:r w:rsidR="00077F8A" w:rsidRPr="00001F7B">
        <w:rPr>
          <w:rFonts w:eastAsiaTheme="minorEastAsia" w:cstheme="minorHAnsi"/>
          <w:color w:val="000000"/>
          <w:lang w:eastAsia="en-GB"/>
        </w:rPr>
        <w:t>the law in force at any given time.</w:t>
      </w:r>
      <w:r w:rsidR="00077F8A" w:rsidRPr="00001F7B">
        <w:rPr>
          <w:rStyle w:val="FootnoteReference"/>
          <w:rFonts w:eastAsiaTheme="minorEastAsia" w:cstheme="minorHAnsi"/>
          <w:color w:val="000000"/>
          <w:lang w:eastAsia="en-GB"/>
        </w:rPr>
        <w:footnoteReference w:id="181"/>
      </w:r>
      <w:r w:rsidR="007D27DD" w:rsidRPr="00001F7B">
        <w:rPr>
          <w:rFonts w:eastAsiaTheme="minorEastAsia" w:cstheme="minorHAnsi"/>
          <w:color w:val="000000"/>
          <w:lang w:eastAsia="en-GB"/>
        </w:rPr>
        <w:t xml:space="preserve"> </w:t>
      </w:r>
    </w:p>
    <w:p w14:paraId="0A731AFB" w14:textId="7A5B1333" w:rsidR="004729E7" w:rsidRPr="00001F7B" w:rsidRDefault="007D27DD" w:rsidP="00001F7B">
      <w:pPr>
        <w:widowControl w:val="0"/>
        <w:autoSpaceDE w:val="0"/>
        <w:autoSpaceDN w:val="0"/>
        <w:adjustRightInd w:val="0"/>
        <w:spacing w:after="0" w:line="240" w:lineRule="auto"/>
        <w:rPr>
          <w:rFonts w:cstheme="minorHAnsi"/>
          <w:color w:val="2A2A2A"/>
          <w:shd w:val="clear" w:color="auto" w:fill="FFFFFF"/>
        </w:rPr>
      </w:pPr>
      <w:r w:rsidRPr="00001F7B">
        <w:rPr>
          <w:rFonts w:eastAsiaTheme="minorEastAsia" w:cstheme="minorHAnsi"/>
          <w:color w:val="000000"/>
          <w:lang w:eastAsia="en-GB"/>
        </w:rPr>
        <w:t xml:space="preserve">In the </w:t>
      </w:r>
      <w:r w:rsidRPr="00001F7B">
        <w:rPr>
          <w:rStyle w:val="Emphasis"/>
          <w:rFonts w:cstheme="minorHAnsi"/>
          <w:color w:val="2A2A2A"/>
          <w:bdr w:val="none" w:sz="0" w:space="0" w:color="auto" w:frame="1"/>
          <w:shd w:val="clear" w:color="auto" w:fill="FFFFFF"/>
        </w:rPr>
        <w:t>Dispute regarding Navigational and Related Rights (Costa Rica v Nicaragua)</w:t>
      </w:r>
      <w:r w:rsidRPr="00001F7B">
        <w:rPr>
          <w:rFonts w:cstheme="minorHAnsi"/>
          <w:color w:val="2A2A2A"/>
          <w:shd w:val="clear" w:color="auto" w:fill="FFFFFF"/>
        </w:rPr>
        <w:t> case,</w:t>
      </w:r>
      <w:r w:rsidRPr="00001F7B">
        <w:rPr>
          <w:rStyle w:val="FootnoteReference"/>
          <w:rFonts w:cstheme="minorHAnsi"/>
          <w:color w:val="2A2A2A"/>
          <w:shd w:val="clear" w:color="auto" w:fill="FFFFFF"/>
        </w:rPr>
        <w:footnoteReference w:id="182"/>
      </w:r>
      <w:r w:rsidRPr="00001F7B">
        <w:rPr>
          <w:rFonts w:cstheme="minorHAnsi"/>
          <w:color w:val="2A2A2A"/>
          <w:shd w:val="clear" w:color="auto" w:fill="FFFFFF"/>
        </w:rPr>
        <w:t xml:space="preserve"> </w:t>
      </w:r>
      <w:r w:rsidR="00E56D4A" w:rsidRPr="00001F7B">
        <w:rPr>
          <w:rFonts w:cstheme="minorHAnsi"/>
          <w:color w:val="2A2A2A"/>
          <w:shd w:val="clear" w:color="auto" w:fill="FFFFFF"/>
        </w:rPr>
        <w:t>the court held</w:t>
      </w:r>
      <w:r w:rsidR="00FD7943" w:rsidRPr="00001F7B">
        <w:rPr>
          <w:rFonts w:cstheme="minorHAnsi"/>
          <w:color w:val="2A2A2A"/>
          <w:shd w:val="clear" w:color="auto" w:fill="FFFFFF"/>
        </w:rPr>
        <w:t>,</w:t>
      </w:r>
      <w:r w:rsidR="00E56D4A" w:rsidRPr="00001F7B">
        <w:rPr>
          <w:rFonts w:cstheme="minorHAnsi"/>
          <w:color w:val="2A2A2A"/>
          <w:shd w:val="clear" w:color="auto" w:fill="FFFFFF"/>
        </w:rPr>
        <w:t xml:space="preserve"> that the phrase ‘for the purposes of commerce’ in a treaty of 1858</w:t>
      </w:r>
      <w:r w:rsidR="00FD7943" w:rsidRPr="00001F7B">
        <w:rPr>
          <w:rFonts w:cstheme="minorHAnsi"/>
          <w:color w:val="2A2A2A"/>
          <w:shd w:val="clear" w:color="auto" w:fill="FFFFFF"/>
        </w:rPr>
        <w:t>,</w:t>
      </w:r>
      <w:r w:rsidR="00E56D4A" w:rsidRPr="00001F7B">
        <w:rPr>
          <w:rFonts w:cstheme="minorHAnsi"/>
          <w:color w:val="2A2A2A"/>
          <w:shd w:val="clear" w:color="auto" w:fill="FFFFFF"/>
        </w:rPr>
        <w:t xml:space="preserve"> on an evolutionary interpretation must be interpreted </w:t>
      </w:r>
      <w:r w:rsidR="004729E7" w:rsidRPr="00001F7B">
        <w:rPr>
          <w:rFonts w:cstheme="minorHAnsi"/>
          <w:color w:val="2A2A2A"/>
          <w:shd w:val="clear" w:color="auto" w:fill="FFFFFF"/>
        </w:rPr>
        <w:t>as</w:t>
      </w:r>
      <w:r w:rsidR="00E56D4A" w:rsidRPr="00001F7B">
        <w:rPr>
          <w:rFonts w:cstheme="minorHAnsi"/>
          <w:color w:val="2A2A2A"/>
          <w:shd w:val="clear" w:color="auto" w:fill="FFFFFF"/>
        </w:rPr>
        <w:t xml:space="preserve"> cover</w:t>
      </w:r>
      <w:r w:rsidR="004729E7" w:rsidRPr="00001F7B">
        <w:rPr>
          <w:rFonts w:cstheme="minorHAnsi"/>
          <w:color w:val="2A2A2A"/>
          <w:shd w:val="clear" w:color="auto" w:fill="FFFFFF"/>
        </w:rPr>
        <w:t>ing</w:t>
      </w:r>
      <w:r w:rsidR="00E56D4A" w:rsidRPr="00001F7B">
        <w:rPr>
          <w:rFonts w:cstheme="minorHAnsi"/>
          <w:color w:val="2A2A2A"/>
          <w:shd w:val="clear" w:color="auto" w:fill="FFFFFF"/>
        </w:rPr>
        <w:t xml:space="preserve"> all modern forms of commerce, including tourism. Where the parties have used generic terms in a treaty, the parties necessarily having been aware that the meaning of the terms was likely to evolve over time, and where the treaty has been entered into for a very long period, the Court said, the parties must be presumed, as a general rule, to have intended those terms to have an e</w:t>
      </w:r>
      <w:r w:rsidR="00D81958" w:rsidRPr="00001F7B">
        <w:rPr>
          <w:rFonts w:cstheme="minorHAnsi"/>
          <w:color w:val="2A2A2A"/>
          <w:shd w:val="clear" w:color="auto" w:fill="FFFFFF"/>
        </w:rPr>
        <w:t>v</w:t>
      </w:r>
      <w:r w:rsidR="00E56D4A" w:rsidRPr="00001F7B">
        <w:rPr>
          <w:rFonts w:cstheme="minorHAnsi"/>
          <w:color w:val="2A2A2A"/>
          <w:shd w:val="clear" w:color="auto" w:fill="FFFFFF"/>
        </w:rPr>
        <w:t>olving meaning.</w:t>
      </w:r>
      <w:r w:rsidR="007E26FD" w:rsidRPr="00001F7B">
        <w:rPr>
          <w:rStyle w:val="FootnoteReference"/>
          <w:rFonts w:cstheme="minorHAnsi"/>
          <w:color w:val="2A2A2A"/>
          <w:shd w:val="clear" w:color="auto" w:fill="FFFFFF"/>
        </w:rPr>
        <w:footnoteReference w:id="183"/>
      </w:r>
      <w:r w:rsidR="001C037D" w:rsidRPr="00001F7B">
        <w:rPr>
          <w:rFonts w:cstheme="minorHAnsi"/>
          <w:color w:val="2A2A2A"/>
          <w:shd w:val="clear" w:color="auto" w:fill="FFFFFF"/>
        </w:rPr>
        <w:t xml:space="preserve"> </w:t>
      </w:r>
    </w:p>
    <w:p w14:paraId="086024C3" w14:textId="77777777" w:rsidR="004729E7" w:rsidRPr="00001F7B" w:rsidRDefault="004729E7" w:rsidP="00001F7B">
      <w:pPr>
        <w:widowControl w:val="0"/>
        <w:autoSpaceDE w:val="0"/>
        <w:autoSpaceDN w:val="0"/>
        <w:adjustRightInd w:val="0"/>
        <w:spacing w:after="0" w:line="240" w:lineRule="auto"/>
        <w:rPr>
          <w:rFonts w:cstheme="minorHAnsi"/>
          <w:color w:val="2A2A2A"/>
          <w:shd w:val="clear" w:color="auto" w:fill="FFFFFF"/>
        </w:rPr>
      </w:pPr>
    </w:p>
    <w:p w14:paraId="79F8FF03" w14:textId="4BF18F99" w:rsidR="00D37C97" w:rsidRPr="00001F7B" w:rsidRDefault="004729E7" w:rsidP="00001F7B">
      <w:pPr>
        <w:widowControl w:val="0"/>
        <w:autoSpaceDE w:val="0"/>
        <w:autoSpaceDN w:val="0"/>
        <w:adjustRightInd w:val="0"/>
        <w:spacing w:after="0" w:line="240" w:lineRule="auto"/>
        <w:rPr>
          <w:rFonts w:cstheme="minorHAnsi"/>
          <w:color w:val="2A2A2A"/>
          <w:shd w:val="clear" w:color="auto" w:fill="FFFFFF"/>
        </w:rPr>
      </w:pPr>
      <w:r w:rsidRPr="00001F7B">
        <w:rPr>
          <w:rFonts w:cstheme="minorHAnsi"/>
          <w:color w:val="2A2A2A"/>
          <w:shd w:val="clear" w:color="auto" w:fill="FFFFFF"/>
        </w:rPr>
        <w:t xml:space="preserve">To conclude this </w:t>
      </w:r>
      <w:r w:rsidR="00FD7943" w:rsidRPr="00001F7B">
        <w:rPr>
          <w:rFonts w:cstheme="minorHAnsi"/>
          <w:color w:val="2A2A2A"/>
          <w:shd w:val="clear" w:color="auto" w:fill="FFFFFF"/>
        </w:rPr>
        <w:t>section,</w:t>
      </w:r>
      <w:r w:rsidRPr="00001F7B">
        <w:rPr>
          <w:rFonts w:cstheme="minorHAnsi"/>
          <w:color w:val="2A2A2A"/>
          <w:shd w:val="clear" w:color="auto" w:fill="FFFFFF"/>
        </w:rPr>
        <w:t xml:space="preserve"> note that </w:t>
      </w:r>
      <w:proofErr w:type="spellStart"/>
      <w:r w:rsidR="001C037D" w:rsidRPr="00001F7B">
        <w:rPr>
          <w:rFonts w:cstheme="minorHAnsi"/>
          <w:color w:val="2A2A2A"/>
          <w:shd w:val="clear" w:color="auto" w:fill="FFFFFF"/>
        </w:rPr>
        <w:t>Bjorge</w:t>
      </w:r>
      <w:proofErr w:type="spellEnd"/>
      <w:r w:rsidR="001C037D" w:rsidRPr="00001F7B">
        <w:rPr>
          <w:rFonts w:cstheme="minorHAnsi"/>
          <w:color w:val="2A2A2A"/>
          <w:shd w:val="clear" w:color="auto" w:fill="FFFFFF"/>
        </w:rPr>
        <w:t xml:space="preserve"> sees the evolutionary interpretation of treaties not as a separate method of interpretation</w:t>
      </w:r>
      <w:r w:rsidR="00D81958" w:rsidRPr="00001F7B">
        <w:rPr>
          <w:rFonts w:cstheme="minorHAnsi"/>
          <w:color w:val="2A2A2A"/>
          <w:shd w:val="clear" w:color="auto" w:fill="FFFFFF"/>
        </w:rPr>
        <w:t xml:space="preserve"> but </w:t>
      </w:r>
      <w:r w:rsidR="001C037D" w:rsidRPr="00001F7B">
        <w:rPr>
          <w:rFonts w:cstheme="minorHAnsi"/>
          <w:color w:val="2A2A2A"/>
          <w:shd w:val="clear" w:color="auto" w:fill="FFFFFF"/>
        </w:rPr>
        <w:t>rather the result of a proper application of the usual means of interpretation establish</w:t>
      </w:r>
      <w:r w:rsidR="00D81958" w:rsidRPr="00001F7B">
        <w:rPr>
          <w:rFonts w:cstheme="minorHAnsi"/>
          <w:color w:val="2A2A2A"/>
          <w:shd w:val="clear" w:color="auto" w:fill="FFFFFF"/>
        </w:rPr>
        <w:t>ing</w:t>
      </w:r>
      <w:r w:rsidR="001C037D" w:rsidRPr="00001F7B">
        <w:rPr>
          <w:rFonts w:cstheme="minorHAnsi"/>
          <w:color w:val="2A2A2A"/>
          <w:shd w:val="clear" w:color="auto" w:fill="FFFFFF"/>
        </w:rPr>
        <w:t xml:space="preserve"> the intention of the parties.</w:t>
      </w:r>
      <w:r w:rsidR="00857B53" w:rsidRPr="00001F7B">
        <w:rPr>
          <w:rFonts w:cstheme="minorHAnsi"/>
          <w:color w:val="2A2A2A"/>
          <w:shd w:val="clear" w:color="auto" w:fill="FFFFFF"/>
        </w:rPr>
        <w:t xml:space="preserve"> This is not a subjective intention but an objective intention as reflected by the text of the treaty and the other relevant factors in terms of interpretation.</w:t>
      </w:r>
      <w:r w:rsidR="00857B53" w:rsidRPr="00001F7B">
        <w:rPr>
          <w:rStyle w:val="FootnoteReference"/>
          <w:rFonts w:cstheme="minorHAnsi"/>
          <w:color w:val="2A2A2A"/>
          <w:shd w:val="clear" w:color="auto" w:fill="FFFFFF"/>
        </w:rPr>
        <w:footnoteReference w:id="184"/>
      </w:r>
      <w:r w:rsidR="006C66A9" w:rsidRPr="00001F7B">
        <w:rPr>
          <w:rFonts w:cstheme="minorHAnsi"/>
          <w:color w:val="2A2A2A"/>
          <w:shd w:val="clear" w:color="auto" w:fill="FFFFFF"/>
        </w:rPr>
        <w:t xml:space="preserve"> </w:t>
      </w:r>
    </w:p>
    <w:p w14:paraId="5E2552E3" w14:textId="77777777" w:rsidR="00B40C55" w:rsidRPr="00001F7B" w:rsidRDefault="00B40C55" w:rsidP="00001F7B">
      <w:pPr>
        <w:widowControl w:val="0"/>
        <w:autoSpaceDE w:val="0"/>
        <w:autoSpaceDN w:val="0"/>
        <w:adjustRightInd w:val="0"/>
        <w:spacing w:after="0" w:line="240" w:lineRule="auto"/>
        <w:rPr>
          <w:rFonts w:cstheme="minorHAnsi"/>
        </w:rPr>
      </w:pPr>
    </w:p>
    <w:p w14:paraId="6FE663B3" w14:textId="4C394BF4" w:rsidR="007F2641" w:rsidRPr="00001F7B" w:rsidRDefault="000B366B" w:rsidP="00001F7B">
      <w:pPr>
        <w:rPr>
          <w:rFonts w:cstheme="minorHAnsi"/>
          <w:b/>
          <w:bCs/>
        </w:rPr>
      </w:pPr>
      <w:r w:rsidRPr="00001F7B">
        <w:rPr>
          <w:rFonts w:cstheme="minorHAnsi"/>
          <w:b/>
          <w:bCs/>
        </w:rPr>
        <w:t>3.</w:t>
      </w:r>
      <w:r w:rsidR="00C65086" w:rsidRPr="00001F7B">
        <w:rPr>
          <w:rFonts w:cstheme="minorHAnsi"/>
          <w:b/>
          <w:bCs/>
        </w:rPr>
        <w:t>2</w:t>
      </w:r>
      <w:r w:rsidRPr="00001F7B">
        <w:rPr>
          <w:rFonts w:cstheme="minorHAnsi"/>
          <w:b/>
          <w:bCs/>
        </w:rPr>
        <w:t>.1.</w:t>
      </w:r>
      <w:r w:rsidR="003F3B35" w:rsidRPr="00001F7B">
        <w:rPr>
          <w:rFonts w:cstheme="minorHAnsi"/>
          <w:b/>
          <w:bCs/>
        </w:rPr>
        <w:t>5</w:t>
      </w:r>
      <w:r w:rsidRPr="00001F7B">
        <w:rPr>
          <w:rFonts w:cstheme="minorHAnsi"/>
          <w:b/>
          <w:bCs/>
        </w:rPr>
        <w:t xml:space="preserve"> </w:t>
      </w:r>
      <w:r w:rsidR="00896619" w:rsidRPr="00001F7B">
        <w:rPr>
          <w:rFonts w:cstheme="minorHAnsi"/>
          <w:b/>
          <w:bCs/>
        </w:rPr>
        <w:t>Object and purpose.</w:t>
      </w:r>
    </w:p>
    <w:p w14:paraId="6521B7A2" w14:textId="56D0B445" w:rsidR="00683600" w:rsidRPr="00001F7B" w:rsidRDefault="007F2641" w:rsidP="00001F7B">
      <w:pPr>
        <w:rPr>
          <w:rFonts w:cstheme="minorHAnsi"/>
        </w:rPr>
      </w:pPr>
      <w:r w:rsidRPr="00001F7B">
        <w:rPr>
          <w:rFonts w:cstheme="minorHAnsi"/>
        </w:rPr>
        <w:t>The ICL said little about object and purpose when preparing the VCLT.</w:t>
      </w:r>
      <w:r w:rsidRPr="00001F7B">
        <w:rPr>
          <w:rStyle w:val="FootnoteReference"/>
          <w:rFonts w:cstheme="minorHAnsi"/>
        </w:rPr>
        <w:footnoteReference w:id="185"/>
      </w:r>
      <w:r w:rsidR="00896619" w:rsidRPr="00001F7B">
        <w:rPr>
          <w:rFonts w:cstheme="minorHAnsi"/>
        </w:rPr>
        <w:t xml:space="preserve">  </w:t>
      </w:r>
      <w:r w:rsidR="00D15A93" w:rsidRPr="00001F7B">
        <w:rPr>
          <w:rFonts w:cstheme="minorHAnsi"/>
        </w:rPr>
        <w:t>There would seem to be significance in its reference to</w:t>
      </w:r>
      <w:r w:rsidR="00D15A93" w:rsidRPr="00001F7B">
        <w:rPr>
          <w:rFonts w:cstheme="minorHAnsi"/>
          <w:i/>
          <w:iCs/>
        </w:rPr>
        <w:t xml:space="preserve"> its</w:t>
      </w:r>
      <w:r w:rsidR="00D15A93" w:rsidRPr="00001F7B">
        <w:rPr>
          <w:rFonts w:cstheme="minorHAnsi"/>
        </w:rPr>
        <w:t xml:space="preserve"> </w:t>
      </w:r>
      <w:r w:rsidR="004A3765" w:rsidRPr="00001F7B">
        <w:rPr>
          <w:rFonts w:cstheme="minorHAnsi"/>
        </w:rPr>
        <w:t xml:space="preserve">(my emphasis) </w:t>
      </w:r>
      <w:r w:rsidR="00D15A93" w:rsidRPr="00001F7B">
        <w:rPr>
          <w:rFonts w:cstheme="minorHAnsi"/>
        </w:rPr>
        <w:t xml:space="preserve">object and </w:t>
      </w:r>
      <w:r w:rsidR="00AF62DB" w:rsidRPr="00001F7B">
        <w:rPr>
          <w:rFonts w:cstheme="minorHAnsi"/>
        </w:rPr>
        <w:t>purpose</w:t>
      </w:r>
      <w:r w:rsidR="00D7179B" w:rsidRPr="00001F7B">
        <w:rPr>
          <w:rFonts w:cstheme="minorHAnsi"/>
        </w:rPr>
        <w:t xml:space="preserve"> </w:t>
      </w:r>
      <w:r w:rsidR="00AF62DB" w:rsidRPr="00001F7B">
        <w:rPr>
          <w:rFonts w:cstheme="minorHAnsi"/>
        </w:rPr>
        <w:t>which suggests it means the treaty as a whole</w:t>
      </w:r>
      <w:r w:rsidR="00D15A93" w:rsidRPr="00001F7B">
        <w:rPr>
          <w:rFonts w:cstheme="minorHAnsi"/>
        </w:rPr>
        <w:t>.</w:t>
      </w:r>
      <w:r w:rsidR="00714773" w:rsidRPr="00001F7B">
        <w:rPr>
          <w:rStyle w:val="FootnoteReference"/>
          <w:rFonts w:cstheme="minorHAnsi"/>
        </w:rPr>
        <w:footnoteReference w:id="186"/>
      </w:r>
      <w:r w:rsidR="00D15A93" w:rsidRPr="00001F7B">
        <w:rPr>
          <w:rFonts w:cstheme="minorHAnsi"/>
        </w:rPr>
        <w:t xml:space="preserve"> It </w:t>
      </w:r>
      <w:r w:rsidR="00C95A70" w:rsidRPr="00001F7B">
        <w:rPr>
          <w:rFonts w:cstheme="minorHAnsi"/>
        </w:rPr>
        <w:t>does not</w:t>
      </w:r>
      <w:r w:rsidR="00D15A93" w:rsidRPr="00001F7B">
        <w:rPr>
          <w:rFonts w:cstheme="minorHAnsi"/>
        </w:rPr>
        <w:t xml:space="preserve"> refer to the text of the treaty</w:t>
      </w:r>
      <w:r w:rsidR="00AF62DB" w:rsidRPr="00001F7B">
        <w:rPr>
          <w:rFonts w:cstheme="minorHAnsi"/>
        </w:rPr>
        <w:t xml:space="preserve"> which</w:t>
      </w:r>
      <w:r w:rsidR="00D15A93" w:rsidRPr="00001F7B">
        <w:rPr>
          <w:rFonts w:cstheme="minorHAnsi"/>
        </w:rPr>
        <w:t xml:space="preserve"> </w:t>
      </w:r>
      <w:r w:rsidR="00C95A70" w:rsidRPr="00001F7B">
        <w:rPr>
          <w:rFonts w:cstheme="minorHAnsi"/>
        </w:rPr>
        <w:t xml:space="preserve">is </w:t>
      </w:r>
      <w:r w:rsidR="00D15A93" w:rsidRPr="00001F7B">
        <w:rPr>
          <w:rFonts w:cstheme="minorHAnsi"/>
        </w:rPr>
        <w:t xml:space="preserve">a mistake </w:t>
      </w:r>
      <w:r w:rsidR="00AF62DB" w:rsidRPr="00001F7B">
        <w:rPr>
          <w:rFonts w:cstheme="minorHAnsi"/>
        </w:rPr>
        <w:t xml:space="preserve">that </w:t>
      </w:r>
      <w:r w:rsidR="000B366B" w:rsidRPr="00001F7B">
        <w:rPr>
          <w:rFonts w:cstheme="minorHAnsi"/>
        </w:rPr>
        <w:t>writers</w:t>
      </w:r>
      <w:r w:rsidR="00AF62DB" w:rsidRPr="00001F7B">
        <w:rPr>
          <w:rFonts w:cstheme="minorHAnsi"/>
        </w:rPr>
        <w:t xml:space="preserve"> </w:t>
      </w:r>
      <w:r w:rsidR="00D15A93" w:rsidRPr="00001F7B">
        <w:rPr>
          <w:rFonts w:cstheme="minorHAnsi"/>
        </w:rPr>
        <w:t>sometimes ma</w:t>
      </w:r>
      <w:r w:rsidR="000B366B" w:rsidRPr="00001F7B">
        <w:rPr>
          <w:rFonts w:cstheme="minorHAnsi"/>
        </w:rPr>
        <w:t>k</w:t>
      </w:r>
      <w:r w:rsidR="00D15A93" w:rsidRPr="00001F7B">
        <w:rPr>
          <w:rFonts w:cstheme="minorHAnsi"/>
        </w:rPr>
        <w:t>e.</w:t>
      </w:r>
      <w:r w:rsidR="00D15A93" w:rsidRPr="00001F7B">
        <w:rPr>
          <w:rStyle w:val="FootnoteReference"/>
          <w:rFonts w:cstheme="minorHAnsi"/>
        </w:rPr>
        <w:footnoteReference w:id="187"/>
      </w:r>
      <w:r w:rsidR="00D15A93" w:rsidRPr="00001F7B">
        <w:rPr>
          <w:rFonts w:cstheme="minorHAnsi"/>
        </w:rPr>
        <w:t xml:space="preserve"> </w:t>
      </w:r>
      <w:r w:rsidR="00AF62DB" w:rsidRPr="00001F7B">
        <w:rPr>
          <w:rFonts w:cstheme="minorHAnsi"/>
        </w:rPr>
        <w:t xml:space="preserve">It is the text that has to be interpreted but it is the meaning in the light of the overall purpose that seems </w:t>
      </w:r>
      <w:r w:rsidR="00872B65" w:rsidRPr="00001F7B">
        <w:rPr>
          <w:rFonts w:cstheme="minorHAnsi"/>
        </w:rPr>
        <w:t xml:space="preserve">at first sight </w:t>
      </w:r>
      <w:r w:rsidR="00AF62DB" w:rsidRPr="00001F7B">
        <w:rPr>
          <w:rFonts w:cstheme="minorHAnsi"/>
        </w:rPr>
        <w:t>to be meant.</w:t>
      </w:r>
      <w:r w:rsidR="003F697A" w:rsidRPr="00001F7B">
        <w:rPr>
          <w:rFonts w:cstheme="minorHAnsi"/>
        </w:rPr>
        <w:t xml:space="preserve"> </w:t>
      </w:r>
      <w:r w:rsidR="004B0233" w:rsidRPr="00001F7B">
        <w:rPr>
          <w:rFonts w:cstheme="minorHAnsi"/>
        </w:rPr>
        <w:t xml:space="preserve">This makes most sense in the context of bilateral treaties where the purpose </w:t>
      </w:r>
      <w:r w:rsidR="00683600" w:rsidRPr="00001F7B">
        <w:rPr>
          <w:rFonts w:cstheme="minorHAnsi"/>
        </w:rPr>
        <w:t xml:space="preserve">or purposes </w:t>
      </w:r>
      <w:r w:rsidR="004B0233" w:rsidRPr="00001F7B">
        <w:rPr>
          <w:rFonts w:cstheme="minorHAnsi"/>
        </w:rPr>
        <w:t xml:space="preserve">of the treaty </w:t>
      </w:r>
      <w:r w:rsidR="00683600" w:rsidRPr="00001F7B">
        <w:rPr>
          <w:rFonts w:cstheme="minorHAnsi"/>
        </w:rPr>
        <w:t>are</w:t>
      </w:r>
      <w:r w:rsidR="004B0233" w:rsidRPr="00001F7B">
        <w:rPr>
          <w:rFonts w:cstheme="minorHAnsi"/>
        </w:rPr>
        <w:t xml:space="preserve"> the</w:t>
      </w:r>
      <w:r w:rsidR="0057547C" w:rsidRPr="00001F7B">
        <w:rPr>
          <w:rFonts w:cstheme="minorHAnsi"/>
        </w:rPr>
        <w:t xml:space="preserve"> main driver of the provisions.</w:t>
      </w:r>
      <w:r w:rsidR="00C95A70" w:rsidRPr="00001F7B">
        <w:rPr>
          <w:rStyle w:val="FootnoteReference"/>
          <w:rFonts w:cstheme="minorHAnsi"/>
        </w:rPr>
        <w:footnoteReference w:id="188"/>
      </w:r>
      <w:r w:rsidR="0057547C" w:rsidRPr="00001F7B">
        <w:rPr>
          <w:rFonts w:cstheme="minorHAnsi"/>
        </w:rPr>
        <w:t xml:space="preserve"> </w:t>
      </w:r>
      <w:r w:rsidR="008D367F" w:rsidRPr="00001F7B">
        <w:rPr>
          <w:rFonts w:cstheme="minorHAnsi"/>
        </w:rPr>
        <w:t>Nevertheless</w:t>
      </w:r>
      <w:r w:rsidR="00687161" w:rsidRPr="00001F7B">
        <w:rPr>
          <w:rFonts w:cstheme="minorHAnsi"/>
        </w:rPr>
        <w:t>,</w:t>
      </w:r>
      <w:r w:rsidR="006E2671" w:rsidRPr="00001F7B">
        <w:rPr>
          <w:rFonts w:cstheme="minorHAnsi"/>
        </w:rPr>
        <w:t xml:space="preserve"> there are suggestions that the purpose of</w:t>
      </w:r>
      <w:r w:rsidR="00687161" w:rsidRPr="00001F7B">
        <w:rPr>
          <w:rFonts w:cstheme="minorHAnsi"/>
        </w:rPr>
        <w:t xml:space="preserve"> an</w:t>
      </w:r>
      <w:r w:rsidR="006E2671" w:rsidRPr="00001F7B">
        <w:rPr>
          <w:rFonts w:cstheme="minorHAnsi"/>
        </w:rPr>
        <w:t xml:space="preserve"> individual provision is also meant which is natural </w:t>
      </w:r>
      <w:r w:rsidR="00687161" w:rsidRPr="00001F7B">
        <w:rPr>
          <w:rFonts w:cstheme="minorHAnsi"/>
        </w:rPr>
        <w:t>given that it is individual provisions which are being interpreted</w:t>
      </w:r>
      <w:r w:rsidR="007E1A29" w:rsidRPr="00001F7B">
        <w:rPr>
          <w:rFonts w:cstheme="minorHAnsi"/>
        </w:rPr>
        <w:t xml:space="preserve"> especially in the context of law making treaties</w:t>
      </w:r>
      <w:r w:rsidR="00687161" w:rsidRPr="00001F7B">
        <w:rPr>
          <w:rFonts w:cstheme="minorHAnsi"/>
        </w:rPr>
        <w:t>.</w:t>
      </w:r>
      <w:r w:rsidR="009D3E47" w:rsidRPr="00001F7B">
        <w:rPr>
          <w:rStyle w:val="FootnoteReference"/>
          <w:rFonts w:cstheme="minorHAnsi"/>
        </w:rPr>
        <w:footnoteReference w:id="189"/>
      </w:r>
      <w:r w:rsidR="00687161" w:rsidRPr="00001F7B">
        <w:rPr>
          <w:rFonts w:cstheme="minorHAnsi"/>
        </w:rPr>
        <w:t xml:space="preserve"> Gardiner</w:t>
      </w:r>
      <w:r w:rsidR="008631F1" w:rsidRPr="00001F7B">
        <w:rPr>
          <w:rStyle w:val="FootnoteReference"/>
          <w:rFonts w:cstheme="minorHAnsi"/>
        </w:rPr>
        <w:footnoteReference w:id="190"/>
      </w:r>
      <w:r w:rsidR="00687161" w:rsidRPr="00001F7B">
        <w:rPr>
          <w:rFonts w:cstheme="minorHAnsi"/>
        </w:rPr>
        <w:t xml:space="preserve"> refers to practice as showing that courts and tribuna</w:t>
      </w:r>
      <w:r w:rsidR="004A7603" w:rsidRPr="00001F7B">
        <w:rPr>
          <w:rFonts w:cstheme="minorHAnsi"/>
        </w:rPr>
        <w:t>ls have tended to treat ‘object and purpose’ as a single but broad remit</w:t>
      </w:r>
      <w:r w:rsidR="00D637A7" w:rsidRPr="00001F7B">
        <w:rPr>
          <w:rStyle w:val="FootnoteReference"/>
          <w:rFonts w:cstheme="minorHAnsi"/>
        </w:rPr>
        <w:footnoteReference w:id="191"/>
      </w:r>
      <w:r w:rsidR="004A7603" w:rsidRPr="00001F7B">
        <w:rPr>
          <w:rFonts w:cstheme="minorHAnsi"/>
        </w:rPr>
        <w:t xml:space="preserve"> </w:t>
      </w:r>
      <w:r w:rsidR="008631F1" w:rsidRPr="00001F7B">
        <w:rPr>
          <w:rFonts w:cstheme="minorHAnsi"/>
        </w:rPr>
        <w:t>and</w:t>
      </w:r>
      <w:r w:rsidR="004A7603" w:rsidRPr="00001F7B">
        <w:rPr>
          <w:rFonts w:cstheme="minorHAnsi"/>
        </w:rPr>
        <w:t xml:space="preserve"> goes on</w:t>
      </w:r>
      <w:r w:rsidR="008631F1" w:rsidRPr="00001F7B">
        <w:rPr>
          <w:rFonts w:cstheme="minorHAnsi"/>
        </w:rPr>
        <w:t>:</w:t>
      </w:r>
      <w:r w:rsidR="004A7603" w:rsidRPr="00001F7B">
        <w:rPr>
          <w:rFonts w:cstheme="minorHAnsi"/>
        </w:rPr>
        <w:t xml:space="preserve"> “and sometimes</w:t>
      </w:r>
      <w:r w:rsidR="004C6CD1" w:rsidRPr="00001F7B">
        <w:rPr>
          <w:rFonts w:cstheme="minorHAnsi"/>
        </w:rPr>
        <w:t xml:space="preserve"> </w:t>
      </w:r>
      <w:r w:rsidR="004A7603" w:rsidRPr="00001F7B">
        <w:rPr>
          <w:rFonts w:cstheme="minorHAnsi"/>
        </w:rPr>
        <w:t xml:space="preserve">there seems no particularity in distinguishing the object and purpose of the </w:t>
      </w:r>
      <w:r w:rsidR="008631F1" w:rsidRPr="00001F7B">
        <w:rPr>
          <w:rFonts w:cstheme="minorHAnsi"/>
        </w:rPr>
        <w:t>treaty</w:t>
      </w:r>
      <w:r w:rsidR="004A7603" w:rsidRPr="00001F7B">
        <w:rPr>
          <w:rFonts w:cstheme="minorHAnsi"/>
        </w:rPr>
        <w:t xml:space="preserve"> and the purpose of particular provisions.</w:t>
      </w:r>
      <w:r w:rsidR="00EC67F3" w:rsidRPr="00001F7B">
        <w:rPr>
          <w:rFonts w:cstheme="minorHAnsi"/>
        </w:rPr>
        <w:t xml:space="preserve"> </w:t>
      </w:r>
      <w:r w:rsidR="004A7603" w:rsidRPr="00001F7B">
        <w:rPr>
          <w:rFonts w:cstheme="minorHAnsi"/>
        </w:rPr>
        <w:t>These may, of course, be justifiably elided</w:t>
      </w:r>
      <w:r w:rsidR="008631F1" w:rsidRPr="00001F7B">
        <w:rPr>
          <w:rFonts w:cstheme="minorHAnsi"/>
        </w:rPr>
        <w:t xml:space="preserve">; but the purpose of a particular provision, in the sense of its role in the treaty and its delineating function in </w:t>
      </w:r>
      <w:r w:rsidR="00570BE9" w:rsidRPr="00001F7B">
        <w:rPr>
          <w:rFonts w:cstheme="minorHAnsi"/>
        </w:rPr>
        <w:t>t</w:t>
      </w:r>
      <w:r w:rsidR="008631F1" w:rsidRPr="00001F7B">
        <w:rPr>
          <w:rFonts w:cstheme="minorHAnsi"/>
        </w:rPr>
        <w:t>he scheme of the treaty is as much (or more) part of the context as an aid to identifying the ordinary meaning.</w:t>
      </w:r>
      <w:r w:rsidR="00570BE9" w:rsidRPr="00001F7B">
        <w:rPr>
          <w:rFonts w:cstheme="minorHAnsi"/>
        </w:rPr>
        <w:t>”</w:t>
      </w:r>
      <w:r w:rsidR="008631F1" w:rsidRPr="00001F7B">
        <w:rPr>
          <w:rFonts w:cstheme="minorHAnsi"/>
        </w:rPr>
        <w:t xml:space="preserve"> </w:t>
      </w:r>
      <w:r w:rsidR="00683600" w:rsidRPr="00001F7B">
        <w:rPr>
          <w:rFonts w:cstheme="minorHAnsi"/>
        </w:rPr>
        <w:t>This suggest</w:t>
      </w:r>
      <w:r w:rsidR="00C45A72" w:rsidRPr="00001F7B">
        <w:rPr>
          <w:rFonts w:cstheme="minorHAnsi"/>
        </w:rPr>
        <w:t>s</w:t>
      </w:r>
      <w:r w:rsidR="00683600" w:rsidRPr="00001F7B">
        <w:rPr>
          <w:rFonts w:cstheme="minorHAnsi"/>
        </w:rPr>
        <w:t xml:space="preserve"> that purpose has a role both generally and as part of the context.</w:t>
      </w:r>
      <w:r w:rsidR="00B35C21" w:rsidRPr="00001F7B">
        <w:rPr>
          <w:rFonts w:cstheme="minorHAnsi"/>
        </w:rPr>
        <w:t xml:space="preserve"> Arguably</w:t>
      </w:r>
      <w:r w:rsidR="006B5467" w:rsidRPr="00001F7B">
        <w:rPr>
          <w:rFonts w:cstheme="minorHAnsi"/>
        </w:rPr>
        <w:t>,</w:t>
      </w:r>
      <w:r w:rsidR="00B35C21" w:rsidRPr="00001F7B">
        <w:rPr>
          <w:rFonts w:cstheme="minorHAnsi"/>
        </w:rPr>
        <w:t xml:space="preserve"> the reference to object and purpose in art 31 is to the overall purpose of the treaty</w:t>
      </w:r>
      <w:r w:rsidR="00C32BBE" w:rsidRPr="00001F7B">
        <w:rPr>
          <w:rFonts w:cstheme="minorHAnsi"/>
        </w:rPr>
        <w:t xml:space="preserve"> which must be kept generally in mind</w:t>
      </w:r>
      <w:r w:rsidR="00B35C21" w:rsidRPr="00001F7B">
        <w:rPr>
          <w:rFonts w:cstheme="minorHAnsi"/>
        </w:rPr>
        <w:t>.  Purpose in respect of individual terms</w:t>
      </w:r>
      <w:r w:rsidR="00C32BBE" w:rsidRPr="00001F7B">
        <w:rPr>
          <w:rFonts w:cstheme="minorHAnsi"/>
        </w:rPr>
        <w:t xml:space="preserve"> is</w:t>
      </w:r>
      <w:r w:rsidR="00B35C21" w:rsidRPr="00001F7B">
        <w:rPr>
          <w:rFonts w:cstheme="minorHAnsi"/>
        </w:rPr>
        <w:t xml:space="preserve"> </w:t>
      </w:r>
      <w:r w:rsidR="006B5467" w:rsidRPr="00001F7B">
        <w:rPr>
          <w:rFonts w:cstheme="minorHAnsi"/>
        </w:rPr>
        <w:t>more a matter of context.</w:t>
      </w:r>
      <w:r w:rsidR="00B35C21" w:rsidRPr="00001F7B">
        <w:rPr>
          <w:rFonts w:cstheme="minorHAnsi"/>
        </w:rPr>
        <w:t xml:space="preserve"> </w:t>
      </w:r>
      <w:r w:rsidR="008554EA" w:rsidRPr="00001F7B">
        <w:rPr>
          <w:rFonts w:cstheme="minorHAnsi"/>
        </w:rPr>
        <w:t xml:space="preserve">As such it forms a natural part of the crucible and consideration of </w:t>
      </w:r>
      <w:r w:rsidR="00C01DE2" w:rsidRPr="00001F7B">
        <w:rPr>
          <w:rFonts w:cstheme="minorHAnsi"/>
        </w:rPr>
        <w:t>it is not subject to preconditions such as a finding of ambiguity</w:t>
      </w:r>
      <w:r w:rsidR="008554EA" w:rsidRPr="00001F7B">
        <w:rPr>
          <w:rFonts w:cstheme="minorHAnsi"/>
        </w:rPr>
        <w:t xml:space="preserve">.   </w:t>
      </w:r>
    </w:p>
    <w:p w14:paraId="2971BEAC" w14:textId="01A978EF" w:rsidR="0008219E" w:rsidRPr="00001F7B" w:rsidRDefault="00570BE9" w:rsidP="00001F7B">
      <w:pPr>
        <w:rPr>
          <w:rFonts w:cstheme="minorHAnsi"/>
        </w:rPr>
      </w:pPr>
      <w:r w:rsidRPr="00001F7B">
        <w:rPr>
          <w:rFonts w:cstheme="minorHAnsi"/>
        </w:rPr>
        <w:t xml:space="preserve">In the context of CMR </w:t>
      </w:r>
      <w:r w:rsidR="00671927" w:rsidRPr="00001F7B">
        <w:rPr>
          <w:rFonts w:cstheme="minorHAnsi"/>
        </w:rPr>
        <w:t xml:space="preserve">and other uniform conventions </w:t>
      </w:r>
      <w:r w:rsidRPr="00001F7B">
        <w:rPr>
          <w:rFonts w:cstheme="minorHAnsi"/>
        </w:rPr>
        <w:t>th</w:t>
      </w:r>
      <w:r w:rsidR="0009444E" w:rsidRPr="00001F7B">
        <w:rPr>
          <w:rFonts w:cstheme="minorHAnsi"/>
        </w:rPr>
        <w:t xml:space="preserve">e </w:t>
      </w:r>
      <w:r w:rsidRPr="00001F7B">
        <w:rPr>
          <w:rFonts w:cstheme="minorHAnsi"/>
        </w:rPr>
        <w:t xml:space="preserve">search for the purpose of a particular provision </w:t>
      </w:r>
      <w:r w:rsidR="0009444E" w:rsidRPr="00001F7B">
        <w:rPr>
          <w:rFonts w:cstheme="minorHAnsi"/>
        </w:rPr>
        <w:t xml:space="preserve">is sometimes given a preeminent role </w:t>
      </w:r>
      <w:r w:rsidRPr="00001F7B">
        <w:rPr>
          <w:rFonts w:cstheme="minorHAnsi"/>
        </w:rPr>
        <w:t>when seeking to determine i</w:t>
      </w:r>
      <w:r w:rsidR="004A0708" w:rsidRPr="00001F7B">
        <w:rPr>
          <w:rFonts w:cstheme="minorHAnsi"/>
        </w:rPr>
        <w:t>t</w:t>
      </w:r>
      <w:r w:rsidRPr="00001F7B">
        <w:rPr>
          <w:rFonts w:cstheme="minorHAnsi"/>
        </w:rPr>
        <w:t>s meaning</w:t>
      </w:r>
      <w:r w:rsidR="0009444E" w:rsidRPr="00001F7B">
        <w:rPr>
          <w:rFonts w:cstheme="minorHAnsi"/>
        </w:rPr>
        <w:t>.</w:t>
      </w:r>
      <w:r w:rsidR="0009444E" w:rsidRPr="00001F7B">
        <w:rPr>
          <w:rStyle w:val="FootnoteReference"/>
          <w:rFonts w:cstheme="minorHAnsi"/>
        </w:rPr>
        <w:footnoteReference w:id="192"/>
      </w:r>
      <w:r w:rsidR="00A602F3" w:rsidRPr="00001F7B">
        <w:rPr>
          <w:rFonts w:cstheme="minorHAnsi"/>
        </w:rPr>
        <w:t xml:space="preserve"> which is </w:t>
      </w:r>
      <w:r w:rsidR="0057547C" w:rsidRPr="00001F7B">
        <w:rPr>
          <w:rFonts w:cstheme="minorHAnsi"/>
        </w:rPr>
        <w:t>seen as</w:t>
      </w:r>
      <w:r w:rsidR="00A602F3" w:rsidRPr="00001F7B">
        <w:rPr>
          <w:rFonts w:cstheme="minorHAnsi"/>
        </w:rPr>
        <w:t xml:space="preserve"> included in</w:t>
      </w:r>
      <w:r w:rsidR="004A0708" w:rsidRPr="00001F7B">
        <w:rPr>
          <w:rFonts w:cstheme="minorHAnsi"/>
        </w:rPr>
        <w:t xml:space="preserve"> the teleological approach.</w:t>
      </w:r>
      <w:r w:rsidR="004A0708" w:rsidRPr="00001F7B">
        <w:rPr>
          <w:rStyle w:val="FootnoteReference"/>
          <w:rFonts w:cstheme="minorHAnsi"/>
        </w:rPr>
        <w:footnoteReference w:id="193"/>
      </w:r>
      <w:r w:rsidRPr="00001F7B">
        <w:rPr>
          <w:rFonts w:cstheme="minorHAnsi"/>
        </w:rPr>
        <w:t xml:space="preserve"> </w:t>
      </w:r>
      <w:r w:rsidR="006B5467" w:rsidRPr="00001F7B">
        <w:rPr>
          <w:rFonts w:cstheme="minorHAnsi"/>
        </w:rPr>
        <w:t>Some co</w:t>
      </w:r>
      <w:r w:rsidR="00683600" w:rsidRPr="00001F7B">
        <w:rPr>
          <w:rFonts w:cstheme="minorHAnsi"/>
        </w:rPr>
        <w:t xml:space="preserve">urts may nevertheless be wary of this. </w:t>
      </w:r>
      <w:r w:rsidR="006A355A" w:rsidRPr="00001F7B">
        <w:rPr>
          <w:rFonts w:cstheme="minorHAnsi"/>
        </w:rPr>
        <w:t>Megaw LJ i</w:t>
      </w:r>
      <w:r w:rsidR="00683600" w:rsidRPr="00001F7B">
        <w:rPr>
          <w:rFonts w:cstheme="minorHAnsi"/>
        </w:rPr>
        <w:t xml:space="preserve">n </w:t>
      </w:r>
      <w:r w:rsidR="00683600" w:rsidRPr="00001F7B">
        <w:rPr>
          <w:rFonts w:cstheme="minorHAnsi"/>
          <w:i/>
          <w:iCs/>
        </w:rPr>
        <w:t>Ulster Swift Ltd v Taunton Meat Haulage</w:t>
      </w:r>
      <w:r w:rsidR="00683600" w:rsidRPr="00001F7B">
        <w:rPr>
          <w:rFonts w:cstheme="minorHAnsi"/>
        </w:rPr>
        <w:t>,</w:t>
      </w:r>
      <w:r w:rsidR="00683600" w:rsidRPr="00001F7B">
        <w:rPr>
          <w:rStyle w:val="FootnoteReference"/>
          <w:rFonts w:cstheme="minorHAnsi"/>
        </w:rPr>
        <w:footnoteReference w:id="194"/>
      </w:r>
      <w:r w:rsidR="00E35832" w:rsidRPr="00001F7B">
        <w:rPr>
          <w:rFonts w:cstheme="minorHAnsi"/>
        </w:rPr>
        <w:t xml:space="preserve"> </w:t>
      </w:r>
      <w:r w:rsidR="006A355A" w:rsidRPr="00001F7B">
        <w:rPr>
          <w:rFonts w:cstheme="minorHAnsi"/>
        </w:rPr>
        <w:t xml:space="preserve">said that the dangers of the purposive approach were that judges become legislators with potentially widely differing views of the policy </w:t>
      </w:r>
      <w:r w:rsidR="001725C8" w:rsidRPr="00001F7B">
        <w:rPr>
          <w:rFonts w:cstheme="minorHAnsi"/>
        </w:rPr>
        <w:t>which was or ought to have been behind the legislation.</w:t>
      </w:r>
      <w:r w:rsidR="00941B28" w:rsidRPr="00001F7B">
        <w:rPr>
          <w:rStyle w:val="FootnoteReference"/>
          <w:rFonts w:cstheme="minorHAnsi"/>
        </w:rPr>
        <w:footnoteReference w:id="195"/>
      </w:r>
      <w:r w:rsidR="0086395F" w:rsidRPr="00001F7B">
        <w:rPr>
          <w:rFonts w:cstheme="minorHAnsi"/>
        </w:rPr>
        <w:t xml:space="preserve"> </w:t>
      </w:r>
      <w:r w:rsidRPr="00001F7B">
        <w:rPr>
          <w:rFonts w:cstheme="minorHAnsi"/>
        </w:rPr>
        <w:t xml:space="preserve">In the absence of clear indicators in the </w:t>
      </w:r>
      <w:r w:rsidR="00C95A70" w:rsidRPr="00001F7B">
        <w:rPr>
          <w:rFonts w:cstheme="minorHAnsi"/>
        </w:rPr>
        <w:t xml:space="preserve">preparatory </w:t>
      </w:r>
      <w:r w:rsidRPr="00001F7B">
        <w:rPr>
          <w:rFonts w:cstheme="minorHAnsi"/>
        </w:rPr>
        <w:t>material</w:t>
      </w:r>
      <w:r w:rsidR="001725C8" w:rsidRPr="00001F7B">
        <w:rPr>
          <w:rFonts w:cstheme="minorHAnsi"/>
        </w:rPr>
        <w:t xml:space="preserve"> caution is needed</w:t>
      </w:r>
      <w:r w:rsidR="00C95542" w:rsidRPr="00001F7B">
        <w:rPr>
          <w:rFonts w:cstheme="minorHAnsi"/>
        </w:rPr>
        <w:t xml:space="preserve"> and in such a case </w:t>
      </w:r>
      <w:r w:rsidR="001725C8" w:rsidRPr="00001F7B">
        <w:rPr>
          <w:rFonts w:cstheme="minorHAnsi"/>
        </w:rPr>
        <w:t xml:space="preserve">conclusions about purpose </w:t>
      </w:r>
      <w:r w:rsidR="00C95542" w:rsidRPr="00001F7B">
        <w:rPr>
          <w:rFonts w:cstheme="minorHAnsi"/>
        </w:rPr>
        <w:t>need to be</w:t>
      </w:r>
      <w:r w:rsidR="00D637A7" w:rsidRPr="00001F7B">
        <w:rPr>
          <w:rFonts w:cstheme="minorHAnsi"/>
        </w:rPr>
        <w:t xml:space="preserve"> </w:t>
      </w:r>
      <w:r w:rsidR="001725C8" w:rsidRPr="00001F7B">
        <w:rPr>
          <w:rFonts w:cstheme="minorHAnsi"/>
        </w:rPr>
        <w:t xml:space="preserve">rooted strongly in </w:t>
      </w:r>
      <w:r w:rsidR="0029750B" w:rsidRPr="00001F7B">
        <w:rPr>
          <w:rFonts w:cstheme="minorHAnsi"/>
        </w:rPr>
        <w:t>the term</w:t>
      </w:r>
      <w:r w:rsidR="001725C8" w:rsidRPr="00001F7B">
        <w:rPr>
          <w:rFonts w:cstheme="minorHAnsi"/>
        </w:rPr>
        <w:t>s</w:t>
      </w:r>
      <w:r w:rsidR="0029750B" w:rsidRPr="00001F7B">
        <w:rPr>
          <w:rFonts w:cstheme="minorHAnsi"/>
        </w:rPr>
        <w:t xml:space="preserve"> of the treaty itself.</w:t>
      </w:r>
      <w:r w:rsidR="0029750B" w:rsidRPr="00001F7B">
        <w:rPr>
          <w:rStyle w:val="FootnoteReference"/>
          <w:rFonts w:cstheme="minorHAnsi"/>
        </w:rPr>
        <w:footnoteReference w:id="196"/>
      </w:r>
      <w:r w:rsidR="00B803EC" w:rsidRPr="00001F7B">
        <w:rPr>
          <w:rFonts w:cstheme="minorHAnsi"/>
        </w:rPr>
        <w:t xml:space="preserve"> The stronger the analysis of a provision in its context, </w:t>
      </w:r>
      <w:r w:rsidR="006B5467" w:rsidRPr="00001F7B">
        <w:rPr>
          <w:rFonts w:cstheme="minorHAnsi"/>
        </w:rPr>
        <w:t xml:space="preserve">which includes </w:t>
      </w:r>
      <w:r w:rsidR="00B803EC" w:rsidRPr="00001F7B">
        <w:rPr>
          <w:rFonts w:cstheme="minorHAnsi"/>
        </w:rPr>
        <w:t>its place in the scheme and the balance of interests</w:t>
      </w:r>
      <w:r w:rsidR="006B5467" w:rsidRPr="00001F7B">
        <w:rPr>
          <w:rFonts w:cstheme="minorHAnsi"/>
        </w:rPr>
        <w:t xml:space="preserve"> </w:t>
      </w:r>
      <w:r w:rsidR="00B758B7" w:rsidRPr="00001F7B">
        <w:rPr>
          <w:rFonts w:cstheme="minorHAnsi"/>
        </w:rPr>
        <w:t>that appears to have been reached, the likelier that any identified purpose will be the appropriate one to assist in determining meaning.</w:t>
      </w:r>
      <w:r w:rsidR="00823BD6" w:rsidRPr="00001F7B">
        <w:rPr>
          <w:rStyle w:val="FootnoteReference"/>
          <w:rFonts w:cstheme="minorHAnsi"/>
        </w:rPr>
        <w:footnoteReference w:id="197"/>
      </w:r>
      <w:r w:rsidR="00B758B7" w:rsidRPr="00001F7B">
        <w:rPr>
          <w:rFonts w:cstheme="minorHAnsi"/>
        </w:rPr>
        <w:t xml:space="preserve"> </w:t>
      </w:r>
      <w:r w:rsidR="004D007F" w:rsidRPr="00001F7B">
        <w:rPr>
          <w:rFonts w:cstheme="minorHAnsi"/>
        </w:rPr>
        <w:t xml:space="preserve">This approach seems closest to that intended by the ILC. </w:t>
      </w:r>
      <w:r w:rsidR="00D25802" w:rsidRPr="00001F7B">
        <w:rPr>
          <w:rFonts w:cstheme="minorHAnsi"/>
        </w:rPr>
        <w:t xml:space="preserve">If taken it should reduce </w:t>
      </w:r>
      <w:r w:rsidR="00AE5AA2" w:rsidRPr="00001F7B">
        <w:rPr>
          <w:rFonts w:cstheme="minorHAnsi"/>
        </w:rPr>
        <w:t xml:space="preserve">the potential for conflict between an apparently clear meaning in the text and an equally clear but contradictory purpose identified in the context. </w:t>
      </w:r>
      <w:r w:rsidR="00A76A17" w:rsidRPr="00001F7B">
        <w:rPr>
          <w:rFonts w:cstheme="minorHAnsi"/>
        </w:rPr>
        <w:t>It suggests that purpose is to have a clarifying rather than a dynamic role</w:t>
      </w:r>
      <w:r w:rsidR="007E2B64" w:rsidRPr="00001F7B">
        <w:rPr>
          <w:rFonts w:cstheme="minorHAnsi"/>
        </w:rPr>
        <w:t>.</w:t>
      </w:r>
      <w:r w:rsidR="007E2B64" w:rsidRPr="00001F7B">
        <w:rPr>
          <w:rStyle w:val="FootnoteReference"/>
          <w:rFonts w:cstheme="minorHAnsi"/>
        </w:rPr>
        <w:footnoteReference w:id="198"/>
      </w:r>
      <w:r w:rsidR="00946238" w:rsidRPr="00001F7B">
        <w:rPr>
          <w:rFonts w:cstheme="minorHAnsi"/>
        </w:rPr>
        <w:t xml:space="preserve"> </w:t>
      </w:r>
      <w:r w:rsidR="00A76A17" w:rsidRPr="00001F7B">
        <w:rPr>
          <w:rFonts w:cstheme="minorHAnsi"/>
        </w:rPr>
        <w:t>A more dynamic role</w:t>
      </w:r>
      <w:r w:rsidR="00612142" w:rsidRPr="00001F7B">
        <w:rPr>
          <w:rFonts w:cstheme="minorHAnsi"/>
        </w:rPr>
        <w:t xml:space="preserve">, as a matter of course, </w:t>
      </w:r>
      <w:r w:rsidR="00A76A17" w:rsidRPr="00001F7B">
        <w:rPr>
          <w:rFonts w:cstheme="minorHAnsi"/>
        </w:rPr>
        <w:t>would need justification, either on the basis of an assumed flexibility in the Rules or on the basis that</w:t>
      </w:r>
      <w:r w:rsidR="00AD6639" w:rsidRPr="00001F7B">
        <w:rPr>
          <w:rFonts w:cstheme="minorHAnsi"/>
        </w:rPr>
        <w:t xml:space="preserve"> particular types of treaty (e.g., uniform priva</w:t>
      </w:r>
      <w:r w:rsidR="00140B16" w:rsidRPr="00001F7B">
        <w:rPr>
          <w:rFonts w:cstheme="minorHAnsi"/>
        </w:rPr>
        <w:t>t</w:t>
      </w:r>
      <w:r w:rsidR="00AD6639" w:rsidRPr="00001F7B">
        <w:rPr>
          <w:rFonts w:cstheme="minorHAnsi"/>
        </w:rPr>
        <w:t xml:space="preserve">e </w:t>
      </w:r>
      <w:r w:rsidR="00140B16" w:rsidRPr="00001F7B">
        <w:rPr>
          <w:rFonts w:cstheme="minorHAnsi"/>
        </w:rPr>
        <w:t>laws)</w:t>
      </w:r>
      <w:r w:rsidR="00A76A17" w:rsidRPr="00001F7B">
        <w:rPr>
          <w:rFonts w:cstheme="minorHAnsi"/>
        </w:rPr>
        <w:t xml:space="preserve"> are a sub-species </w:t>
      </w:r>
      <w:r w:rsidR="00946238" w:rsidRPr="00001F7B">
        <w:rPr>
          <w:rFonts w:cstheme="minorHAnsi"/>
        </w:rPr>
        <w:t xml:space="preserve">of </w:t>
      </w:r>
      <w:r w:rsidR="00A76A17" w:rsidRPr="00001F7B">
        <w:rPr>
          <w:rFonts w:cstheme="minorHAnsi"/>
        </w:rPr>
        <w:t xml:space="preserve">treaty </w:t>
      </w:r>
      <w:r w:rsidR="00AD6639" w:rsidRPr="00001F7B">
        <w:rPr>
          <w:rFonts w:cstheme="minorHAnsi"/>
        </w:rPr>
        <w:t xml:space="preserve">or self-contained regime </w:t>
      </w:r>
      <w:r w:rsidR="00A76A17" w:rsidRPr="00001F7B">
        <w:rPr>
          <w:rFonts w:cstheme="minorHAnsi"/>
        </w:rPr>
        <w:t xml:space="preserve">requiring </w:t>
      </w:r>
      <w:r w:rsidR="00AD6639" w:rsidRPr="00001F7B">
        <w:rPr>
          <w:rFonts w:cstheme="minorHAnsi"/>
        </w:rPr>
        <w:t xml:space="preserve">or authorising </w:t>
      </w:r>
      <w:r w:rsidR="00A76A17" w:rsidRPr="00001F7B">
        <w:rPr>
          <w:rFonts w:cstheme="minorHAnsi"/>
        </w:rPr>
        <w:t>a different approach</w:t>
      </w:r>
      <w:r w:rsidR="00946238" w:rsidRPr="00001F7B">
        <w:rPr>
          <w:rFonts w:cstheme="minorHAnsi"/>
        </w:rPr>
        <w:t>.</w:t>
      </w:r>
      <w:r w:rsidR="003C65D0" w:rsidRPr="00001F7B">
        <w:rPr>
          <w:rStyle w:val="FootnoteReference"/>
          <w:rFonts w:cstheme="minorHAnsi"/>
        </w:rPr>
        <w:footnoteReference w:id="199"/>
      </w:r>
      <w:r w:rsidR="00A76A17" w:rsidRPr="00001F7B">
        <w:rPr>
          <w:rFonts w:cstheme="minorHAnsi"/>
        </w:rPr>
        <w:t xml:space="preserve"> </w:t>
      </w:r>
      <w:r w:rsidR="009B69A4" w:rsidRPr="00001F7B">
        <w:rPr>
          <w:rFonts w:cstheme="minorHAnsi"/>
        </w:rPr>
        <w:t xml:space="preserve"> </w:t>
      </w:r>
      <w:r w:rsidR="00140B16" w:rsidRPr="00001F7B">
        <w:rPr>
          <w:rFonts w:cstheme="minorHAnsi"/>
        </w:rPr>
        <w:t xml:space="preserve">Unless this takes them entirely outside the Vienna Rules any increased role for purpose would </w:t>
      </w:r>
      <w:r w:rsidR="00612142" w:rsidRPr="00001F7B">
        <w:rPr>
          <w:rFonts w:cstheme="minorHAnsi"/>
        </w:rPr>
        <w:t xml:space="preserve">normally </w:t>
      </w:r>
      <w:r w:rsidR="00140B16" w:rsidRPr="00001F7B">
        <w:rPr>
          <w:rFonts w:cstheme="minorHAnsi"/>
        </w:rPr>
        <w:t xml:space="preserve">have to be a matter of weight only. </w:t>
      </w:r>
      <w:r w:rsidR="00612142" w:rsidRPr="00001F7B">
        <w:rPr>
          <w:rFonts w:cstheme="minorHAnsi"/>
        </w:rPr>
        <w:t>It is possible that o</w:t>
      </w:r>
      <w:r w:rsidR="00140B16" w:rsidRPr="00001F7B">
        <w:rPr>
          <w:rFonts w:cstheme="minorHAnsi"/>
        </w:rPr>
        <w:t xml:space="preserve">nly art 32 can be used to override the meanings found in art 31. </w:t>
      </w:r>
      <w:r w:rsidR="00656177" w:rsidRPr="00001F7B">
        <w:rPr>
          <w:rFonts w:cstheme="minorHAnsi"/>
        </w:rPr>
        <w:t xml:space="preserve">It is only if the argument is </w:t>
      </w:r>
      <w:r w:rsidR="00140B16" w:rsidRPr="00001F7B">
        <w:rPr>
          <w:rFonts w:cstheme="minorHAnsi"/>
        </w:rPr>
        <w:t>that the meaning found through the application of art 31 is absurd or unreasonable</w:t>
      </w:r>
      <w:r w:rsidR="004F52E9" w:rsidRPr="00001F7B">
        <w:rPr>
          <w:rFonts w:cstheme="minorHAnsi"/>
        </w:rPr>
        <w:t xml:space="preserve"> that </w:t>
      </w:r>
      <w:r w:rsidR="00F91FB2" w:rsidRPr="00001F7B">
        <w:rPr>
          <w:rFonts w:cstheme="minorHAnsi"/>
        </w:rPr>
        <w:t xml:space="preserve"> </w:t>
      </w:r>
      <w:r w:rsidR="004F52E9" w:rsidRPr="00001F7B">
        <w:rPr>
          <w:rFonts w:cstheme="minorHAnsi"/>
        </w:rPr>
        <w:t>it can</w:t>
      </w:r>
      <w:r w:rsidR="00140B16" w:rsidRPr="00001F7B">
        <w:rPr>
          <w:rFonts w:cstheme="minorHAnsi"/>
        </w:rPr>
        <w:t xml:space="preserve"> be overridden through supplementary means sufficient to justify </w:t>
      </w:r>
      <w:r w:rsidR="00F91FB2" w:rsidRPr="00001F7B">
        <w:rPr>
          <w:rFonts w:cstheme="minorHAnsi"/>
        </w:rPr>
        <w:t>this</w:t>
      </w:r>
      <w:r w:rsidR="004F52E9" w:rsidRPr="00001F7B">
        <w:rPr>
          <w:rFonts w:cstheme="minorHAnsi"/>
        </w:rPr>
        <w:t>.</w:t>
      </w:r>
      <w:r w:rsidR="00101AA7" w:rsidRPr="00001F7B">
        <w:rPr>
          <w:rStyle w:val="FootnoteReference"/>
          <w:rFonts w:cstheme="minorHAnsi"/>
        </w:rPr>
        <w:footnoteReference w:id="200"/>
      </w:r>
      <w:r w:rsidR="00612142" w:rsidRPr="00001F7B">
        <w:rPr>
          <w:rFonts w:cstheme="minorHAnsi"/>
        </w:rPr>
        <w:t xml:space="preserve">  </w:t>
      </w:r>
    </w:p>
    <w:p w14:paraId="73A8DDF2" w14:textId="77777777" w:rsidR="00F91FB2" w:rsidRPr="00001F7B" w:rsidRDefault="00F91FB2" w:rsidP="00001F7B">
      <w:pPr>
        <w:rPr>
          <w:rFonts w:cstheme="minorHAnsi"/>
        </w:rPr>
      </w:pPr>
      <w:r w:rsidRPr="00001F7B">
        <w:rPr>
          <w:rFonts w:cstheme="minorHAnsi"/>
        </w:rPr>
        <w:t>The overall purpose of CMR as indicated in the preamble</w:t>
      </w:r>
      <w:r w:rsidRPr="00001F7B">
        <w:rPr>
          <w:rStyle w:val="FootnoteReference"/>
          <w:rFonts w:cstheme="minorHAnsi"/>
        </w:rPr>
        <w:footnoteReference w:id="201"/>
      </w:r>
      <w:r w:rsidRPr="00001F7B">
        <w:rPr>
          <w:rFonts w:cstheme="minorHAnsi"/>
        </w:rPr>
        <w:t xml:space="preserve"> would seem to have a wider function to be examined next.</w:t>
      </w:r>
    </w:p>
    <w:p w14:paraId="4B550326" w14:textId="77777777" w:rsidR="00F91FB2" w:rsidRPr="00001F7B" w:rsidRDefault="00F91FB2" w:rsidP="00001F7B">
      <w:pPr>
        <w:rPr>
          <w:rFonts w:cstheme="minorHAnsi"/>
        </w:rPr>
      </w:pPr>
    </w:p>
    <w:p w14:paraId="0B7171C9" w14:textId="6C4943EE" w:rsidR="00765783" w:rsidRPr="00001F7B" w:rsidRDefault="00F91FB2" w:rsidP="00001F7B">
      <w:pPr>
        <w:rPr>
          <w:rFonts w:cstheme="minorHAnsi"/>
          <w:b/>
          <w:bCs/>
        </w:rPr>
      </w:pPr>
      <w:r w:rsidRPr="00001F7B">
        <w:rPr>
          <w:rFonts w:cstheme="minorHAnsi"/>
          <w:b/>
          <w:bCs/>
        </w:rPr>
        <w:t>3.</w:t>
      </w:r>
      <w:r w:rsidR="00C65086" w:rsidRPr="00001F7B">
        <w:rPr>
          <w:rFonts w:cstheme="minorHAnsi"/>
          <w:b/>
          <w:bCs/>
        </w:rPr>
        <w:t>2</w:t>
      </w:r>
      <w:r w:rsidRPr="00001F7B">
        <w:rPr>
          <w:rFonts w:cstheme="minorHAnsi"/>
          <w:b/>
          <w:bCs/>
        </w:rPr>
        <w:t>.1.</w:t>
      </w:r>
      <w:r w:rsidR="003F3B35" w:rsidRPr="00001F7B">
        <w:rPr>
          <w:rFonts w:cstheme="minorHAnsi"/>
          <w:b/>
          <w:bCs/>
        </w:rPr>
        <w:t>5</w:t>
      </w:r>
      <w:r w:rsidRPr="00001F7B">
        <w:rPr>
          <w:rFonts w:cstheme="minorHAnsi"/>
          <w:b/>
          <w:bCs/>
        </w:rPr>
        <w:t>.1. The object and purpose of CMR</w:t>
      </w:r>
    </w:p>
    <w:p w14:paraId="37A4C170" w14:textId="17C7DCAE" w:rsidR="003C76D6" w:rsidRPr="00001F7B" w:rsidRDefault="00A55B93" w:rsidP="00001F7B">
      <w:pPr>
        <w:rPr>
          <w:rFonts w:cstheme="minorHAnsi"/>
        </w:rPr>
      </w:pPr>
      <w:r w:rsidRPr="00001F7B">
        <w:rPr>
          <w:rFonts w:cstheme="minorHAnsi"/>
        </w:rPr>
        <w:t xml:space="preserve">The </w:t>
      </w:r>
      <w:r w:rsidR="00561146" w:rsidRPr="00001F7B">
        <w:rPr>
          <w:rFonts w:cstheme="minorHAnsi"/>
        </w:rPr>
        <w:t>preamble has an important role in informing us that it is concerned with standardi</w:t>
      </w:r>
      <w:r w:rsidR="00ED7403">
        <w:rPr>
          <w:rFonts w:cstheme="minorHAnsi"/>
        </w:rPr>
        <w:t>s</w:t>
      </w:r>
      <w:r w:rsidR="00561146" w:rsidRPr="00001F7B">
        <w:rPr>
          <w:rFonts w:cstheme="minorHAnsi"/>
        </w:rPr>
        <w:t>ing the conditions governing the contract for the international carriage of goods by road. This tell</w:t>
      </w:r>
      <w:r w:rsidR="00456B18" w:rsidRPr="00001F7B">
        <w:rPr>
          <w:rFonts w:cstheme="minorHAnsi"/>
        </w:rPr>
        <w:t>s</w:t>
      </w:r>
      <w:r w:rsidR="00561146" w:rsidRPr="00001F7B">
        <w:rPr>
          <w:rFonts w:cstheme="minorHAnsi"/>
        </w:rPr>
        <w:t xml:space="preserve"> us </w:t>
      </w:r>
      <w:r w:rsidR="00456B18" w:rsidRPr="00001F7B">
        <w:rPr>
          <w:rFonts w:cstheme="minorHAnsi"/>
        </w:rPr>
        <w:t>that t</w:t>
      </w:r>
      <w:r w:rsidR="00911668" w:rsidRPr="00001F7B">
        <w:rPr>
          <w:rFonts w:cstheme="minorHAnsi"/>
        </w:rPr>
        <w:t>he object of CMR is the private law of contracts for the international carriage of goods by road</w:t>
      </w:r>
      <w:r w:rsidR="00456B18" w:rsidRPr="00001F7B">
        <w:rPr>
          <w:rFonts w:cstheme="minorHAnsi"/>
        </w:rPr>
        <w:t xml:space="preserve"> and that its </w:t>
      </w:r>
      <w:r w:rsidR="00911668" w:rsidRPr="00001F7B">
        <w:rPr>
          <w:rFonts w:cstheme="minorHAnsi"/>
        </w:rPr>
        <w:t xml:space="preserve">purpose is to lay down </w:t>
      </w:r>
      <w:r w:rsidR="00ED17AC" w:rsidRPr="00001F7B">
        <w:rPr>
          <w:rFonts w:cstheme="minorHAnsi"/>
        </w:rPr>
        <w:t>standard</w:t>
      </w:r>
      <w:r w:rsidR="00D57F84" w:rsidRPr="00001F7B">
        <w:rPr>
          <w:rFonts w:cstheme="minorHAnsi"/>
        </w:rPr>
        <w:t>ised</w:t>
      </w:r>
      <w:r w:rsidR="00456B18" w:rsidRPr="00001F7B">
        <w:rPr>
          <w:rFonts w:cstheme="minorHAnsi"/>
        </w:rPr>
        <w:t xml:space="preserve"> rules for these contracts especially in respect of documentation and liability of the carrier</w:t>
      </w:r>
      <w:r w:rsidR="00911668" w:rsidRPr="00001F7B">
        <w:rPr>
          <w:rFonts w:cstheme="minorHAnsi"/>
        </w:rPr>
        <w:t xml:space="preserve">. Even without the preamble </w:t>
      </w:r>
      <w:r w:rsidR="00456B18" w:rsidRPr="00001F7B">
        <w:rPr>
          <w:rFonts w:cstheme="minorHAnsi"/>
        </w:rPr>
        <w:t xml:space="preserve">it is obvious that </w:t>
      </w:r>
      <w:r w:rsidR="00407F7D" w:rsidRPr="00001F7B">
        <w:rPr>
          <w:rFonts w:cstheme="minorHAnsi"/>
        </w:rPr>
        <w:t xml:space="preserve">from the provisions that this is what the </w:t>
      </w:r>
      <w:r w:rsidR="00911668" w:rsidRPr="00001F7B">
        <w:rPr>
          <w:rFonts w:cstheme="minorHAnsi"/>
        </w:rPr>
        <w:t xml:space="preserve">treaty is designed to do </w:t>
      </w:r>
      <w:r w:rsidR="00407F7D" w:rsidRPr="00001F7B">
        <w:rPr>
          <w:rFonts w:cstheme="minorHAnsi"/>
        </w:rPr>
        <w:t xml:space="preserve">and that it is intended to </w:t>
      </w:r>
      <w:r w:rsidR="00911668" w:rsidRPr="00001F7B">
        <w:rPr>
          <w:rFonts w:cstheme="minorHAnsi"/>
        </w:rPr>
        <w:t>replace those operating in national law in the same area</w:t>
      </w:r>
      <w:r w:rsidR="0082105B" w:rsidRPr="00001F7B">
        <w:rPr>
          <w:rStyle w:val="FootnoteReference"/>
          <w:rFonts w:cstheme="minorHAnsi"/>
        </w:rPr>
        <w:footnoteReference w:id="202"/>
      </w:r>
      <w:r w:rsidR="00911668" w:rsidRPr="00001F7B">
        <w:rPr>
          <w:rFonts w:cstheme="minorHAnsi"/>
        </w:rPr>
        <w:t xml:space="preserve"> </w:t>
      </w:r>
      <w:r w:rsidR="000C72B4" w:rsidRPr="00001F7B">
        <w:rPr>
          <w:rFonts w:cstheme="minorHAnsi"/>
        </w:rPr>
        <w:t>T</w:t>
      </w:r>
      <w:r w:rsidR="00407F7D" w:rsidRPr="00001F7B">
        <w:rPr>
          <w:rFonts w:cstheme="minorHAnsi"/>
        </w:rPr>
        <w:t xml:space="preserve">his tells us nothing about the </w:t>
      </w:r>
      <w:r w:rsidR="00CD5955" w:rsidRPr="00001F7B">
        <w:rPr>
          <w:rFonts w:cstheme="minorHAnsi"/>
        </w:rPr>
        <w:t xml:space="preserve">individual </w:t>
      </w:r>
      <w:r w:rsidR="00407F7D" w:rsidRPr="00001F7B">
        <w:rPr>
          <w:rFonts w:cstheme="minorHAnsi"/>
        </w:rPr>
        <w:t>provision</w:t>
      </w:r>
      <w:r w:rsidR="00CD5955" w:rsidRPr="00001F7B">
        <w:rPr>
          <w:rFonts w:cstheme="minorHAnsi"/>
        </w:rPr>
        <w:t>s</w:t>
      </w:r>
      <w:r w:rsidR="00407F7D" w:rsidRPr="00001F7B">
        <w:rPr>
          <w:rFonts w:cstheme="minorHAnsi"/>
        </w:rPr>
        <w:t xml:space="preserve"> (apart from being the content of the standardisation</w:t>
      </w:r>
      <w:r w:rsidR="000C72B4" w:rsidRPr="00001F7B">
        <w:rPr>
          <w:rFonts w:cstheme="minorHAnsi"/>
        </w:rPr>
        <w:t xml:space="preserve">) but </w:t>
      </w:r>
      <w:r w:rsidR="00557870" w:rsidRPr="00001F7B">
        <w:rPr>
          <w:rFonts w:cstheme="minorHAnsi"/>
        </w:rPr>
        <w:t xml:space="preserve">it does tell us that the purpose is the provision of </w:t>
      </w:r>
      <w:r w:rsidR="00051122" w:rsidRPr="00001F7B">
        <w:rPr>
          <w:rFonts w:cstheme="minorHAnsi"/>
        </w:rPr>
        <w:t xml:space="preserve">uniform conditions </w:t>
      </w:r>
      <w:r w:rsidR="00557870" w:rsidRPr="00001F7B">
        <w:rPr>
          <w:rFonts w:cstheme="minorHAnsi"/>
        </w:rPr>
        <w:t xml:space="preserve">of contract </w:t>
      </w:r>
      <w:r w:rsidR="00051122" w:rsidRPr="00001F7B">
        <w:rPr>
          <w:rFonts w:cstheme="minorHAnsi"/>
        </w:rPr>
        <w:t xml:space="preserve">in cross-border carriage of goods by road. </w:t>
      </w:r>
    </w:p>
    <w:p w14:paraId="4ECD4426" w14:textId="3A72E1AE" w:rsidR="00946238" w:rsidRPr="00001F7B" w:rsidRDefault="003C76D6" w:rsidP="00001F7B">
      <w:pPr>
        <w:rPr>
          <w:rFonts w:cstheme="minorHAnsi"/>
        </w:rPr>
      </w:pPr>
      <w:r w:rsidRPr="00001F7B">
        <w:rPr>
          <w:rFonts w:cstheme="minorHAnsi"/>
        </w:rPr>
        <w:t>Whilst a</w:t>
      </w:r>
      <w:r w:rsidR="00051122" w:rsidRPr="00001F7B">
        <w:rPr>
          <w:rFonts w:cstheme="minorHAnsi"/>
        </w:rPr>
        <w:t xml:space="preserve">n autonomous approach </w:t>
      </w:r>
      <w:r w:rsidRPr="00001F7B">
        <w:rPr>
          <w:rFonts w:cstheme="minorHAnsi"/>
        </w:rPr>
        <w:t xml:space="preserve">may be seen anyhow as a principle of </w:t>
      </w:r>
      <w:r w:rsidR="00575B51" w:rsidRPr="00001F7B">
        <w:rPr>
          <w:rFonts w:cstheme="minorHAnsi"/>
        </w:rPr>
        <w:t>CIL</w:t>
      </w:r>
      <w:r w:rsidR="00575B51" w:rsidRPr="00001F7B">
        <w:rPr>
          <w:rStyle w:val="FootnoteReference"/>
          <w:rFonts w:cstheme="minorHAnsi"/>
        </w:rPr>
        <w:footnoteReference w:id="203"/>
      </w:r>
      <w:r w:rsidRPr="00001F7B">
        <w:rPr>
          <w:rFonts w:cstheme="minorHAnsi"/>
        </w:rPr>
        <w:t xml:space="preserve"> o</w:t>
      </w:r>
      <w:r w:rsidR="00F77D7D" w:rsidRPr="00001F7B">
        <w:rPr>
          <w:rFonts w:cstheme="minorHAnsi"/>
        </w:rPr>
        <w:t>r a rule of</w:t>
      </w:r>
      <w:r w:rsidRPr="00001F7B">
        <w:rPr>
          <w:rFonts w:cstheme="minorHAnsi"/>
        </w:rPr>
        <w:t xml:space="preserve"> CIL which is imbued into the methodology adopted by VCLT</w:t>
      </w:r>
      <w:r w:rsidR="00927E5A" w:rsidRPr="00001F7B">
        <w:rPr>
          <w:rFonts w:cstheme="minorHAnsi"/>
        </w:rPr>
        <w:t>,</w:t>
      </w:r>
      <w:r w:rsidR="003624A2" w:rsidRPr="00001F7B">
        <w:rPr>
          <w:rStyle w:val="FootnoteReference"/>
          <w:rFonts w:cstheme="minorHAnsi"/>
        </w:rPr>
        <w:footnoteReference w:id="204"/>
      </w:r>
      <w:r w:rsidRPr="00001F7B">
        <w:rPr>
          <w:rFonts w:cstheme="minorHAnsi"/>
        </w:rPr>
        <w:t xml:space="preserve"> the object and purpose expressed in the preamble to CMR has a role in further strengthening this approach in its particular context. </w:t>
      </w:r>
      <w:r w:rsidR="00F571FE" w:rsidRPr="00001F7B">
        <w:rPr>
          <w:rFonts w:cstheme="minorHAnsi"/>
        </w:rPr>
        <w:t xml:space="preserve">The promotion of uniformity will be required to be taken into account under art 31.1. </w:t>
      </w:r>
      <w:r w:rsidRPr="00001F7B">
        <w:rPr>
          <w:rFonts w:cstheme="minorHAnsi"/>
        </w:rPr>
        <w:t>As note</w:t>
      </w:r>
      <w:r w:rsidR="00823A5C" w:rsidRPr="00001F7B">
        <w:rPr>
          <w:rFonts w:cstheme="minorHAnsi"/>
        </w:rPr>
        <w:t>d</w:t>
      </w:r>
      <w:r w:rsidRPr="00001F7B">
        <w:rPr>
          <w:rFonts w:cstheme="minorHAnsi"/>
        </w:rPr>
        <w:t xml:space="preserve"> above the </w:t>
      </w:r>
      <w:r w:rsidR="00F571FE" w:rsidRPr="00001F7B">
        <w:rPr>
          <w:rFonts w:cstheme="minorHAnsi"/>
        </w:rPr>
        <w:t xml:space="preserve">autonomous </w:t>
      </w:r>
      <w:r w:rsidRPr="00001F7B">
        <w:rPr>
          <w:rFonts w:cstheme="minorHAnsi"/>
        </w:rPr>
        <w:t xml:space="preserve">approach is seen as having a role in promoting </w:t>
      </w:r>
      <w:r w:rsidR="00F021E6" w:rsidRPr="00001F7B">
        <w:rPr>
          <w:rFonts w:cstheme="minorHAnsi"/>
        </w:rPr>
        <w:t xml:space="preserve">uniformity which, placed in </w:t>
      </w:r>
      <w:r w:rsidR="00F77D7D" w:rsidRPr="00001F7B">
        <w:rPr>
          <w:rFonts w:cstheme="minorHAnsi"/>
        </w:rPr>
        <w:t>this</w:t>
      </w:r>
      <w:r w:rsidR="00F021E6" w:rsidRPr="00001F7B">
        <w:rPr>
          <w:rFonts w:cstheme="minorHAnsi"/>
        </w:rPr>
        <w:t xml:space="preserve"> context as an area of commercial law has a distinctive role to play in the certainty of law and decision making.</w:t>
      </w:r>
      <w:r w:rsidR="00384464" w:rsidRPr="00001F7B">
        <w:rPr>
          <w:rStyle w:val="FootnoteReference"/>
          <w:rFonts w:cstheme="minorHAnsi"/>
        </w:rPr>
        <w:footnoteReference w:id="205"/>
      </w:r>
      <w:r w:rsidR="00F021E6" w:rsidRPr="00001F7B">
        <w:rPr>
          <w:rFonts w:cstheme="minorHAnsi"/>
        </w:rPr>
        <w:t xml:space="preserve"> Commercial decisions regarding risk management in general and in particular </w:t>
      </w:r>
      <w:r w:rsidR="00F77D7D" w:rsidRPr="00001F7B">
        <w:rPr>
          <w:rFonts w:cstheme="minorHAnsi"/>
        </w:rPr>
        <w:t xml:space="preserve">in respect of  </w:t>
      </w:r>
      <w:r w:rsidR="00F021E6" w:rsidRPr="00001F7B">
        <w:rPr>
          <w:rFonts w:cstheme="minorHAnsi"/>
        </w:rPr>
        <w:t xml:space="preserve">insurance </w:t>
      </w:r>
      <w:r w:rsidR="00F77D7D" w:rsidRPr="00001F7B">
        <w:rPr>
          <w:rFonts w:cstheme="minorHAnsi"/>
        </w:rPr>
        <w:t>on both sides of the contractual relationship require special attention to the avoidance of fragmentation of interpretation</w:t>
      </w:r>
      <w:r w:rsidR="007E3D13" w:rsidRPr="00001F7B">
        <w:rPr>
          <w:rFonts w:cstheme="minorHAnsi"/>
        </w:rPr>
        <w:t>.</w:t>
      </w:r>
      <w:r w:rsidR="007E3D13" w:rsidRPr="00001F7B">
        <w:rPr>
          <w:rStyle w:val="FootnoteReference"/>
          <w:rFonts w:cstheme="minorHAnsi"/>
        </w:rPr>
        <w:footnoteReference w:id="206"/>
      </w:r>
      <w:r w:rsidR="00941B28" w:rsidRPr="00001F7B">
        <w:rPr>
          <w:rFonts w:cstheme="minorHAnsi"/>
        </w:rPr>
        <w:t xml:space="preserve"> </w:t>
      </w:r>
    </w:p>
    <w:p w14:paraId="764E3708" w14:textId="36D06615" w:rsidR="00E05B2C" w:rsidRPr="00001F7B" w:rsidRDefault="00206EAD" w:rsidP="00001F7B">
      <w:pPr>
        <w:rPr>
          <w:rFonts w:cstheme="minorHAnsi"/>
          <w:b/>
          <w:bCs/>
        </w:rPr>
      </w:pPr>
      <w:r w:rsidRPr="00001F7B">
        <w:rPr>
          <w:rFonts w:cstheme="minorHAnsi"/>
          <w:b/>
          <w:bCs/>
        </w:rPr>
        <w:t>3.</w:t>
      </w:r>
      <w:r w:rsidR="00CD7C80" w:rsidRPr="00001F7B">
        <w:rPr>
          <w:rFonts w:cstheme="minorHAnsi"/>
          <w:b/>
          <w:bCs/>
        </w:rPr>
        <w:t>3</w:t>
      </w:r>
      <w:r w:rsidRPr="00001F7B">
        <w:rPr>
          <w:rFonts w:cstheme="minorHAnsi"/>
          <w:b/>
          <w:bCs/>
        </w:rPr>
        <w:t xml:space="preserve"> </w:t>
      </w:r>
      <w:r w:rsidR="009908C0" w:rsidRPr="00001F7B">
        <w:rPr>
          <w:rFonts w:cstheme="minorHAnsi"/>
          <w:b/>
          <w:bCs/>
        </w:rPr>
        <w:t xml:space="preserve">Article 32 Supplementary </w:t>
      </w:r>
      <w:r w:rsidR="002B01CB" w:rsidRPr="00001F7B">
        <w:rPr>
          <w:rFonts w:cstheme="minorHAnsi"/>
          <w:b/>
          <w:bCs/>
        </w:rPr>
        <w:t>M</w:t>
      </w:r>
      <w:r w:rsidR="009908C0" w:rsidRPr="00001F7B">
        <w:rPr>
          <w:rFonts w:cstheme="minorHAnsi"/>
          <w:b/>
          <w:bCs/>
        </w:rPr>
        <w:t>eans</w:t>
      </w:r>
      <w:r w:rsidRPr="00001F7B">
        <w:rPr>
          <w:rFonts w:cstheme="minorHAnsi"/>
          <w:b/>
          <w:bCs/>
        </w:rPr>
        <w:t xml:space="preserve"> </w:t>
      </w:r>
    </w:p>
    <w:p w14:paraId="33AE846A" w14:textId="69F8576E" w:rsidR="00A76681" w:rsidRPr="00001F7B" w:rsidRDefault="00CD7C80" w:rsidP="00001F7B">
      <w:pPr>
        <w:rPr>
          <w:rFonts w:cstheme="minorHAnsi"/>
        </w:rPr>
      </w:pPr>
      <w:r w:rsidRPr="00001F7B">
        <w:rPr>
          <w:rFonts w:cstheme="minorHAnsi"/>
          <w:b/>
          <w:bCs/>
        </w:rPr>
        <w:t>3.3.1</w:t>
      </w:r>
      <w:r w:rsidRPr="00001F7B">
        <w:rPr>
          <w:rFonts w:cstheme="minorHAnsi"/>
        </w:rPr>
        <w:t xml:space="preserve"> </w:t>
      </w:r>
      <w:r w:rsidR="00A76681" w:rsidRPr="00001F7B">
        <w:rPr>
          <w:rFonts w:cstheme="minorHAnsi"/>
        </w:rPr>
        <w:t xml:space="preserve">The </w:t>
      </w:r>
      <w:r w:rsidR="00ED17AC" w:rsidRPr="00001F7B">
        <w:rPr>
          <w:rFonts w:cstheme="minorHAnsi"/>
        </w:rPr>
        <w:t xml:space="preserve">reference to </w:t>
      </w:r>
      <w:r w:rsidR="00B140B1">
        <w:rPr>
          <w:rFonts w:cstheme="minorHAnsi"/>
        </w:rPr>
        <w:t>‘</w:t>
      </w:r>
      <w:r w:rsidR="00ED17AC" w:rsidRPr="00001F7B">
        <w:rPr>
          <w:rFonts w:cstheme="minorHAnsi"/>
        </w:rPr>
        <w:t>includi</w:t>
      </w:r>
      <w:r w:rsidR="00BB2CBE" w:rsidRPr="00001F7B">
        <w:rPr>
          <w:rFonts w:cstheme="minorHAnsi"/>
        </w:rPr>
        <w:t>n</w:t>
      </w:r>
      <w:r w:rsidR="00ED17AC" w:rsidRPr="00001F7B">
        <w:rPr>
          <w:rFonts w:cstheme="minorHAnsi"/>
        </w:rPr>
        <w:t xml:space="preserve">g’ </w:t>
      </w:r>
      <w:r w:rsidR="007F4A76" w:rsidRPr="00001F7B">
        <w:rPr>
          <w:rFonts w:cstheme="minorHAnsi"/>
        </w:rPr>
        <w:t xml:space="preserve">in art 32 </w:t>
      </w:r>
      <w:r w:rsidR="00A76681" w:rsidRPr="00001F7B">
        <w:rPr>
          <w:rFonts w:cstheme="minorHAnsi"/>
        </w:rPr>
        <w:t xml:space="preserve">indicates that the two specified, preparatory </w:t>
      </w:r>
      <w:r w:rsidR="00ED17AC" w:rsidRPr="00001F7B">
        <w:rPr>
          <w:rFonts w:cstheme="minorHAnsi"/>
        </w:rPr>
        <w:t>work of the treaty</w:t>
      </w:r>
      <w:r w:rsidR="00A76681" w:rsidRPr="00001F7B">
        <w:rPr>
          <w:rFonts w:cstheme="minorHAnsi"/>
        </w:rPr>
        <w:t xml:space="preserve"> and </w:t>
      </w:r>
      <w:r w:rsidR="00ED17AC" w:rsidRPr="00001F7B">
        <w:rPr>
          <w:rFonts w:cstheme="minorHAnsi"/>
        </w:rPr>
        <w:t>circumstances of its conclusion are not exclusive</w:t>
      </w:r>
      <w:r w:rsidR="0006749D" w:rsidRPr="00001F7B">
        <w:rPr>
          <w:rFonts w:cstheme="minorHAnsi"/>
        </w:rPr>
        <w:t xml:space="preserve"> </w:t>
      </w:r>
      <w:r w:rsidR="008E0DE0" w:rsidRPr="00001F7B">
        <w:rPr>
          <w:rFonts w:cstheme="minorHAnsi"/>
        </w:rPr>
        <w:t>so that the possibility of additional aids or approaches seems to be accepted</w:t>
      </w:r>
      <w:r w:rsidR="00ED17AC" w:rsidRPr="00001F7B">
        <w:rPr>
          <w:rFonts w:cstheme="minorHAnsi"/>
        </w:rPr>
        <w:t xml:space="preserve">. </w:t>
      </w:r>
      <w:r w:rsidR="008E0DE0" w:rsidRPr="00001F7B">
        <w:rPr>
          <w:rFonts w:cstheme="minorHAnsi"/>
        </w:rPr>
        <w:t>Before considering th</w:t>
      </w:r>
      <w:r w:rsidRPr="00001F7B">
        <w:rPr>
          <w:rFonts w:cstheme="minorHAnsi"/>
        </w:rPr>
        <w:t>is</w:t>
      </w:r>
      <w:r w:rsidR="008E0DE0" w:rsidRPr="00001F7B">
        <w:rPr>
          <w:rFonts w:cstheme="minorHAnsi"/>
        </w:rPr>
        <w:t xml:space="preserve"> further the pre-conditions for the consideration of supplementary means must be considered.</w:t>
      </w:r>
    </w:p>
    <w:p w14:paraId="693676C9" w14:textId="388709E6" w:rsidR="002C236F" w:rsidRPr="00001F7B" w:rsidRDefault="002C236F" w:rsidP="00001F7B">
      <w:pPr>
        <w:rPr>
          <w:rFonts w:cstheme="minorHAnsi"/>
        </w:rPr>
      </w:pPr>
      <w:r w:rsidRPr="00001F7B">
        <w:rPr>
          <w:rFonts w:cstheme="minorHAnsi"/>
        </w:rPr>
        <w:t xml:space="preserve">The ILC noted that the relationship established between supplementary </w:t>
      </w:r>
      <w:r w:rsidR="007F4A76" w:rsidRPr="00001F7B">
        <w:rPr>
          <w:rFonts w:cstheme="minorHAnsi"/>
        </w:rPr>
        <w:t xml:space="preserve">means </w:t>
      </w:r>
      <w:r w:rsidRPr="00001F7B">
        <w:rPr>
          <w:rFonts w:cstheme="minorHAnsi"/>
        </w:rPr>
        <w:t xml:space="preserve">and </w:t>
      </w:r>
      <w:r w:rsidR="007F4A76" w:rsidRPr="00001F7B">
        <w:rPr>
          <w:rFonts w:cstheme="minorHAnsi"/>
        </w:rPr>
        <w:t xml:space="preserve">the </w:t>
      </w:r>
      <w:r w:rsidRPr="00001F7B">
        <w:rPr>
          <w:rFonts w:cstheme="minorHAnsi"/>
        </w:rPr>
        <w:t>general rule keeps to the practice of the International Court.</w:t>
      </w:r>
      <w:r w:rsidR="000F7998" w:rsidRPr="00001F7B">
        <w:rPr>
          <w:rStyle w:val="FootnoteReference"/>
          <w:rFonts w:cstheme="minorHAnsi"/>
        </w:rPr>
        <w:footnoteReference w:id="207"/>
      </w:r>
      <w:r w:rsidRPr="00001F7B">
        <w:rPr>
          <w:rFonts w:cstheme="minorHAnsi"/>
        </w:rPr>
        <w:t xml:space="preserve"> The relationship between the two is reflected in the positioning of preparatory works. In this respect the Commission state</w:t>
      </w:r>
      <w:r w:rsidR="00B30243" w:rsidRPr="00001F7B">
        <w:rPr>
          <w:rFonts w:cstheme="minorHAnsi"/>
        </w:rPr>
        <w:t>d</w:t>
      </w:r>
      <w:r w:rsidRPr="00001F7B">
        <w:rPr>
          <w:rFonts w:cstheme="minorHAnsi"/>
        </w:rPr>
        <w:t>:</w:t>
      </w:r>
      <w:r w:rsidR="00CB3ABA" w:rsidRPr="00001F7B">
        <w:rPr>
          <w:rStyle w:val="FootnoteReference"/>
          <w:rFonts w:cstheme="minorHAnsi"/>
        </w:rPr>
        <w:footnoteReference w:id="208"/>
      </w:r>
      <w:r w:rsidRPr="00001F7B">
        <w:rPr>
          <w:rFonts w:cstheme="minorHAnsi"/>
        </w:rPr>
        <w:t xml:space="preserve"> “The elements of interpretation in article </w:t>
      </w:r>
      <w:r w:rsidR="00394F0E" w:rsidRPr="00001F7B">
        <w:rPr>
          <w:rFonts w:cstheme="minorHAnsi"/>
        </w:rPr>
        <w:t>[</w:t>
      </w:r>
      <w:r w:rsidRPr="00001F7B">
        <w:rPr>
          <w:rFonts w:cstheme="minorHAnsi"/>
        </w:rPr>
        <w:t>31</w:t>
      </w:r>
      <w:r w:rsidR="00394F0E" w:rsidRPr="00001F7B">
        <w:rPr>
          <w:rFonts w:cstheme="minorHAnsi"/>
        </w:rPr>
        <w:t>]</w:t>
      </w:r>
      <w:r w:rsidRPr="00001F7B">
        <w:rPr>
          <w:rFonts w:cstheme="minorHAnsi"/>
        </w:rPr>
        <w:t xml:space="preserve"> all relate to the agreement between the parties at the time when or after it received authentic expression in the text. Ex </w:t>
      </w:r>
      <w:proofErr w:type="spellStart"/>
      <w:r w:rsidRPr="00001F7B">
        <w:rPr>
          <w:rFonts w:cstheme="minorHAnsi"/>
        </w:rPr>
        <w:t>hypothesi</w:t>
      </w:r>
      <w:proofErr w:type="spellEnd"/>
      <w:r w:rsidRPr="00001F7B">
        <w:rPr>
          <w:rFonts w:cstheme="minorHAnsi"/>
        </w:rPr>
        <w:t xml:space="preserve"> this is not the case with preparatory work which does not, in consequence, have the same authentic character as an element of interpretation, however valuable it may sometimes be in throwing light on the expression of the agreement in the text. Moreover, it is beyond question that the records of treaty negotiations are in many cases incomplete or misleading, so that considerable discretion has to be exercised in determining their value as an element of interpretation. Accordingly, the Commission was of the opinion that the distinction made in articles </w:t>
      </w:r>
      <w:r w:rsidR="00CB3ABA" w:rsidRPr="00001F7B">
        <w:rPr>
          <w:rFonts w:cstheme="minorHAnsi"/>
        </w:rPr>
        <w:t>[31]</w:t>
      </w:r>
      <w:r w:rsidRPr="00001F7B">
        <w:rPr>
          <w:rFonts w:cstheme="minorHAnsi"/>
        </w:rPr>
        <w:t xml:space="preserve"> and </w:t>
      </w:r>
      <w:r w:rsidR="00394F0E" w:rsidRPr="00001F7B">
        <w:rPr>
          <w:rFonts w:cstheme="minorHAnsi"/>
        </w:rPr>
        <w:t>[</w:t>
      </w:r>
      <w:r w:rsidR="00CB3ABA" w:rsidRPr="00001F7B">
        <w:rPr>
          <w:rFonts w:cstheme="minorHAnsi"/>
        </w:rPr>
        <w:t>32</w:t>
      </w:r>
      <w:r w:rsidR="00394F0E" w:rsidRPr="00001F7B">
        <w:rPr>
          <w:rFonts w:cstheme="minorHAnsi"/>
        </w:rPr>
        <w:t>]</w:t>
      </w:r>
      <w:r w:rsidRPr="00001F7B">
        <w:rPr>
          <w:rFonts w:cstheme="minorHAnsi"/>
        </w:rPr>
        <w:t xml:space="preserve"> between authentic and supplementary means of interpretation is both justified and desirable. At the same time, it pointed out that the provisions of article </w:t>
      </w:r>
      <w:r w:rsidR="00394F0E" w:rsidRPr="00001F7B">
        <w:rPr>
          <w:rFonts w:cstheme="minorHAnsi"/>
        </w:rPr>
        <w:t>[32]</w:t>
      </w:r>
      <w:r w:rsidRPr="00001F7B">
        <w:rPr>
          <w:rFonts w:cstheme="minorHAnsi"/>
        </w:rPr>
        <w:t xml:space="preserve"> by no means have the effect of drawing a rigid line between the "supplementary" means of interpretation and the means included in article </w:t>
      </w:r>
      <w:r w:rsidR="00394F0E" w:rsidRPr="00001F7B">
        <w:rPr>
          <w:rFonts w:cstheme="minorHAnsi"/>
        </w:rPr>
        <w:t>[31]</w:t>
      </w:r>
      <w:r w:rsidRPr="00001F7B">
        <w:rPr>
          <w:rFonts w:cstheme="minorHAnsi"/>
        </w:rPr>
        <w:t xml:space="preserve">. The fact that article </w:t>
      </w:r>
      <w:r w:rsidR="00394F0E" w:rsidRPr="00001F7B">
        <w:rPr>
          <w:rFonts w:cstheme="minorHAnsi"/>
        </w:rPr>
        <w:t>[31]</w:t>
      </w:r>
      <w:r w:rsidRPr="00001F7B">
        <w:rPr>
          <w:rFonts w:cstheme="minorHAnsi"/>
        </w:rPr>
        <w:t xml:space="preserve"> admits recourse to the supplementary means for the purpose of "confirming" the meaning resulting from the application of article 27 establishes a general link between the two articles and maintains the unity of the process of interpretation.”</w:t>
      </w:r>
      <w:r w:rsidR="0069799A" w:rsidRPr="00001F7B">
        <w:rPr>
          <w:rStyle w:val="FootnoteReference"/>
          <w:rFonts w:cstheme="minorHAnsi"/>
        </w:rPr>
        <w:footnoteReference w:id="209"/>
      </w:r>
    </w:p>
    <w:p w14:paraId="5A455510" w14:textId="77777777" w:rsidR="008D68E4" w:rsidRPr="00001F7B" w:rsidRDefault="008D68E4" w:rsidP="00001F7B">
      <w:pPr>
        <w:rPr>
          <w:rFonts w:cstheme="minorHAnsi"/>
          <w:b/>
          <w:bCs/>
        </w:rPr>
      </w:pPr>
      <w:r w:rsidRPr="00001F7B">
        <w:rPr>
          <w:rFonts w:cstheme="minorHAnsi"/>
          <w:b/>
          <w:bCs/>
        </w:rPr>
        <w:t xml:space="preserve">3.3.2 </w:t>
      </w:r>
      <w:r w:rsidRPr="00001F7B">
        <w:rPr>
          <w:rFonts w:cstheme="minorHAnsi"/>
          <w:b/>
          <w:bCs/>
          <w:i/>
          <w:iCs/>
        </w:rPr>
        <w:t xml:space="preserve">Travaux </w:t>
      </w:r>
      <w:proofErr w:type="spellStart"/>
      <w:r w:rsidRPr="00001F7B">
        <w:rPr>
          <w:rFonts w:cstheme="minorHAnsi"/>
          <w:b/>
          <w:bCs/>
          <w:i/>
          <w:iCs/>
        </w:rPr>
        <w:t>Préparatoires</w:t>
      </w:r>
      <w:proofErr w:type="spellEnd"/>
    </w:p>
    <w:p w14:paraId="7E30893E" w14:textId="773F136A" w:rsidR="009D2F79" w:rsidRPr="00001F7B" w:rsidRDefault="00E812BA" w:rsidP="00001F7B">
      <w:pPr>
        <w:rPr>
          <w:rFonts w:cstheme="minorHAnsi"/>
        </w:rPr>
      </w:pPr>
      <w:r w:rsidRPr="00001F7B">
        <w:rPr>
          <w:rFonts w:cstheme="minorHAnsi"/>
        </w:rPr>
        <w:t>I</w:t>
      </w:r>
      <w:r w:rsidR="00DF4AB6" w:rsidRPr="00001F7B">
        <w:rPr>
          <w:rFonts w:cstheme="minorHAnsi"/>
        </w:rPr>
        <w:t>t seems clear</w:t>
      </w:r>
      <w:r w:rsidRPr="00001F7B">
        <w:rPr>
          <w:rFonts w:cstheme="minorHAnsi"/>
        </w:rPr>
        <w:t>, therefore,</w:t>
      </w:r>
      <w:r w:rsidR="00DF4AB6" w:rsidRPr="00001F7B">
        <w:rPr>
          <w:rFonts w:cstheme="minorHAnsi"/>
        </w:rPr>
        <w:t xml:space="preserve"> that despite the distinction drawn between those elements of interpretation that are authentic and binding in character and supplementary means there was no intention to discourag</w:t>
      </w:r>
      <w:r w:rsidR="004B66C1" w:rsidRPr="00001F7B">
        <w:rPr>
          <w:rFonts w:cstheme="minorHAnsi"/>
        </w:rPr>
        <w:t>e the</w:t>
      </w:r>
      <w:r w:rsidR="00DF4AB6" w:rsidRPr="00001F7B">
        <w:rPr>
          <w:rFonts w:cstheme="minorHAnsi"/>
        </w:rPr>
        <w:t xml:space="preserve"> automatic recourse to preparatory work for the general understanding of a treaty</w:t>
      </w:r>
      <w:r w:rsidR="004B66C1" w:rsidRPr="00001F7B">
        <w:rPr>
          <w:rFonts w:cstheme="minorHAnsi"/>
        </w:rPr>
        <w:t>.</w:t>
      </w:r>
      <w:r w:rsidR="004B66C1" w:rsidRPr="00001F7B">
        <w:rPr>
          <w:rStyle w:val="FootnoteReference"/>
          <w:rFonts w:cstheme="minorHAnsi"/>
        </w:rPr>
        <w:footnoteReference w:id="210"/>
      </w:r>
      <w:r w:rsidR="00456B92" w:rsidRPr="00001F7B">
        <w:rPr>
          <w:rFonts w:cstheme="minorHAnsi"/>
        </w:rPr>
        <w:t xml:space="preserve"> Nevertheless </w:t>
      </w:r>
      <w:r w:rsidR="002914E8" w:rsidRPr="00001F7B">
        <w:rPr>
          <w:rFonts w:cstheme="minorHAnsi"/>
        </w:rPr>
        <w:t xml:space="preserve">there is a priority given to the means provided in art 31 </w:t>
      </w:r>
      <w:r w:rsidRPr="00001F7B">
        <w:rPr>
          <w:rFonts w:cstheme="minorHAnsi"/>
        </w:rPr>
        <w:t xml:space="preserve">which </w:t>
      </w:r>
      <w:r w:rsidR="002914E8" w:rsidRPr="00001F7B">
        <w:rPr>
          <w:rFonts w:cstheme="minorHAnsi"/>
        </w:rPr>
        <w:t>reflects fundamental limitations placed on the capacity for any supplementary means to override the ordinary meaning as determined under art 31.</w:t>
      </w:r>
      <w:r w:rsidR="008D68E4" w:rsidRPr="00001F7B">
        <w:rPr>
          <w:rStyle w:val="FootnoteReference"/>
          <w:rFonts w:cstheme="minorHAnsi"/>
        </w:rPr>
        <w:footnoteReference w:id="211"/>
      </w:r>
      <w:r w:rsidR="002914E8" w:rsidRPr="00001F7B">
        <w:rPr>
          <w:rFonts w:cstheme="minorHAnsi"/>
        </w:rPr>
        <w:t xml:space="preserve"> Whilst supplementary means can be used to confirm this meaning the fact that the supplementary means contradicts it is no </w:t>
      </w:r>
      <w:r w:rsidR="002D036B" w:rsidRPr="00001F7B">
        <w:rPr>
          <w:rFonts w:cstheme="minorHAnsi"/>
        </w:rPr>
        <w:t xml:space="preserve">automatic </w:t>
      </w:r>
      <w:r w:rsidR="002914E8" w:rsidRPr="00001F7B">
        <w:rPr>
          <w:rFonts w:cstheme="minorHAnsi"/>
        </w:rPr>
        <w:t>justifi</w:t>
      </w:r>
      <w:r w:rsidR="00350F51" w:rsidRPr="00001F7B">
        <w:rPr>
          <w:rFonts w:cstheme="minorHAnsi"/>
        </w:rPr>
        <w:t>cation for overriding it. In the case of ambiguity</w:t>
      </w:r>
      <w:r w:rsidR="004B0CA1" w:rsidRPr="00001F7B">
        <w:rPr>
          <w:rFonts w:cstheme="minorHAnsi"/>
        </w:rPr>
        <w:t xml:space="preserve"> or obscurity</w:t>
      </w:r>
      <w:r w:rsidR="00350F51" w:rsidRPr="00001F7B">
        <w:rPr>
          <w:rFonts w:cstheme="minorHAnsi"/>
        </w:rPr>
        <w:t xml:space="preserve"> there is no question of overriding the ordinary meaning since </w:t>
      </w:r>
      <w:r w:rsidR="00350F51" w:rsidRPr="00001F7B">
        <w:rPr>
          <w:rFonts w:cstheme="minorHAnsi"/>
          <w:i/>
          <w:iCs/>
        </w:rPr>
        <w:t>a fortiori</w:t>
      </w:r>
      <w:r w:rsidR="00350F51" w:rsidRPr="00001F7B">
        <w:rPr>
          <w:rFonts w:cstheme="minorHAnsi"/>
        </w:rPr>
        <w:t xml:space="preserve"> if there is an ambiguity then no ordinary meaning can be identified.</w:t>
      </w:r>
      <w:r w:rsidR="0077310E" w:rsidRPr="00001F7B">
        <w:rPr>
          <w:rStyle w:val="FootnoteReference"/>
          <w:rFonts w:cstheme="minorHAnsi"/>
        </w:rPr>
        <w:footnoteReference w:id="212"/>
      </w:r>
      <w:r w:rsidR="00350F51" w:rsidRPr="00001F7B">
        <w:rPr>
          <w:rFonts w:cstheme="minorHAnsi"/>
        </w:rPr>
        <w:t xml:space="preserve"> Presumably a court would find it hard to justify a </w:t>
      </w:r>
      <w:r w:rsidR="00BB2CBE" w:rsidRPr="00001F7B">
        <w:rPr>
          <w:rFonts w:cstheme="minorHAnsi"/>
        </w:rPr>
        <w:t>firm view</w:t>
      </w:r>
      <w:r w:rsidR="00350F51" w:rsidRPr="00001F7B">
        <w:rPr>
          <w:rFonts w:cstheme="minorHAnsi"/>
        </w:rPr>
        <w:t xml:space="preserve"> that there was no ambiguity and hence the existence of an ordinary meaning and then to discover an ambiguity having consulted the supplementary means.</w:t>
      </w:r>
      <w:r w:rsidR="008403CD" w:rsidRPr="00001F7B">
        <w:rPr>
          <w:rFonts w:cstheme="minorHAnsi"/>
        </w:rPr>
        <w:t xml:space="preserve"> </w:t>
      </w:r>
      <w:r w:rsidR="00AA6F7A" w:rsidRPr="00001F7B">
        <w:rPr>
          <w:rFonts w:cstheme="minorHAnsi"/>
        </w:rPr>
        <w:t xml:space="preserve">However, </w:t>
      </w:r>
      <w:r w:rsidR="008403CD" w:rsidRPr="00001F7B">
        <w:rPr>
          <w:rFonts w:cstheme="minorHAnsi"/>
        </w:rPr>
        <w:t>this may be accommodated in the idea that the reality is that the Rules really involve a circular process where initial impressions are either reinforced or contradicted by the changing focus on the different parts of them.</w:t>
      </w:r>
      <w:r w:rsidR="008E12DB" w:rsidRPr="00001F7B">
        <w:rPr>
          <w:rStyle w:val="FootnoteReference"/>
          <w:rFonts w:cstheme="minorHAnsi"/>
        </w:rPr>
        <w:footnoteReference w:id="213"/>
      </w:r>
      <w:r w:rsidR="00350F51" w:rsidRPr="00001F7B">
        <w:rPr>
          <w:rFonts w:cstheme="minorHAnsi"/>
        </w:rPr>
        <w:t xml:space="preserve"> Finally, the only genuine way in which supplementary means can override the ordinary meaning is if the high bar of manifest absurdity or unreasonableness was overcome</w:t>
      </w:r>
      <w:r w:rsidR="00484262" w:rsidRPr="00001F7B">
        <w:rPr>
          <w:rFonts w:cstheme="minorHAnsi"/>
        </w:rPr>
        <w:t>, which would seem likely to be a somewhat rare occurrence.</w:t>
      </w:r>
      <w:r w:rsidR="00484262" w:rsidRPr="00001F7B">
        <w:rPr>
          <w:rStyle w:val="FootnoteReference"/>
          <w:rFonts w:cstheme="minorHAnsi"/>
        </w:rPr>
        <w:footnoteReference w:id="214"/>
      </w:r>
      <w:r w:rsidR="00DF7F28" w:rsidRPr="00001F7B">
        <w:rPr>
          <w:rFonts w:cstheme="minorHAnsi"/>
        </w:rPr>
        <w:t xml:space="preserve"> If this bar was reached good faith would support a court’s decision to override the ordinary meaning. </w:t>
      </w:r>
      <w:r w:rsidR="008D68E4" w:rsidRPr="00001F7B">
        <w:rPr>
          <w:rFonts w:cstheme="minorHAnsi"/>
        </w:rPr>
        <w:t>As noted above,</w:t>
      </w:r>
      <w:r w:rsidR="008D68E4" w:rsidRPr="00001F7B">
        <w:rPr>
          <w:rStyle w:val="FootnoteReference"/>
          <w:rFonts w:cstheme="minorHAnsi"/>
        </w:rPr>
        <w:footnoteReference w:id="215"/>
      </w:r>
      <w:r w:rsidR="008D68E4" w:rsidRPr="00001F7B">
        <w:rPr>
          <w:rFonts w:cstheme="minorHAnsi"/>
        </w:rPr>
        <w:t xml:space="preserve"> </w:t>
      </w:r>
      <w:r w:rsidR="00DF7F28" w:rsidRPr="00001F7B">
        <w:rPr>
          <w:rFonts w:cstheme="minorHAnsi"/>
        </w:rPr>
        <w:t xml:space="preserve">good faith </w:t>
      </w:r>
      <w:r w:rsidR="00CE2C8F" w:rsidRPr="00001F7B">
        <w:rPr>
          <w:rFonts w:cstheme="minorHAnsi"/>
        </w:rPr>
        <w:t xml:space="preserve">might have a wider role, where the view was that the text did not reflect the intentions of the legislator, but that too would seem to require strong </w:t>
      </w:r>
      <w:r w:rsidR="00DF7F28" w:rsidRPr="00001F7B">
        <w:rPr>
          <w:rFonts w:cstheme="minorHAnsi"/>
        </w:rPr>
        <w:t>evidence derived from supplementary means.</w:t>
      </w:r>
    </w:p>
    <w:p w14:paraId="2C1D322B" w14:textId="13505A7A" w:rsidR="009D2F79" w:rsidRPr="00001F7B" w:rsidRDefault="00513CC2" w:rsidP="00001F7B">
      <w:pPr>
        <w:rPr>
          <w:rFonts w:cstheme="minorHAnsi"/>
        </w:rPr>
      </w:pPr>
      <w:r w:rsidRPr="00001F7B">
        <w:rPr>
          <w:rFonts w:cstheme="minorHAnsi"/>
        </w:rPr>
        <w:t xml:space="preserve">A point </w:t>
      </w:r>
      <w:r w:rsidR="005C4778" w:rsidRPr="00001F7B">
        <w:rPr>
          <w:rFonts w:cstheme="minorHAnsi"/>
        </w:rPr>
        <w:t>discussed</w:t>
      </w:r>
      <w:r w:rsidR="00484262" w:rsidRPr="00001F7B">
        <w:rPr>
          <w:rFonts w:cstheme="minorHAnsi"/>
        </w:rPr>
        <w:t xml:space="preserve"> </w:t>
      </w:r>
      <w:r w:rsidRPr="00001F7B">
        <w:rPr>
          <w:rFonts w:cstheme="minorHAnsi"/>
        </w:rPr>
        <w:t xml:space="preserve">by the ILC concerned </w:t>
      </w:r>
      <w:r w:rsidR="00484262" w:rsidRPr="00001F7B">
        <w:rPr>
          <w:rFonts w:cstheme="minorHAnsi"/>
        </w:rPr>
        <w:t xml:space="preserve">the </w:t>
      </w:r>
      <w:r w:rsidR="005C4778" w:rsidRPr="00001F7B">
        <w:rPr>
          <w:rFonts w:cstheme="minorHAnsi"/>
        </w:rPr>
        <w:t>use</w:t>
      </w:r>
      <w:r w:rsidR="00484262" w:rsidRPr="00001F7B">
        <w:rPr>
          <w:rFonts w:cstheme="minorHAnsi"/>
        </w:rPr>
        <w:t xml:space="preserve"> of </w:t>
      </w:r>
      <w:r w:rsidR="008A42B1" w:rsidRPr="00001F7B">
        <w:rPr>
          <w:rFonts w:cstheme="minorHAnsi"/>
        </w:rPr>
        <w:t>preparatory</w:t>
      </w:r>
      <w:r w:rsidR="00484262" w:rsidRPr="00001F7B">
        <w:rPr>
          <w:rFonts w:cstheme="minorHAnsi"/>
        </w:rPr>
        <w:t xml:space="preserve"> materials </w:t>
      </w:r>
      <w:r w:rsidR="005C4778" w:rsidRPr="00001F7B">
        <w:rPr>
          <w:rFonts w:cstheme="minorHAnsi"/>
        </w:rPr>
        <w:t>as regards states acceding later to a treaty without having participated in its preparation.</w:t>
      </w:r>
      <w:r w:rsidR="00177870" w:rsidRPr="00001F7B">
        <w:rPr>
          <w:rStyle w:val="FootnoteReference"/>
          <w:rFonts w:cstheme="minorHAnsi"/>
        </w:rPr>
        <w:footnoteReference w:id="216"/>
      </w:r>
      <w:r w:rsidR="00177870" w:rsidRPr="00001F7B">
        <w:rPr>
          <w:rFonts w:cstheme="minorHAnsi"/>
        </w:rPr>
        <w:t xml:space="preserve"> The Commission did not wish to lay down </w:t>
      </w:r>
      <w:r w:rsidR="0069580D" w:rsidRPr="00001F7B">
        <w:rPr>
          <w:rFonts w:cstheme="minorHAnsi"/>
        </w:rPr>
        <w:t xml:space="preserve">a </w:t>
      </w:r>
      <w:r w:rsidR="00177870" w:rsidRPr="00001F7B">
        <w:rPr>
          <w:rFonts w:cstheme="minorHAnsi"/>
        </w:rPr>
        <w:t xml:space="preserve">rule </w:t>
      </w:r>
      <w:r w:rsidR="00755BFF" w:rsidRPr="00001F7B">
        <w:rPr>
          <w:rFonts w:cstheme="minorHAnsi"/>
        </w:rPr>
        <w:t xml:space="preserve">excluding consideration </w:t>
      </w:r>
      <w:r w:rsidR="00341698" w:rsidRPr="00001F7B">
        <w:rPr>
          <w:rFonts w:cstheme="minorHAnsi"/>
        </w:rPr>
        <w:t xml:space="preserve">of </w:t>
      </w:r>
      <w:r w:rsidR="00177870" w:rsidRPr="00001F7B">
        <w:rPr>
          <w:rFonts w:cstheme="minorHAnsi"/>
          <w:i/>
          <w:iCs/>
        </w:rPr>
        <w:t xml:space="preserve">travaux </w:t>
      </w:r>
      <w:r w:rsidR="00177870" w:rsidRPr="00001F7B">
        <w:rPr>
          <w:rFonts w:cstheme="minorHAnsi"/>
        </w:rPr>
        <w:t>where</w:t>
      </w:r>
      <w:r w:rsidR="00755BFF" w:rsidRPr="00001F7B">
        <w:rPr>
          <w:rFonts w:cstheme="minorHAnsi"/>
        </w:rPr>
        <w:t xml:space="preserve"> some parties to a treaty had not participated in the negotiations </w:t>
      </w:r>
      <w:r w:rsidR="00B140B1">
        <w:rPr>
          <w:rFonts w:cstheme="minorHAnsi"/>
        </w:rPr>
        <w:t>and</w:t>
      </w:r>
      <w:r w:rsidR="00755BFF" w:rsidRPr="00001F7B">
        <w:rPr>
          <w:rFonts w:cstheme="minorHAnsi"/>
        </w:rPr>
        <w:t xml:space="preserve"> they doubted </w:t>
      </w:r>
      <w:r w:rsidR="00B140B1">
        <w:rPr>
          <w:rFonts w:cstheme="minorHAnsi"/>
        </w:rPr>
        <w:t xml:space="preserve">that such a rule would </w:t>
      </w:r>
      <w:r w:rsidR="00755BFF" w:rsidRPr="00001F7B">
        <w:rPr>
          <w:rFonts w:cstheme="minorHAnsi"/>
        </w:rPr>
        <w:t>reflec</w:t>
      </w:r>
      <w:r w:rsidR="00B140B1">
        <w:rPr>
          <w:rFonts w:cstheme="minorHAnsi"/>
        </w:rPr>
        <w:t>t</w:t>
      </w:r>
      <w:r w:rsidR="00755BFF" w:rsidRPr="00001F7B">
        <w:rPr>
          <w:rFonts w:cstheme="minorHAnsi"/>
        </w:rPr>
        <w:t xml:space="preserve"> the actual practice </w:t>
      </w:r>
      <w:r w:rsidR="00341698" w:rsidRPr="00001F7B">
        <w:rPr>
          <w:rFonts w:cstheme="minorHAnsi"/>
        </w:rPr>
        <w:t>in</w:t>
      </w:r>
      <w:r w:rsidR="00755BFF" w:rsidRPr="00001F7B">
        <w:rPr>
          <w:rFonts w:cstheme="minorHAnsi"/>
        </w:rPr>
        <w:t xml:space="preserve"> respect of multilateral treaties. </w:t>
      </w:r>
      <w:r w:rsidR="00BD6711" w:rsidRPr="00001F7B">
        <w:rPr>
          <w:rFonts w:cstheme="minorHAnsi"/>
        </w:rPr>
        <w:t>G</w:t>
      </w:r>
      <w:r w:rsidR="00341698" w:rsidRPr="00001F7B">
        <w:rPr>
          <w:rFonts w:cstheme="minorHAnsi"/>
        </w:rPr>
        <w:t xml:space="preserve">iven the many multilateral treaties open to accession </w:t>
      </w:r>
      <w:r w:rsidR="00BD6711" w:rsidRPr="00001F7B">
        <w:rPr>
          <w:rFonts w:cstheme="minorHAnsi"/>
        </w:rPr>
        <w:t xml:space="preserve">such </w:t>
      </w:r>
      <w:r w:rsidR="00341698" w:rsidRPr="00001F7B">
        <w:rPr>
          <w:rFonts w:cstheme="minorHAnsi"/>
        </w:rPr>
        <w:t>a rule would be practically inconvenient. However, it did m</w:t>
      </w:r>
      <w:r w:rsidR="00153941" w:rsidRPr="00001F7B">
        <w:rPr>
          <w:rFonts w:cstheme="minorHAnsi"/>
        </w:rPr>
        <w:t xml:space="preserve">ake </w:t>
      </w:r>
      <w:r w:rsidR="00B140B1">
        <w:rPr>
          <w:rFonts w:cstheme="minorHAnsi"/>
        </w:rPr>
        <w:t xml:space="preserve">the </w:t>
      </w:r>
      <w:r w:rsidR="00153941" w:rsidRPr="00001F7B">
        <w:rPr>
          <w:rFonts w:cstheme="minorHAnsi"/>
        </w:rPr>
        <w:t>point that a</w:t>
      </w:r>
      <w:r w:rsidR="00755BFF" w:rsidRPr="00001F7B">
        <w:rPr>
          <w:rFonts w:cstheme="minorHAnsi"/>
        </w:rPr>
        <w:t xml:space="preserve"> state could request sight of the </w:t>
      </w:r>
      <w:r w:rsidR="00755BFF" w:rsidRPr="00001F7B">
        <w:rPr>
          <w:rFonts w:cstheme="minorHAnsi"/>
          <w:i/>
          <w:iCs/>
        </w:rPr>
        <w:t xml:space="preserve">travaux </w:t>
      </w:r>
      <w:r w:rsidR="00755BFF" w:rsidRPr="00001F7B">
        <w:rPr>
          <w:rFonts w:cstheme="minorHAnsi"/>
        </w:rPr>
        <w:t>before acceding</w:t>
      </w:r>
      <w:r w:rsidR="006C1D15" w:rsidRPr="00001F7B">
        <w:rPr>
          <w:rFonts w:cstheme="minorHAnsi"/>
        </w:rPr>
        <w:t xml:space="preserve">. </w:t>
      </w:r>
      <w:r w:rsidR="00153941" w:rsidRPr="00001F7B">
        <w:rPr>
          <w:rFonts w:cstheme="minorHAnsi"/>
        </w:rPr>
        <w:t xml:space="preserve">Whether a state could ever have done this (or </w:t>
      </w:r>
      <w:r w:rsidR="00AA6F7A" w:rsidRPr="00001F7B">
        <w:rPr>
          <w:rFonts w:cstheme="minorHAnsi"/>
        </w:rPr>
        <w:t xml:space="preserve">had </w:t>
      </w:r>
      <w:r w:rsidR="00153941" w:rsidRPr="00001F7B">
        <w:rPr>
          <w:rFonts w:cstheme="minorHAnsi"/>
        </w:rPr>
        <w:t>attempted to) with CMR is unclear. The</w:t>
      </w:r>
      <w:r w:rsidR="004B240A" w:rsidRPr="00001F7B">
        <w:rPr>
          <w:rFonts w:cstheme="minorHAnsi"/>
        </w:rPr>
        <w:t xml:space="preserve"> </w:t>
      </w:r>
      <w:r w:rsidR="009A6846" w:rsidRPr="00001F7B">
        <w:rPr>
          <w:rFonts w:cstheme="minorHAnsi"/>
        </w:rPr>
        <w:t xml:space="preserve">CMR </w:t>
      </w:r>
      <w:r w:rsidR="009A6846" w:rsidRPr="00001F7B">
        <w:rPr>
          <w:rFonts w:cstheme="minorHAnsi"/>
          <w:i/>
          <w:iCs/>
        </w:rPr>
        <w:t>travaux</w:t>
      </w:r>
      <w:r w:rsidR="00153941" w:rsidRPr="00001F7B">
        <w:rPr>
          <w:rFonts w:cstheme="minorHAnsi"/>
        </w:rPr>
        <w:t xml:space="preserve"> are not published nor have they been easy to access. </w:t>
      </w:r>
      <w:r w:rsidR="008D5D8E" w:rsidRPr="00001F7B">
        <w:rPr>
          <w:rFonts w:cstheme="minorHAnsi"/>
        </w:rPr>
        <w:t>Arguably</w:t>
      </w:r>
      <w:r w:rsidR="009073EF" w:rsidRPr="00001F7B">
        <w:rPr>
          <w:rFonts w:cstheme="minorHAnsi"/>
        </w:rPr>
        <w:t xml:space="preserve">, the lack of accessibility to a state should not be seen as in itself a major obstacle. </w:t>
      </w:r>
      <w:r w:rsidR="0003491F" w:rsidRPr="00001F7B">
        <w:rPr>
          <w:rFonts w:cstheme="minorHAnsi"/>
        </w:rPr>
        <w:t xml:space="preserve">As Sinclair noted in the conference more weight </w:t>
      </w:r>
      <w:r w:rsidR="00AA6F7A" w:rsidRPr="00001F7B">
        <w:rPr>
          <w:rFonts w:cstheme="minorHAnsi"/>
        </w:rPr>
        <w:t xml:space="preserve">given to them </w:t>
      </w:r>
      <w:r w:rsidR="004F46CF" w:rsidRPr="00001F7B">
        <w:rPr>
          <w:rFonts w:cstheme="minorHAnsi"/>
        </w:rPr>
        <w:t>would mean more need for a state to engage in study of the preparatory work.</w:t>
      </w:r>
      <w:r w:rsidR="004F46CF" w:rsidRPr="00001F7B">
        <w:rPr>
          <w:rStyle w:val="FootnoteReference"/>
          <w:rFonts w:cstheme="minorHAnsi"/>
        </w:rPr>
        <w:footnoteReference w:id="217"/>
      </w:r>
      <w:r w:rsidR="004F46CF" w:rsidRPr="00001F7B">
        <w:rPr>
          <w:rFonts w:cstheme="minorHAnsi"/>
        </w:rPr>
        <w:t xml:space="preserve"> The compromise achieved would greatly reduce the necessity for a state to do this. </w:t>
      </w:r>
      <w:r w:rsidR="009073EF" w:rsidRPr="00001F7B">
        <w:rPr>
          <w:rFonts w:cstheme="minorHAnsi"/>
        </w:rPr>
        <w:t xml:space="preserve">A state’s decision to enter a convention is surely based on wider considerations </w:t>
      </w:r>
      <w:r w:rsidR="005F3E7A" w:rsidRPr="00001F7B">
        <w:rPr>
          <w:rFonts w:cstheme="minorHAnsi"/>
        </w:rPr>
        <w:t>such as</w:t>
      </w:r>
      <w:r w:rsidR="009073EF" w:rsidRPr="00001F7B">
        <w:rPr>
          <w:rFonts w:cstheme="minorHAnsi"/>
        </w:rPr>
        <w:t xml:space="preserve"> the overall quality and value of the convention</w:t>
      </w:r>
      <w:r w:rsidR="005F3E7A" w:rsidRPr="00001F7B">
        <w:rPr>
          <w:rFonts w:cstheme="minorHAnsi"/>
        </w:rPr>
        <w:t xml:space="preserve">. Under </w:t>
      </w:r>
      <w:r w:rsidR="00BD6711" w:rsidRPr="00001F7B">
        <w:rPr>
          <w:rFonts w:cstheme="minorHAnsi"/>
        </w:rPr>
        <w:t xml:space="preserve">the </w:t>
      </w:r>
      <w:r w:rsidR="005F3E7A" w:rsidRPr="00001F7B">
        <w:rPr>
          <w:rFonts w:cstheme="minorHAnsi"/>
        </w:rPr>
        <w:t xml:space="preserve">VCLT </w:t>
      </w:r>
      <w:r w:rsidR="002B7C75" w:rsidRPr="00001F7B">
        <w:rPr>
          <w:rFonts w:cstheme="minorHAnsi"/>
        </w:rPr>
        <w:t xml:space="preserve">since </w:t>
      </w:r>
      <w:r w:rsidR="005F3E7A" w:rsidRPr="00001F7B">
        <w:rPr>
          <w:rFonts w:cstheme="minorHAnsi"/>
        </w:rPr>
        <w:t xml:space="preserve">it is mainly in the case of ambiguity </w:t>
      </w:r>
      <w:r w:rsidR="00380CBC" w:rsidRPr="00001F7B">
        <w:rPr>
          <w:rFonts w:cstheme="minorHAnsi"/>
        </w:rPr>
        <w:t xml:space="preserve">or obscurity </w:t>
      </w:r>
      <w:r w:rsidR="005F3E7A" w:rsidRPr="00001F7B">
        <w:rPr>
          <w:rFonts w:cstheme="minorHAnsi"/>
        </w:rPr>
        <w:t xml:space="preserve">that a meaning other than the ordinary (or clearly established special) one </w:t>
      </w:r>
      <w:r w:rsidR="00027260" w:rsidRPr="00001F7B">
        <w:rPr>
          <w:rFonts w:cstheme="minorHAnsi"/>
        </w:rPr>
        <w:t xml:space="preserve">can be given based on </w:t>
      </w:r>
      <w:r w:rsidR="00027260" w:rsidRPr="00001F7B">
        <w:rPr>
          <w:rFonts w:cstheme="minorHAnsi"/>
          <w:i/>
          <w:iCs/>
        </w:rPr>
        <w:t>travaux</w:t>
      </w:r>
      <w:r w:rsidR="002B7C75" w:rsidRPr="00001F7B">
        <w:rPr>
          <w:rFonts w:cstheme="minorHAnsi"/>
        </w:rPr>
        <w:t xml:space="preserve">, a </w:t>
      </w:r>
      <w:r w:rsidR="00E2071F" w:rsidRPr="00001F7B">
        <w:rPr>
          <w:rFonts w:cstheme="minorHAnsi"/>
        </w:rPr>
        <w:t xml:space="preserve">state could </w:t>
      </w:r>
      <w:r w:rsidR="002B7C75" w:rsidRPr="00001F7B">
        <w:rPr>
          <w:rFonts w:cstheme="minorHAnsi"/>
        </w:rPr>
        <w:t xml:space="preserve">easily base its decision on the degree of risk that ambiguity </w:t>
      </w:r>
      <w:r w:rsidR="00380CBC" w:rsidRPr="00001F7B">
        <w:rPr>
          <w:rFonts w:cstheme="minorHAnsi"/>
        </w:rPr>
        <w:t xml:space="preserve">or obscurity </w:t>
      </w:r>
      <w:r w:rsidR="002B7C75" w:rsidRPr="00001F7B">
        <w:rPr>
          <w:rFonts w:cstheme="minorHAnsi"/>
        </w:rPr>
        <w:t xml:space="preserve">may represent. It is more the general inability of a court to access </w:t>
      </w:r>
      <w:r w:rsidR="002B7C75" w:rsidRPr="00001F7B">
        <w:rPr>
          <w:rFonts w:cstheme="minorHAnsi"/>
          <w:i/>
          <w:iCs/>
        </w:rPr>
        <w:t>travaux</w:t>
      </w:r>
      <w:r w:rsidR="002B7C75" w:rsidRPr="00001F7B">
        <w:rPr>
          <w:rFonts w:cstheme="minorHAnsi"/>
        </w:rPr>
        <w:t xml:space="preserve"> that seems to be more pertinent</w:t>
      </w:r>
      <w:r w:rsidR="00BD6711" w:rsidRPr="00001F7B">
        <w:rPr>
          <w:rFonts w:cstheme="minorHAnsi"/>
        </w:rPr>
        <w:t>.</w:t>
      </w:r>
      <w:r w:rsidR="00B45526" w:rsidRPr="00001F7B">
        <w:rPr>
          <w:rFonts w:cstheme="minorHAnsi"/>
        </w:rPr>
        <w:t xml:space="preserve"> </w:t>
      </w:r>
    </w:p>
    <w:p w14:paraId="39EA3B6F" w14:textId="51E4EC5D" w:rsidR="009C5978" w:rsidRPr="00001F7B" w:rsidRDefault="00EB4707" w:rsidP="00001F7B">
      <w:pPr>
        <w:pStyle w:val="NormalWeb"/>
        <w:spacing w:before="0" w:beforeAutospacing="0" w:after="0" w:afterAutospacing="0"/>
        <w:rPr>
          <w:rFonts w:asciiTheme="minorHAnsi" w:hAnsiTheme="minorHAnsi" w:cstheme="minorHAnsi"/>
          <w:sz w:val="22"/>
          <w:szCs w:val="22"/>
        </w:rPr>
      </w:pPr>
      <w:r w:rsidRPr="00001F7B">
        <w:rPr>
          <w:rFonts w:asciiTheme="minorHAnsi" w:hAnsiTheme="minorHAnsi" w:cstheme="minorHAnsi"/>
          <w:sz w:val="22"/>
          <w:szCs w:val="22"/>
        </w:rPr>
        <w:t>The lack of publication and accessibility has been an objection to their use in CMR cases</w:t>
      </w:r>
      <w:r w:rsidR="00BB7DF1" w:rsidRPr="00001F7B">
        <w:rPr>
          <w:rFonts w:asciiTheme="minorHAnsi" w:hAnsiTheme="minorHAnsi" w:cstheme="minorHAnsi"/>
          <w:sz w:val="22"/>
          <w:szCs w:val="22"/>
        </w:rPr>
        <w:t>.</w:t>
      </w:r>
      <w:r w:rsidRPr="00001F7B">
        <w:rPr>
          <w:rStyle w:val="FootnoteReference"/>
          <w:rFonts w:asciiTheme="minorHAnsi" w:hAnsiTheme="minorHAnsi" w:cstheme="minorHAnsi"/>
          <w:sz w:val="22"/>
          <w:szCs w:val="22"/>
        </w:rPr>
        <w:footnoteReference w:id="218"/>
      </w:r>
      <w:r w:rsidR="00BB7DF1" w:rsidRPr="00001F7B">
        <w:rPr>
          <w:rFonts w:asciiTheme="minorHAnsi" w:hAnsiTheme="minorHAnsi" w:cstheme="minorHAnsi"/>
          <w:sz w:val="22"/>
          <w:szCs w:val="22"/>
        </w:rPr>
        <w:t xml:space="preserve"> In </w:t>
      </w:r>
      <w:proofErr w:type="spellStart"/>
      <w:r w:rsidR="005D4750" w:rsidRPr="00001F7B">
        <w:rPr>
          <w:rFonts w:asciiTheme="minorHAnsi" w:hAnsiTheme="minorHAnsi" w:cstheme="minorHAnsi"/>
          <w:i/>
          <w:iCs/>
          <w:sz w:val="22"/>
          <w:szCs w:val="22"/>
        </w:rPr>
        <w:t>Fothergill</w:t>
      </w:r>
      <w:proofErr w:type="spellEnd"/>
      <w:r w:rsidR="00B40655" w:rsidRPr="00001F7B">
        <w:rPr>
          <w:rFonts w:asciiTheme="minorHAnsi" w:hAnsiTheme="minorHAnsi" w:cstheme="minorHAnsi"/>
          <w:sz w:val="22"/>
          <w:szCs w:val="22"/>
        </w:rPr>
        <w:t>,</w:t>
      </w:r>
      <w:r w:rsidR="00B40655" w:rsidRPr="00001F7B">
        <w:rPr>
          <w:rStyle w:val="FootnoteReference"/>
          <w:rFonts w:asciiTheme="minorHAnsi" w:hAnsiTheme="minorHAnsi" w:cstheme="minorHAnsi"/>
          <w:sz w:val="22"/>
          <w:szCs w:val="22"/>
        </w:rPr>
        <w:footnoteReference w:id="219"/>
      </w:r>
      <w:r w:rsidR="005D4750" w:rsidRPr="00001F7B">
        <w:rPr>
          <w:rFonts w:asciiTheme="minorHAnsi" w:hAnsiTheme="minorHAnsi" w:cstheme="minorHAnsi"/>
          <w:sz w:val="22"/>
          <w:szCs w:val="22"/>
        </w:rPr>
        <w:t xml:space="preserve"> Lord Wilberforce, in the context of interpreting the Warsaw Convention noted two preconditions for the use of </w:t>
      </w:r>
      <w:r w:rsidR="005D4750" w:rsidRPr="00001F7B">
        <w:rPr>
          <w:rFonts w:asciiTheme="minorHAnsi" w:hAnsiTheme="minorHAnsi" w:cstheme="minorHAnsi"/>
          <w:i/>
          <w:iCs/>
          <w:sz w:val="22"/>
          <w:szCs w:val="22"/>
        </w:rPr>
        <w:t>travaux</w:t>
      </w:r>
      <w:r w:rsidR="005D4750" w:rsidRPr="00001F7B">
        <w:rPr>
          <w:rFonts w:asciiTheme="minorHAnsi" w:hAnsiTheme="minorHAnsi" w:cstheme="minorHAnsi"/>
          <w:sz w:val="22"/>
          <w:szCs w:val="22"/>
        </w:rPr>
        <w:t>: they must be public and accessible and must clearly and indisputably point to a definite legislative intention. The Dutch Supreme court has expressed the view that it is not possible to have regard to the drafting history of CMR since they have not been published or made available for public consultation.</w:t>
      </w:r>
      <w:r w:rsidR="009C5978" w:rsidRPr="00001F7B">
        <w:rPr>
          <w:rStyle w:val="FootnoteReference"/>
          <w:rFonts w:asciiTheme="minorHAnsi" w:hAnsiTheme="minorHAnsi" w:cstheme="minorHAnsi"/>
          <w:sz w:val="22"/>
          <w:szCs w:val="22"/>
        </w:rPr>
        <w:footnoteReference w:id="220"/>
      </w:r>
      <w:r w:rsidR="005D4750" w:rsidRPr="00001F7B">
        <w:rPr>
          <w:rFonts w:asciiTheme="minorHAnsi" w:hAnsiTheme="minorHAnsi" w:cstheme="minorHAnsi"/>
          <w:sz w:val="22"/>
          <w:szCs w:val="22"/>
        </w:rPr>
        <w:t xml:space="preserve"> </w:t>
      </w:r>
      <w:r w:rsidR="009C5978" w:rsidRPr="00001F7B">
        <w:rPr>
          <w:rFonts w:asciiTheme="minorHAnsi" w:hAnsiTheme="minorHAnsi" w:cstheme="minorHAnsi"/>
          <w:sz w:val="22"/>
          <w:szCs w:val="22"/>
        </w:rPr>
        <w:t>This view has been followed in Germany.</w:t>
      </w:r>
      <w:r w:rsidR="00B40655" w:rsidRPr="00001F7B">
        <w:rPr>
          <w:rStyle w:val="FootnoteReference"/>
          <w:rFonts w:asciiTheme="minorHAnsi" w:hAnsiTheme="minorHAnsi" w:cstheme="minorHAnsi"/>
          <w:sz w:val="22"/>
          <w:szCs w:val="22"/>
        </w:rPr>
        <w:footnoteReference w:id="221"/>
      </w:r>
      <w:r w:rsidR="00B40655" w:rsidRPr="00001F7B">
        <w:rPr>
          <w:rFonts w:asciiTheme="minorHAnsi" w:hAnsiTheme="minorHAnsi" w:cstheme="minorHAnsi"/>
          <w:sz w:val="22"/>
          <w:szCs w:val="22"/>
        </w:rPr>
        <w:t xml:space="preserve"> Apart from texts which have drawn on the </w:t>
      </w:r>
      <w:r w:rsidR="00B40655" w:rsidRPr="00001F7B">
        <w:rPr>
          <w:rFonts w:asciiTheme="minorHAnsi" w:hAnsiTheme="minorHAnsi" w:cstheme="minorHAnsi"/>
          <w:i/>
          <w:iCs/>
          <w:sz w:val="22"/>
          <w:szCs w:val="22"/>
        </w:rPr>
        <w:t>travaux</w:t>
      </w:r>
      <w:r w:rsidR="00B40655" w:rsidRPr="00001F7B">
        <w:rPr>
          <w:rFonts w:asciiTheme="minorHAnsi" w:hAnsiTheme="minorHAnsi" w:cstheme="minorHAnsi"/>
          <w:sz w:val="22"/>
          <w:szCs w:val="22"/>
        </w:rPr>
        <w:t xml:space="preserve"> </w:t>
      </w:r>
      <w:r w:rsidR="004B0CA1" w:rsidRPr="00001F7B">
        <w:rPr>
          <w:rFonts w:asciiTheme="minorHAnsi" w:hAnsiTheme="minorHAnsi" w:cstheme="minorHAnsi"/>
          <w:sz w:val="22"/>
          <w:szCs w:val="22"/>
        </w:rPr>
        <w:t>from</w:t>
      </w:r>
      <w:r w:rsidR="00B40655" w:rsidRPr="00001F7B">
        <w:rPr>
          <w:rFonts w:asciiTheme="minorHAnsi" w:hAnsiTheme="minorHAnsi" w:cstheme="minorHAnsi"/>
          <w:sz w:val="22"/>
          <w:szCs w:val="22"/>
        </w:rPr>
        <w:t xml:space="preserve"> time to time and the commentary by Loewe, </w:t>
      </w:r>
      <w:r w:rsidR="009A6846" w:rsidRPr="00001F7B">
        <w:rPr>
          <w:rFonts w:asciiTheme="minorHAnsi" w:hAnsiTheme="minorHAnsi" w:cstheme="minorHAnsi"/>
          <w:sz w:val="22"/>
          <w:szCs w:val="22"/>
        </w:rPr>
        <w:t xml:space="preserve">along with other texts on CMR, </w:t>
      </w:r>
      <w:r w:rsidR="00B40655" w:rsidRPr="00001F7B">
        <w:rPr>
          <w:rFonts w:asciiTheme="minorHAnsi" w:hAnsiTheme="minorHAnsi" w:cstheme="minorHAnsi"/>
          <w:sz w:val="22"/>
          <w:szCs w:val="22"/>
        </w:rPr>
        <w:t xml:space="preserve">which can </w:t>
      </w:r>
      <w:r w:rsidR="009A6846" w:rsidRPr="00001F7B">
        <w:rPr>
          <w:rFonts w:asciiTheme="minorHAnsi" w:hAnsiTheme="minorHAnsi" w:cstheme="minorHAnsi"/>
          <w:sz w:val="22"/>
          <w:szCs w:val="22"/>
        </w:rPr>
        <w:t xml:space="preserve">possibly </w:t>
      </w:r>
      <w:r w:rsidR="00B40655" w:rsidRPr="00001F7B">
        <w:rPr>
          <w:rFonts w:asciiTheme="minorHAnsi" w:hAnsiTheme="minorHAnsi" w:cstheme="minorHAnsi"/>
          <w:sz w:val="22"/>
          <w:szCs w:val="22"/>
        </w:rPr>
        <w:t>be considered as additional sources in themselves to be considered later and enabling some idea of the work behind CMR,</w:t>
      </w:r>
      <w:r w:rsidR="00DA4B4A" w:rsidRPr="00001F7B">
        <w:rPr>
          <w:rStyle w:val="FootnoteReference"/>
          <w:rFonts w:asciiTheme="minorHAnsi" w:hAnsiTheme="minorHAnsi" w:cstheme="minorHAnsi"/>
          <w:sz w:val="22"/>
          <w:szCs w:val="22"/>
        </w:rPr>
        <w:footnoteReference w:id="222"/>
      </w:r>
      <w:r w:rsidR="00B40655" w:rsidRPr="00001F7B">
        <w:rPr>
          <w:rFonts w:asciiTheme="minorHAnsi" w:hAnsiTheme="minorHAnsi" w:cstheme="minorHAnsi"/>
          <w:sz w:val="22"/>
          <w:szCs w:val="22"/>
        </w:rPr>
        <w:t xml:space="preserve"> some progress is gradually being made to making </w:t>
      </w:r>
      <w:r w:rsidR="009A6846" w:rsidRPr="00001F7B">
        <w:rPr>
          <w:rFonts w:asciiTheme="minorHAnsi" w:hAnsiTheme="minorHAnsi" w:cstheme="minorHAnsi"/>
          <w:sz w:val="22"/>
          <w:szCs w:val="22"/>
        </w:rPr>
        <w:t>them</w:t>
      </w:r>
      <w:r w:rsidR="00B40655" w:rsidRPr="00001F7B">
        <w:rPr>
          <w:rFonts w:asciiTheme="minorHAnsi" w:hAnsiTheme="minorHAnsi" w:cstheme="minorHAnsi"/>
          <w:sz w:val="22"/>
          <w:szCs w:val="22"/>
        </w:rPr>
        <w:t xml:space="preserve"> </w:t>
      </w:r>
      <w:r w:rsidR="00DA4B4A" w:rsidRPr="00001F7B">
        <w:rPr>
          <w:rFonts w:asciiTheme="minorHAnsi" w:hAnsiTheme="minorHAnsi" w:cstheme="minorHAnsi"/>
          <w:sz w:val="22"/>
          <w:szCs w:val="22"/>
        </w:rPr>
        <w:t>more accessible.</w:t>
      </w:r>
      <w:r w:rsidR="00DA4B4A" w:rsidRPr="00001F7B">
        <w:rPr>
          <w:rStyle w:val="FootnoteReference"/>
          <w:rFonts w:asciiTheme="minorHAnsi" w:hAnsiTheme="minorHAnsi" w:cstheme="minorHAnsi"/>
          <w:sz w:val="22"/>
          <w:szCs w:val="22"/>
        </w:rPr>
        <w:footnoteReference w:id="223"/>
      </w:r>
      <w:r w:rsidR="00DA4B4A" w:rsidRPr="00001F7B">
        <w:rPr>
          <w:rFonts w:asciiTheme="minorHAnsi" w:hAnsiTheme="minorHAnsi" w:cstheme="minorHAnsi"/>
          <w:sz w:val="22"/>
          <w:szCs w:val="22"/>
        </w:rPr>
        <w:t xml:space="preserve">  As this progresses it may be possible to encourage</w:t>
      </w:r>
      <w:r w:rsidR="004B0CA1" w:rsidRPr="00001F7B">
        <w:rPr>
          <w:rFonts w:asciiTheme="minorHAnsi" w:hAnsiTheme="minorHAnsi" w:cstheme="minorHAnsi"/>
          <w:sz w:val="22"/>
          <w:szCs w:val="22"/>
        </w:rPr>
        <w:t xml:space="preserve"> their use</w:t>
      </w:r>
      <w:r w:rsidR="00DA4B4A" w:rsidRPr="00001F7B">
        <w:rPr>
          <w:rFonts w:asciiTheme="minorHAnsi" w:hAnsiTheme="minorHAnsi" w:cstheme="minorHAnsi"/>
          <w:sz w:val="22"/>
          <w:szCs w:val="22"/>
        </w:rPr>
        <w:t>.</w:t>
      </w:r>
      <w:r w:rsidR="00FE2B82" w:rsidRPr="00001F7B">
        <w:rPr>
          <w:rStyle w:val="FootnoteReference"/>
          <w:rFonts w:asciiTheme="minorHAnsi" w:hAnsiTheme="minorHAnsi" w:cstheme="minorHAnsi"/>
          <w:sz w:val="22"/>
          <w:szCs w:val="22"/>
        </w:rPr>
        <w:footnoteReference w:id="224"/>
      </w:r>
    </w:p>
    <w:p w14:paraId="6CA67CBD" w14:textId="4A0C501A" w:rsidR="00E812BA" w:rsidRPr="00001F7B" w:rsidRDefault="00E812BA" w:rsidP="00001F7B">
      <w:pPr>
        <w:pStyle w:val="NormalWeb"/>
        <w:spacing w:before="0" w:beforeAutospacing="0" w:after="0" w:afterAutospacing="0"/>
        <w:rPr>
          <w:rFonts w:asciiTheme="minorHAnsi" w:hAnsiTheme="minorHAnsi" w:cstheme="minorHAnsi"/>
          <w:sz w:val="22"/>
          <w:szCs w:val="22"/>
        </w:rPr>
      </w:pPr>
    </w:p>
    <w:p w14:paraId="5569CF95" w14:textId="51632EA0" w:rsidR="00E812BA" w:rsidRPr="00001F7B" w:rsidRDefault="00E812BA" w:rsidP="00001F7B">
      <w:pPr>
        <w:pStyle w:val="NormalWeb"/>
        <w:spacing w:before="0" w:beforeAutospacing="0" w:after="0" w:afterAutospacing="0"/>
        <w:rPr>
          <w:rFonts w:asciiTheme="minorHAnsi" w:hAnsiTheme="minorHAnsi" w:cstheme="minorHAnsi"/>
          <w:b/>
          <w:bCs/>
          <w:sz w:val="22"/>
          <w:szCs w:val="22"/>
        </w:rPr>
      </w:pPr>
      <w:r w:rsidRPr="00001F7B">
        <w:rPr>
          <w:rFonts w:asciiTheme="minorHAnsi" w:hAnsiTheme="minorHAnsi" w:cstheme="minorHAnsi"/>
          <w:b/>
          <w:bCs/>
          <w:sz w:val="22"/>
          <w:szCs w:val="22"/>
        </w:rPr>
        <w:t>3.3.3 Circumstances of conclusion</w:t>
      </w:r>
    </w:p>
    <w:p w14:paraId="76150C6B" w14:textId="208A6C0B" w:rsidR="00D3798F" w:rsidRPr="00001F7B" w:rsidRDefault="00D3798F" w:rsidP="00001F7B">
      <w:pPr>
        <w:pStyle w:val="NormalWeb"/>
        <w:spacing w:before="0" w:beforeAutospacing="0" w:after="0" w:afterAutospacing="0"/>
        <w:rPr>
          <w:rFonts w:asciiTheme="minorHAnsi" w:hAnsiTheme="minorHAnsi" w:cstheme="minorHAnsi"/>
          <w:sz w:val="22"/>
          <w:szCs w:val="22"/>
        </w:rPr>
      </w:pPr>
    </w:p>
    <w:p w14:paraId="50496C0B" w14:textId="601F4D99" w:rsidR="006D68B0" w:rsidRPr="00001F7B" w:rsidRDefault="00D3798F" w:rsidP="00001F7B">
      <w:pPr>
        <w:pStyle w:val="NormalWeb"/>
        <w:spacing w:before="0" w:beforeAutospacing="0" w:after="0" w:afterAutospacing="0"/>
        <w:rPr>
          <w:rFonts w:asciiTheme="minorHAnsi" w:hAnsiTheme="minorHAnsi" w:cstheme="minorHAnsi"/>
          <w:sz w:val="22"/>
          <w:szCs w:val="22"/>
        </w:rPr>
      </w:pPr>
      <w:r w:rsidRPr="00001F7B">
        <w:rPr>
          <w:rFonts w:asciiTheme="minorHAnsi" w:hAnsiTheme="minorHAnsi" w:cstheme="minorHAnsi"/>
          <w:sz w:val="22"/>
          <w:szCs w:val="22"/>
        </w:rPr>
        <w:t>The other express reference is to the circumstances of the conclusion of the convention. The exact meaning of this is not made clear but it is said that the circumstances which cause a treaty to be drawn up, affect its content and attach to its conclusion are all factors which in practice are taken into account.</w:t>
      </w:r>
      <w:r w:rsidR="004B0CA1" w:rsidRPr="00001F7B">
        <w:rPr>
          <w:rStyle w:val="FootnoteReference"/>
          <w:rFonts w:asciiTheme="minorHAnsi" w:hAnsiTheme="minorHAnsi" w:cstheme="minorHAnsi"/>
          <w:sz w:val="22"/>
          <w:szCs w:val="22"/>
        </w:rPr>
        <w:footnoteReference w:id="225"/>
      </w:r>
      <w:r w:rsidRPr="00001F7B">
        <w:rPr>
          <w:rFonts w:asciiTheme="minorHAnsi" w:hAnsiTheme="minorHAnsi" w:cstheme="minorHAnsi"/>
          <w:sz w:val="22"/>
          <w:szCs w:val="22"/>
        </w:rPr>
        <w:t xml:space="preserve">  </w:t>
      </w:r>
      <w:r w:rsidR="0084480D" w:rsidRPr="00001F7B">
        <w:rPr>
          <w:rFonts w:asciiTheme="minorHAnsi" w:hAnsiTheme="minorHAnsi" w:cstheme="minorHAnsi"/>
          <w:sz w:val="22"/>
          <w:szCs w:val="22"/>
        </w:rPr>
        <w:t>Sources for knowledge of such may include the preparatory documents or other commentaries</w:t>
      </w:r>
      <w:r w:rsidR="00F8105D" w:rsidRPr="00001F7B">
        <w:rPr>
          <w:rFonts w:asciiTheme="minorHAnsi" w:hAnsiTheme="minorHAnsi" w:cstheme="minorHAnsi"/>
          <w:sz w:val="22"/>
          <w:szCs w:val="22"/>
        </w:rPr>
        <w:t>, explanatory reports produced at the same time</w:t>
      </w:r>
      <w:r w:rsidR="00E812BA" w:rsidRPr="00001F7B">
        <w:rPr>
          <w:rFonts w:asciiTheme="minorHAnsi" w:hAnsiTheme="minorHAnsi" w:cstheme="minorHAnsi"/>
          <w:sz w:val="22"/>
          <w:szCs w:val="22"/>
        </w:rPr>
        <w:t xml:space="preserve">. Some or all </w:t>
      </w:r>
      <w:r w:rsidR="00D03AD3" w:rsidRPr="00001F7B">
        <w:rPr>
          <w:rFonts w:asciiTheme="minorHAnsi" w:hAnsiTheme="minorHAnsi" w:cstheme="minorHAnsi"/>
          <w:sz w:val="22"/>
          <w:szCs w:val="22"/>
        </w:rPr>
        <w:t xml:space="preserve">of these could </w:t>
      </w:r>
      <w:r w:rsidR="00F8105D" w:rsidRPr="00001F7B">
        <w:rPr>
          <w:rFonts w:asciiTheme="minorHAnsi" w:hAnsiTheme="minorHAnsi" w:cstheme="minorHAnsi"/>
          <w:sz w:val="22"/>
          <w:szCs w:val="22"/>
        </w:rPr>
        <w:t>produc</w:t>
      </w:r>
      <w:r w:rsidR="00D03AD3" w:rsidRPr="00001F7B">
        <w:rPr>
          <w:rFonts w:asciiTheme="minorHAnsi" w:hAnsiTheme="minorHAnsi" w:cstheme="minorHAnsi"/>
          <w:sz w:val="22"/>
          <w:szCs w:val="22"/>
        </w:rPr>
        <w:t>e</w:t>
      </w:r>
      <w:r w:rsidR="00F8105D" w:rsidRPr="00001F7B">
        <w:rPr>
          <w:rFonts w:asciiTheme="minorHAnsi" w:hAnsiTheme="minorHAnsi" w:cstheme="minorHAnsi"/>
          <w:sz w:val="22"/>
          <w:szCs w:val="22"/>
        </w:rPr>
        <w:t xml:space="preserve"> the same problems of publicity and accessibility. Clearly where a report has an enhanced status which accompanies a convention,</w:t>
      </w:r>
      <w:r w:rsidR="00F8105D" w:rsidRPr="00001F7B">
        <w:rPr>
          <w:rStyle w:val="FootnoteReference"/>
          <w:rFonts w:asciiTheme="minorHAnsi" w:hAnsiTheme="minorHAnsi" w:cstheme="minorHAnsi"/>
          <w:sz w:val="22"/>
          <w:szCs w:val="22"/>
        </w:rPr>
        <w:footnoteReference w:id="226"/>
      </w:r>
      <w:r w:rsidR="00F8105D" w:rsidRPr="00001F7B">
        <w:rPr>
          <w:rFonts w:asciiTheme="minorHAnsi" w:hAnsiTheme="minorHAnsi" w:cstheme="minorHAnsi"/>
          <w:sz w:val="22"/>
          <w:szCs w:val="22"/>
        </w:rPr>
        <w:t xml:space="preserve"> then it will be an authoritative source. </w:t>
      </w:r>
      <w:r w:rsidR="000A35FE" w:rsidRPr="00001F7B">
        <w:rPr>
          <w:rFonts w:asciiTheme="minorHAnsi" w:hAnsiTheme="minorHAnsi" w:cstheme="minorHAnsi"/>
          <w:sz w:val="22"/>
          <w:szCs w:val="22"/>
        </w:rPr>
        <w:t xml:space="preserve">Otherwise, the extent to which other sources </w:t>
      </w:r>
      <w:r w:rsidR="00236F72" w:rsidRPr="00001F7B">
        <w:rPr>
          <w:rFonts w:asciiTheme="minorHAnsi" w:hAnsiTheme="minorHAnsi" w:cstheme="minorHAnsi"/>
          <w:sz w:val="22"/>
          <w:szCs w:val="22"/>
        </w:rPr>
        <w:t xml:space="preserve">are considered capable of </w:t>
      </w:r>
      <w:r w:rsidR="000A35FE" w:rsidRPr="00001F7B">
        <w:rPr>
          <w:rFonts w:asciiTheme="minorHAnsi" w:hAnsiTheme="minorHAnsi" w:cstheme="minorHAnsi"/>
          <w:sz w:val="22"/>
          <w:szCs w:val="22"/>
        </w:rPr>
        <w:t>providing such knowledge will depend on the extent to which their authority and value can be demonstrated through factors relating to them such as their authorship and the circumstances of their creation</w:t>
      </w:r>
      <w:r w:rsidR="00D03AD3" w:rsidRPr="00001F7B">
        <w:rPr>
          <w:rFonts w:asciiTheme="minorHAnsi" w:hAnsiTheme="minorHAnsi" w:cstheme="minorHAnsi"/>
          <w:sz w:val="22"/>
          <w:szCs w:val="22"/>
        </w:rPr>
        <w:t>.</w:t>
      </w:r>
    </w:p>
    <w:p w14:paraId="0D20B9F0" w14:textId="2FBD164D" w:rsidR="00D03AD3" w:rsidRPr="00001F7B" w:rsidRDefault="00D03AD3" w:rsidP="00001F7B">
      <w:pPr>
        <w:pStyle w:val="NormalWeb"/>
        <w:spacing w:after="0"/>
        <w:rPr>
          <w:rFonts w:asciiTheme="minorHAnsi" w:hAnsiTheme="minorHAnsi" w:cstheme="minorHAnsi"/>
          <w:b/>
          <w:bCs/>
          <w:sz w:val="22"/>
          <w:szCs w:val="22"/>
        </w:rPr>
      </w:pPr>
      <w:r w:rsidRPr="00001F7B">
        <w:rPr>
          <w:rFonts w:asciiTheme="minorHAnsi" w:hAnsiTheme="minorHAnsi" w:cstheme="minorHAnsi"/>
          <w:b/>
          <w:bCs/>
          <w:sz w:val="22"/>
          <w:szCs w:val="22"/>
        </w:rPr>
        <w:t>3.3.4 Other supplementary means</w:t>
      </w:r>
    </w:p>
    <w:p w14:paraId="70D09712" w14:textId="252D03EA" w:rsidR="00177BDC" w:rsidRPr="00001F7B" w:rsidRDefault="006D68B0" w:rsidP="00001F7B">
      <w:pPr>
        <w:pStyle w:val="NormalWeb"/>
        <w:spacing w:after="0"/>
        <w:rPr>
          <w:rFonts w:asciiTheme="minorHAnsi" w:hAnsiTheme="minorHAnsi" w:cstheme="minorHAnsi"/>
          <w:sz w:val="22"/>
          <w:szCs w:val="22"/>
        </w:rPr>
      </w:pPr>
      <w:r w:rsidRPr="00001F7B">
        <w:rPr>
          <w:rFonts w:asciiTheme="minorHAnsi" w:hAnsiTheme="minorHAnsi" w:cstheme="minorHAnsi"/>
          <w:sz w:val="22"/>
          <w:szCs w:val="22"/>
        </w:rPr>
        <w:t>Th</w:t>
      </w:r>
      <w:r w:rsidR="00D03AD3" w:rsidRPr="00001F7B">
        <w:rPr>
          <w:rFonts w:asciiTheme="minorHAnsi" w:hAnsiTheme="minorHAnsi" w:cstheme="minorHAnsi"/>
          <w:sz w:val="22"/>
          <w:szCs w:val="22"/>
        </w:rPr>
        <w:t>e</w:t>
      </w:r>
      <w:r w:rsidRPr="00001F7B">
        <w:rPr>
          <w:rFonts w:asciiTheme="minorHAnsi" w:hAnsiTheme="minorHAnsi" w:cstheme="minorHAnsi"/>
          <w:sz w:val="22"/>
          <w:szCs w:val="22"/>
        </w:rPr>
        <w:t xml:space="preserve"> last point</w:t>
      </w:r>
      <w:r w:rsidR="00D03AD3" w:rsidRPr="00001F7B">
        <w:rPr>
          <w:rFonts w:asciiTheme="minorHAnsi" w:hAnsiTheme="minorHAnsi" w:cstheme="minorHAnsi"/>
          <w:sz w:val="22"/>
          <w:szCs w:val="22"/>
        </w:rPr>
        <w:t xml:space="preserve"> above </w:t>
      </w:r>
      <w:r w:rsidRPr="00001F7B">
        <w:rPr>
          <w:rFonts w:asciiTheme="minorHAnsi" w:hAnsiTheme="minorHAnsi" w:cstheme="minorHAnsi"/>
          <w:sz w:val="22"/>
          <w:szCs w:val="22"/>
        </w:rPr>
        <w:t xml:space="preserve">links through to other supplementary means which might fall within art 32. </w:t>
      </w:r>
      <w:r w:rsidR="009761AC" w:rsidRPr="00001F7B">
        <w:rPr>
          <w:rFonts w:asciiTheme="minorHAnsi" w:hAnsiTheme="minorHAnsi" w:cstheme="minorHAnsi"/>
          <w:sz w:val="22"/>
          <w:szCs w:val="22"/>
        </w:rPr>
        <w:t>Again,</w:t>
      </w:r>
      <w:r w:rsidR="002967EC" w:rsidRPr="00001F7B">
        <w:rPr>
          <w:rFonts w:asciiTheme="minorHAnsi" w:hAnsiTheme="minorHAnsi" w:cstheme="minorHAnsi"/>
          <w:sz w:val="22"/>
          <w:szCs w:val="22"/>
        </w:rPr>
        <w:t xml:space="preserve"> there is a lack of clarity respecting this and possibly limited guidance from practice.</w:t>
      </w:r>
      <w:r w:rsidR="002967EC" w:rsidRPr="00001F7B">
        <w:rPr>
          <w:rStyle w:val="FootnoteReference"/>
          <w:rFonts w:asciiTheme="minorHAnsi" w:hAnsiTheme="minorHAnsi" w:cstheme="minorHAnsi"/>
          <w:sz w:val="22"/>
          <w:szCs w:val="22"/>
        </w:rPr>
        <w:footnoteReference w:id="227"/>
      </w:r>
      <w:r w:rsidR="003C6626" w:rsidRPr="00001F7B">
        <w:rPr>
          <w:rFonts w:asciiTheme="minorHAnsi" w:hAnsiTheme="minorHAnsi" w:cstheme="minorHAnsi"/>
          <w:sz w:val="22"/>
          <w:szCs w:val="22"/>
        </w:rPr>
        <w:t xml:space="preserve"> </w:t>
      </w:r>
      <w:r w:rsidR="006F4A65" w:rsidRPr="00001F7B">
        <w:rPr>
          <w:rFonts w:asciiTheme="minorHAnsi" w:hAnsiTheme="minorHAnsi" w:cstheme="minorHAnsi"/>
          <w:sz w:val="22"/>
          <w:szCs w:val="22"/>
        </w:rPr>
        <w:t xml:space="preserve">With some doubt </w:t>
      </w:r>
      <w:r w:rsidR="003C6626" w:rsidRPr="00001F7B">
        <w:rPr>
          <w:rFonts w:asciiTheme="minorHAnsi" w:hAnsiTheme="minorHAnsi" w:cstheme="minorHAnsi"/>
          <w:sz w:val="22"/>
          <w:szCs w:val="22"/>
        </w:rPr>
        <w:t>Gardiner,</w:t>
      </w:r>
      <w:r w:rsidR="003C6626" w:rsidRPr="00001F7B">
        <w:rPr>
          <w:rStyle w:val="FootnoteReference"/>
          <w:rFonts w:asciiTheme="minorHAnsi" w:hAnsiTheme="minorHAnsi" w:cstheme="minorHAnsi"/>
          <w:sz w:val="22"/>
          <w:szCs w:val="22"/>
        </w:rPr>
        <w:footnoteReference w:id="228"/>
      </w:r>
      <w:r w:rsidR="003C6626" w:rsidRPr="00001F7B">
        <w:rPr>
          <w:rFonts w:asciiTheme="minorHAnsi" w:hAnsiTheme="minorHAnsi" w:cstheme="minorHAnsi"/>
          <w:sz w:val="22"/>
          <w:szCs w:val="22"/>
        </w:rPr>
        <w:t xml:space="preserve"> notes the possibility for the continued role of  ‘canons’ of construction, presumptions and maxims</w:t>
      </w:r>
      <w:r w:rsidR="00D91575" w:rsidRPr="00001F7B">
        <w:rPr>
          <w:rFonts w:asciiTheme="minorHAnsi" w:hAnsiTheme="minorHAnsi" w:cstheme="minorHAnsi"/>
          <w:sz w:val="22"/>
          <w:szCs w:val="22"/>
        </w:rPr>
        <w:t xml:space="preserve"> such as </w:t>
      </w:r>
      <w:r w:rsidR="00D91575" w:rsidRPr="00001F7B">
        <w:rPr>
          <w:rFonts w:asciiTheme="minorHAnsi" w:hAnsiTheme="minorHAnsi" w:cstheme="minorHAnsi"/>
          <w:i/>
          <w:iCs/>
          <w:sz w:val="22"/>
          <w:szCs w:val="22"/>
        </w:rPr>
        <w:t xml:space="preserve">contra </w:t>
      </w:r>
      <w:proofErr w:type="spellStart"/>
      <w:r w:rsidR="00D91575" w:rsidRPr="00001F7B">
        <w:rPr>
          <w:rFonts w:asciiTheme="minorHAnsi" w:hAnsiTheme="minorHAnsi" w:cstheme="minorHAnsi"/>
          <w:i/>
          <w:iCs/>
          <w:sz w:val="22"/>
          <w:szCs w:val="22"/>
        </w:rPr>
        <w:t>proferentum</w:t>
      </w:r>
      <w:proofErr w:type="spellEnd"/>
      <w:r w:rsidR="00D91575" w:rsidRPr="00001F7B">
        <w:rPr>
          <w:rFonts w:asciiTheme="minorHAnsi" w:hAnsiTheme="minorHAnsi" w:cstheme="minorHAnsi"/>
          <w:i/>
          <w:iCs/>
          <w:sz w:val="22"/>
          <w:szCs w:val="22"/>
        </w:rPr>
        <w:t>,</w:t>
      </w:r>
      <w:r w:rsidR="00D91575" w:rsidRPr="00001F7B">
        <w:rPr>
          <w:rFonts w:asciiTheme="minorHAnsi" w:hAnsiTheme="minorHAnsi" w:cstheme="minorHAnsi"/>
          <w:sz w:val="22"/>
          <w:szCs w:val="22"/>
        </w:rPr>
        <w:t xml:space="preserve"> </w:t>
      </w:r>
      <w:r w:rsidR="00D91575" w:rsidRPr="00001F7B">
        <w:rPr>
          <w:rFonts w:asciiTheme="minorHAnsi" w:hAnsiTheme="minorHAnsi" w:cstheme="minorHAnsi"/>
          <w:i/>
          <w:iCs/>
          <w:sz w:val="22"/>
          <w:szCs w:val="22"/>
        </w:rPr>
        <w:t>ejusdem generis</w:t>
      </w:r>
      <w:r w:rsidR="00D91575" w:rsidRPr="00001F7B">
        <w:rPr>
          <w:rFonts w:asciiTheme="minorHAnsi" w:hAnsiTheme="minorHAnsi" w:cstheme="minorHAnsi"/>
          <w:sz w:val="22"/>
          <w:szCs w:val="22"/>
        </w:rPr>
        <w:t>, etc which he notes were considered by Waldock as being for the most part principles of logic and good sense valuable only as guides to assist in appreciating meaning and whose use was discretionary rather than obligatory.</w:t>
      </w:r>
      <w:r w:rsidR="00D91575" w:rsidRPr="00001F7B">
        <w:rPr>
          <w:rStyle w:val="FootnoteReference"/>
          <w:rFonts w:asciiTheme="minorHAnsi" w:hAnsiTheme="minorHAnsi" w:cstheme="minorHAnsi"/>
          <w:sz w:val="22"/>
          <w:szCs w:val="22"/>
        </w:rPr>
        <w:footnoteReference w:id="229"/>
      </w:r>
      <w:r w:rsidR="006E07C1" w:rsidRPr="00001F7B">
        <w:rPr>
          <w:rFonts w:asciiTheme="minorHAnsi" w:hAnsiTheme="minorHAnsi" w:cstheme="minorHAnsi"/>
          <w:sz w:val="22"/>
          <w:szCs w:val="22"/>
        </w:rPr>
        <w:t xml:space="preserve"> </w:t>
      </w:r>
      <w:r w:rsidR="009761AC" w:rsidRPr="00001F7B">
        <w:rPr>
          <w:rFonts w:asciiTheme="minorHAnsi" w:hAnsiTheme="minorHAnsi" w:cstheme="minorHAnsi"/>
          <w:sz w:val="22"/>
          <w:szCs w:val="22"/>
        </w:rPr>
        <w:t xml:space="preserve">Another possibility is reference to other cognate conventions which Gardiner notes is common </w:t>
      </w:r>
      <w:r w:rsidR="00D8720E" w:rsidRPr="00001F7B">
        <w:rPr>
          <w:rFonts w:asciiTheme="minorHAnsi" w:hAnsiTheme="minorHAnsi" w:cstheme="minorHAnsi"/>
          <w:sz w:val="22"/>
          <w:szCs w:val="22"/>
        </w:rPr>
        <w:t>among courts and tribunals without reference to the Vienna Rules.</w:t>
      </w:r>
      <w:r w:rsidR="00D8720E" w:rsidRPr="00001F7B">
        <w:rPr>
          <w:rStyle w:val="FootnoteReference"/>
          <w:rFonts w:asciiTheme="minorHAnsi" w:hAnsiTheme="minorHAnsi" w:cstheme="minorHAnsi"/>
          <w:sz w:val="22"/>
          <w:szCs w:val="22"/>
        </w:rPr>
        <w:footnoteReference w:id="230"/>
      </w:r>
      <w:r w:rsidR="00D8720E" w:rsidRPr="00001F7B">
        <w:rPr>
          <w:rFonts w:asciiTheme="minorHAnsi" w:hAnsiTheme="minorHAnsi" w:cstheme="minorHAnsi"/>
          <w:sz w:val="22"/>
          <w:szCs w:val="22"/>
        </w:rPr>
        <w:t xml:space="preserve">  If they were clearly lin</w:t>
      </w:r>
      <w:r w:rsidR="00236F72" w:rsidRPr="00001F7B">
        <w:rPr>
          <w:rFonts w:asciiTheme="minorHAnsi" w:hAnsiTheme="minorHAnsi" w:cstheme="minorHAnsi"/>
          <w:sz w:val="22"/>
          <w:szCs w:val="22"/>
        </w:rPr>
        <w:t>k</w:t>
      </w:r>
      <w:r w:rsidR="00D8720E" w:rsidRPr="00001F7B">
        <w:rPr>
          <w:rFonts w:asciiTheme="minorHAnsi" w:hAnsiTheme="minorHAnsi" w:cstheme="minorHAnsi"/>
          <w:sz w:val="22"/>
          <w:szCs w:val="22"/>
        </w:rPr>
        <w:t>ed or refer</w:t>
      </w:r>
      <w:r w:rsidR="00831C6D" w:rsidRPr="00001F7B">
        <w:rPr>
          <w:rFonts w:asciiTheme="minorHAnsi" w:hAnsiTheme="minorHAnsi" w:cstheme="minorHAnsi"/>
          <w:sz w:val="22"/>
          <w:szCs w:val="22"/>
        </w:rPr>
        <w:t>red to</w:t>
      </w:r>
      <w:r w:rsidR="00D8720E" w:rsidRPr="00001F7B">
        <w:rPr>
          <w:rFonts w:asciiTheme="minorHAnsi" w:hAnsiTheme="minorHAnsi" w:cstheme="minorHAnsi"/>
          <w:sz w:val="22"/>
          <w:szCs w:val="22"/>
        </w:rPr>
        <w:t xml:space="preserve"> in the preparatory work they would clearly be part of the circumstance</w:t>
      </w:r>
      <w:r w:rsidR="00BD0A86" w:rsidRPr="00001F7B">
        <w:rPr>
          <w:rFonts w:asciiTheme="minorHAnsi" w:hAnsiTheme="minorHAnsi" w:cstheme="minorHAnsi"/>
          <w:sz w:val="22"/>
          <w:szCs w:val="22"/>
        </w:rPr>
        <w:t>s</w:t>
      </w:r>
      <w:r w:rsidR="00D8720E" w:rsidRPr="00001F7B">
        <w:rPr>
          <w:rFonts w:asciiTheme="minorHAnsi" w:hAnsiTheme="minorHAnsi" w:cstheme="minorHAnsi"/>
          <w:sz w:val="22"/>
          <w:szCs w:val="22"/>
        </w:rPr>
        <w:t xml:space="preserve"> but he also acknowledges </w:t>
      </w:r>
      <w:r w:rsidR="002A1F62" w:rsidRPr="00001F7B">
        <w:rPr>
          <w:rFonts w:asciiTheme="minorHAnsi" w:hAnsiTheme="minorHAnsi" w:cstheme="minorHAnsi"/>
          <w:sz w:val="22"/>
          <w:szCs w:val="22"/>
        </w:rPr>
        <w:t xml:space="preserve">that the free-ranging interpretation given to the Rules in courts’ and tribunals’ use of such materials </w:t>
      </w:r>
      <w:r w:rsidR="0060194F" w:rsidRPr="00001F7B">
        <w:rPr>
          <w:rFonts w:asciiTheme="minorHAnsi" w:hAnsiTheme="minorHAnsi" w:cstheme="minorHAnsi"/>
          <w:sz w:val="22"/>
          <w:szCs w:val="22"/>
        </w:rPr>
        <w:t xml:space="preserve">means that they </w:t>
      </w:r>
      <w:r w:rsidR="002A1F62" w:rsidRPr="00001F7B">
        <w:rPr>
          <w:rFonts w:asciiTheme="minorHAnsi" w:hAnsiTheme="minorHAnsi" w:cstheme="minorHAnsi"/>
          <w:sz w:val="22"/>
          <w:szCs w:val="22"/>
        </w:rPr>
        <w:t>may loosely be regarded as part of the circumstances of conclusion</w:t>
      </w:r>
      <w:r w:rsidR="00180246" w:rsidRPr="00001F7B">
        <w:rPr>
          <w:rFonts w:asciiTheme="minorHAnsi" w:hAnsiTheme="minorHAnsi" w:cstheme="minorHAnsi"/>
          <w:sz w:val="22"/>
          <w:szCs w:val="22"/>
        </w:rPr>
        <w:t xml:space="preserve"> or simply be valuable illustrations when seeking the meaning of a particular provision</w:t>
      </w:r>
      <w:r w:rsidR="002A1F62" w:rsidRPr="00001F7B">
        <w:rPr>
          <w:rFonts w:asciiTheme="minorHAnsi" w:hAnsiTheme="minorHAnsi" w:cstheme="minorHAnsi"/>
          <w:sz w:val="22"/>
          <w:szCs w:val="22"/>
        </w:rPr>
        <w:t>.</w:t>
      </w:r>
      <w:r w:rsidR="00CE23EB" w:rsidRPr="00001F7B">
        <w:rPr>
          <w:rStyle w:val="FootnoteReference"/>
          <w:rFonts w:asciiTheme="minorHAnsi" w:hAnsiTheme="minorHAnsi" w:cstheme="minorHAnsi"/>
          <w:sz w:val="22"/>
          <w:szCs w:val="22"/>
        </w:rPr>
        <w:footnoteReference w:id="231"/>
      </w:r>
      <w:r w:rsidR="002A1F62" w:rsidRPr="00001F7B">
        <w:rPr>
          <w:rFonts w:asciiTheme="minorHAnsi" w:hAnsiTheme="minorHAnsi" w:cstheme="minorHAnsi"/>
          <w:sz w:val="22"/>
          <w:szCs w:val="22"/>
        </w:rPr>
        <w:t xml:space="preserve"> </w:t>
      </w:r>
      <w:r w:rsidR="004D47E1" w:rsidRPr="00001F7B">
        <w:rPr>
          <w:rFonts w:asciiTheme="minorHAnsi" w:hAnsiTheme="minorHAnsi" w:cstheme="minorHAnsi"/>
          <w:sz w:val="22"/>
          <w:szCs w:val="22"/>
        </w:rPr>
        <w:t>Arguably, this last point simply shows that the open-ended nature of art 32 gives permission to a court to take into account any material which it considers to be relevant, such as</w:t>
      </w:r>
      <w:r w:rsidR="00302FDA" w:rsidRPr="00001F7B">
        <w:rPr>
          <w:rFonts w:asciiTheme="minorHAnsi" w:hAnsiTheme="minorHAnsi" w:cstheme="minorHAnsi"/>
          <w:sz w:val="22"/>
          <w:szCs w:val="22"/>
        </w:rPr>
        <w:t xml:space="preserve"> e.g. well known facts about the historical context at the time of the legislation’s creation.</w:t>
      </w:r>
      <w:r w:rsidR="00302FDA" w:rsidRPr="00001F7B">
        <w:rPr>
          <w:rStyle w:val="FootnoteReference"/>
          <w:rFonts w:asciiTheme="minorHAnsi" w:hAnsiTheme="minorHAnsi" w:cstheme="minorHAnsi"/>
          <w:sz w:val="22"/>
          <w:szCs w:val="22"/>
        </w:rPr>
        <w:footnoteReference w:id="232"/>
      </w:r>
    </w:p>
    <w:p w14:paraId="0E393F3A" w14:textId="75F2C3C1" w:rsidR="00461B5B" w:rsidRPr="00E35B47" w:rsidRDefault="003A50A4" w:rsidP="00001F7B">
      <w:pPr>
        <w:rPr>
          <w:rFonts w:cstheme="minorHAnsi"/>
          <w:b/>
          <w:bCs/>
          <w:sz w:val="24"/>
          <w:szCs w:val="24"/>
        </w:rPr>
      </w:pPr>
      <w:r w:rsidRPr="00E35B47">
        <w:rPr>
          <w:rFonts w:cstheme="minorHAnsi"/>
          <w:b/>
          <w:bCs/>
          <w:sz w:val="24"/>
          <w:szCs w:val="24"/>
        </w:rPr>
        <w:t xml:space="preserve">3.4 </w:t>
      </w:r>
      <w:r w:rsidR="009D2F79" w:rsidRPr="00E35B47">
        <w:rPr>
          <w:rFonts w:cstheme="minorHAnsi"/>
          <w:b/>
          <w:bCs/>
          <w:sz w:val="24"/>
          <w:szCs w:val="24"/>
        </w:rPr>
        <w:t xml:space="preserve">Plurality of texts </w:t>
      </w:r>
    </w:p>
    <w:p w14:paraId="023C99DA" w14:textId="61652849" w:rsidR="00E94C4E" w:rsidRPr="00001F7B" w:rsidRDefault="00801741" w:rsidP="00001F7B">
      <w:pPr>
        <w:rPr>
          <w:rFonts w:cstheme="minorHAnsi"/>
          <w:b/>
          <w:bCs/>
        </w:rPr>
      </w:pPr>
      <w:r w:rsidRPr="00001F7B">
        <w:rPr>
          <w:rFonts w:cstheme="minorHAnsi"/>
          <w:b/>
          <w:bCs/>
        </w:rPr>
        <w:t>3.4.1</w:t>
      </w:r>
      <w:r w:rsidR="00422AB5" w:rsidRPr="00001F7B">
        <w:rPr>
          <w:rFonts w:cstheme="minorHAnsi"/>
          <w:b/>
          <w:bCs/>
        </w:rPr>
        <w:t xml:space="preserve"> Plurality of authentic texts</w:t>
      </w:r>
    </w:p>
    <w:p w14:paraId="6382B18F" w14:textId="65010A67" w:rsidR="00431AC4" w:rsidRPr="00001F7B" w:rsidRDefault="004463F0" w:rsidP="00001F7B">
      <w:pPr>
        <w:widowControl w:val="0"/>
        <w:autoSpaceDE w:val="0"/>
        <w:autoSpaceDN w:val="0"/>
        <w:adjustRightInd w:val="0"/>
        <w:spacing w:after="0" w:line="240" w:lineRule="auto"/>
        <w:rPr>
          <w:rFonts w:eastAsiaTheme="minorEastAsia" w:cstheme="minorHAnsi"/>
          <w:color w:val="000000"/>
          <w:lang w:eastAsia="en-GB"/>
        </w:rPr>
      </w:pPr>
      <w:r w:rsidRPr="00001F7B">
        <w:rPr>
          <w:rFonts w:cstheme="minorHAnsi"/>
        </w:rPr>
        <w:t xml:space="preserve">The signature clause in </w:t>
      </w:r>
      <w:r w:rsidR="00C7492F" w:rsidRPr="00001F7B">
        <w:rPr>
          <w:rFonts w:cstheme="minorHAnsi"/>
        </w:rPr>
        <w:t>CMR makes the English and French texts equally authentic.</w:t>
      </w:r>
      <w:r w:rsidR="00667B2B" w:rsidRPr="00001F7B">
        <w:rPr>
          <w:rStyle w:val="FootnoteReference"/>
          <w:rFonts w:cstheme="minorHAnsi"/>
        </w:rPr>
        <w:footnoteReference w:id="233"/>
      </w:r>
      <w:r w:rsidR="00C7492F" w:rsidRPr="00001F7B">
        <w:rPr>
          <w:rFonts w:cstheme="minorHAnsi"/>
        </w:rPr>
        <w:t xml:space="preserve"> </w:t>
      </w:r>
      <w:r w:rsidR="00FB043A" w:rsidRPr="00001F7B">
        <w:rPr>
          <w:rFonts w:cstheme="minorHAnsi"/>
        </w:rPr>
        <w:t xml:space="preserve">It thereby falls within the </w:t>
      </w:r>
      <w:r w:rsidR="00EB3739" w:rsidRPr="00001F7B">
        <w:rPr>
          <w:rFonts w:cstheme="minorHAnsi"/>
        </w:rPr>
        <w:t>first half of art 33.1.</w:t>
      </w:r>
      <w:r w:rsidR="00C7492F" w:rsidRPr="00001F7B">
        <w:rPr>
          <w:rFonts w:cstheme="minorHAnsi"/>
        </w:rPr>
        <w:t xml:space="preserve"> As the ILC pointed out the plurality of the authentic texts of a treaty is always a material factor in its interpretation, since both or all the texts authoritatively state the terms of the agreement between the parties.</w:t>
      </w:r>
      <w:r w:rsidR="00C7492F" w:rsidRPr="00001F7B">
        <w:rPr>
          <w:rStyle w:val="FootnoteReference"/>
          <w:rFonts w:cstheme="minorHAnsi"/>
        </w:rPr>
        <w:footnoteReference w:id="234"/>
      </w:r>
      <w:r w:rsidR="004A6C77" w:rsidRPr="00001F7B">
        <w:rPr>
          <w:rFonts w:cstheme="minorHAnsi"/>
        </w:rPr>
        <w:t xml:space="preserve"> This </w:t>
      </w:r>
      <w:r w:rsidRPr="00001F7B">
        <w:rPr>
          <w:rFonts w:cstheme="minorHAnsi"/>
        </w:rPr>
        <w:t xml:space="preserve">is therefore an extra dimension which </w:t>
      </w:r>
      <w:r w:rsidR="00667B2B" w:rsidRPr="00001F7B">
        <w:rPr>
          <w:rFonts w:cstheme="minorHAnsi"/>
        </w:rPr>
        <w:t xml:space="preserve">can potentially introduce additional uncertainty through adding further ambiguity and obscurity. </w:t>
      </w:r>
      <w:r w:rsidR="00BD5B91" w:rsidRPr="00001F7B">
        <w:rPr>
          <w:rFonts w:cstheme="minorHAnsi"/>
        </w:rPr>
        <w:t>Nevertheless,</w:t>
      </w:r>
      <w:r w:rsidR="00422F8E" w:rsidRPr="00001F7B">
        <w:rPr>
          <w:rFonts w:cstheme="minorHAnsi"/>
        </w:rPr>
        <w:t xml:space="preserve"> this does not mean a different system of interpretation.</w:t>
      </w:r>
      <w:r w:rsidR="00422F8E" w:rsidRPr="00001F7B">
        <w:rPr>
          <w:rStyle w:val="FootnoteReference"/>
          <w:rFonts w:cstheme="minorHAnsi"/>
        </w:rPr>
        <w:footnoteReference w:id="235"/>
      </w:r>
      <w:r w:rsidR="00422F8E" w:rsidRPr="00001F7B">
        <w:rPr>
          <w:rFonts w:cstheme="minorHAnsi"/>
        </w:rPr>
        <w:t xml:space="preserve"> Thus their work adopted two linked principles</w:t>
      </w:r>
      <w:r w:rsidR="007E3A46" w:rsidRPr="00001F7B">
        <w:rPr>
          <w:rFonts w:cstheme="minorHAnsi"/>
        </w:rPr>
        <w:t>:</w:t>
      </w:r>
      <w:r w:rsidR="00422F8E" w:rsidRPr="00001F7B">
        <w:rPr>
          <w:rFonts w:cstheme="minorHAnsi"/>
        </w:rPr>
        <w:t xml:space="preserve"> the</w:t>
      </w:r>
      <w:r w:rsidR="00E94C4E" w:rsidRPr="00001F7B">
        <w:rPr>
          <w:rFonts w:cstheme="minorHAnsi"/>
        </w:rPr>
        <w:t xml:space="preserve"> treaty is a single treaty although expressed in different languages</w:t>
      </w:r>
      <w:r w:rsidR="005726AD" w:rsidRPr="00001F7B">
        <w:rPr>
          <w:rFonts w:cstheme="minorHAnsi"/>
        </w:rPr>
        <w:t xml:space="preserve"> </w:t>
      </w:r>
      <w:r w:rsidR="00E94C4E" w:rsidRPr="00001F7B">
        <w:rPr>
          <w:rFonts w:cstheme="minorHAnsi"/>
        </w:rPr>
        <w:t xml:space="preserve">and the same methods of interpretation apply as would apply if the convention was expressed in one language only. </w:t>
      </w:r>
      <w:r w:rsidR="007E5B00" w:rsidRPr="00001F7B">
        <w:rPr>
          <w:rFonts w:cstheme="minorHAnsi"/>
        </w:rPr>
        <w:t>The unity of the treaty and of each of its terms is of fundamental importance in the interpretation of plurilingual treaties and it is safeguarded by combining with the principle of the equal authority of authentic texts the presumption that the terms are intended to have the same meaning in each text.</w:t>
      </w:r>
      <w:r w:rsidR="00BD5B91" w:rsidRPr="00001F7B">
        <w:rPr>
          <w:rStyle w:val="FootnoteReference"/>
          <w:rFonts w:cstheme="minorHAnsi"/>
        </w:rPr>
        <w:footnoteReference w:id="236"/>
      </w:r>
      <w:r w:rsidR="008C565B" w:rsidRPr="00001F7B">
        <w:rPr>
          <w:rFonts w:cstheme="minorHAnsi"/>
        </w:rPr>
        <w:t xml:space="preserve"> </w:t>
      </w:r>
      <w:proofErr w:type="spellStart"/>
      <w:r w:rsidR="003E223D" w:rsidRPr="00001F7B">
        <w:rPr>
          <w:rFonts w:cstheme="minorHAnsi"/>
        </w:rPr>
        <w:t>Kuner</w:t>
      </w:r>
      <w:proofErr w:type="spellEnd"/>
      <w:r w:rsidR="003E223D" w:rsidRPr="00001F7B">
        <w:rPr>
          <w:rFonts w:cstheme="minorHAnsi"/>
        </w:rPr>
        <w:t xml:space="preserve"> suggests</w:t>
      </w:r>
      <w:r w:rsidR="007E5B00" w:rsidRPr="00001F7B">
        <w:rPr>
          <w:rFonts w:cstheme="minorHAnsi"/>
        </w:rPr>
        <w:t xml:space="preserve"> that this means that there is no immediate requirement to compare texts simply because </w:t>
      </w:r>
      <w:r w:rsidR="00622F27" w:rsidRPr="00001F7B">
        <w:rPr>
          <w:rFonts w:cstheme="minorHAnsi"/>
        </w:rPr>
        <w:t>there is more than one authentic text.</w:t>
      </w:r>
      <w:r w:rsidR="00622F27" w:rsidRPr="00001F7B">
        <w:rPr>
          <w:rStyle w:val="FootnoteReference"/>
          <w:rFonts w:cstheme="minorHAnsi"/>
        </w:rPr>
        <w:footnoteReference w:id="237"/>
      </w:r>
      <w:r w:rsidR="00DD2B43" w:rsidRPr="00001F7B">
        <w:rPr>
          <w:rFonts w:cstheme="minorHAnsi"/>
        </w:rPr>
        <w:t xml:space="preserve"> </w:t>
      </w:r>
      <w:r w:rsidR="003E223D" w:rsidRPr="00001F7B">
        <w:rPr>
          <w:rFonts w:cstheme="minorHAnsi"/>
        </w:rPr>
        <w:t xml:space="preserve">He notes that </w:t>
      </w:r>
      <w:r w:rsidR="00DD2B43" w:rsidRPr="00001F7B">
        <w:rPr>
          <w:rFonts w:cstheme="minorHAnsi"/>
        </w:rPr>
        <w:t>Special Rapporteur Waldock objected to a suggest</w:t>
      </w:r>
      <w:r w:rsidR="00AD1B48" w:rsidRPr="00001F7B">
        <w:rPr>
          <w:rFonts w:cstheme="minorHAnsi"/>
        </w:rPr>
        <w:t>ion</w:t>
      </w:r>
      <w:r w:rsidR="00DD2B43" w:rsidRPr="00001F7B">
        <w:rPr>
          <w:rFonts w:cstheme="minorHAnsi"/>
        </w:rPr>
        <w:t xml:space="preserve"> that a duty of comparison should be included </w:t>
      </w:r>
      <w:r w:rsidR="00754A06" w:rsidRPr="00001F7B">
        <w:rPr>
          <w:rFonts w:eastAsia="Arial" w:cstheme="minorHAnsi"/>
          <w:color w:val="000000"/>
        </w:rPr>
        <w:t>on the grounds that comparison would "undermine the security of the individual texts" and the unity of the treaty by transplanting "concepts of</w:t>
      </w:r>
      <w:r w:rsidR="00ED4010" w:rsidRPr="00001F7B">
        <w:rPr>
          <w:rFonts w:eastAsia="Arial" w:cstheme="minorHAnsi"/>
          <w:color w:val="000000"/>
        </w:rPr>
        <w:t xml:space="preserve"> </w:t>
      </w:r>
      <w:r w:rsidR="00754A06" w:rsidRPr="00001F7B">
        <w:rPr>
          <w:rFonts w:eastAsia="Arial" w:cstheme="minorHAnsi"/>
          <w:color w:val="000000"/>
        </w:rPr>
        <w:t>one language into the interpretation of a text in another language".</w:t>
      </w:r>
      <w:r w:rsidR="00754A06" w:rsidRPr="00001F7B">
        <w:rPr>
          <w:rStyle w:val="FootnoteReference"/>
          <w:rFonts w:eastAsia="Arial" w:cstheme="minorHAnsi"/>
          <w:color w:val="000000"/>
        </w:rPr>
        <w:footnoteReference w:id="238"/>
      </w:r>
      <w:r w:rsidR="00431AC4" w:rsidRPr="00001F7B">
        <w:rPr>
          <w:rFonts w:eastAsiaTheme="minorEastAsia" w:cstheme="minorHAnsi"/>
          <w:color w:val="000000"/>
          <w:lang w:eastAsia="en-GB"/>
        </w:rPr>
        <w:t xml:space="preserve"> </w:t>
      </w:r>
    </w:p>
    <w:p w14:paraId="6E7471E4" w14:textId="77777777" w:rsidR="00431AC4" w:rsidRPr="00001F7B" w:rsidRDefault="00431AC4" w:rsidP="00001F7B">
      <w:pPr>
        <w:widowControl w:val="0"/>
        <w:autoSpaceDE w:val="0"/>
        <w:autoSpaceDN w:val="0"/>
        <w:adjustRightInd w:val="0"/>
        <w:spacing w:after="0" w:line="240" w:lineRule="auto"/>
        <w:rPr>
          <w:rFonts w:eastAsiaTheme="minorEastAsia" w:cstheme="minorHAnsi"/>
          <w:color w:val="000000"/>
          <w:lang w:eastAsia="en-GB"/>
        </w:rPr>
      </w:pPr>
    </w:p>
    <w:p w14:paraId="649304E6" w14:textId="54300729" w:rsidR="00393880" w:rsidRPr="00001F7B" w:rsidRDefault="003E223D" w:rsidP="00001F7B">
      <w:pPr>
        <w:rPr>
          <w:rFonts w:cstheme="minorHAnsi"/>
        </w:rPr>
      </w:pPr>
      <w:r w:rsidRPr="00001F7B">
        <w:rPr>
          <w:rFonts w:eastAsia="Arial" w:cstheme="minorHAnsi"/>
          <w:color w:val="000000"/>
        </w:rPr>
        <w:t xml:space="preserve">Waldock </w:t>
      </w:r>
      <w:r w:rsidR="009C7475" w:rsidRPr="00001F7B">
        <w:rPr>
          <w:rFonts w:eastAsia="Arial" w:cstheme="minorHAnsi"/>
          <w:color w:val="000000"/>
        </w:rPr>
        <w:t>explained that w</w:t>
      </w:r>
      <w:r w:rsidR="00656AD2" w:rsidRPr="00001F7B">
        <w:rPr>
          <w:rFonts w:cstheme="minorHAnsi"/>
        </w:rPr>
        <w:t xml:space="preserve">hile it was true that the interpreter normally undertook such a comparison, it would be going too far to erect comparison into one of the means of legal interpretation </w:t>
      </w:r>
      <w:r w:rsidR="00922BF2" w:rsidRPr="00001F7B">
        <w:rPr>
          <w:rFonts w:cstheme="minorHAnsi"/>
        </w:rPr>
        <w:t xml:space="preserve">since it </w:t>
      </w:r>
      <w:r w:rsidR="00656AD2" w:rsidRPr="00001F7B">
        <w:rPr>
          <w:rFonts w:cstheme="minorHAnsi"/>
        </w:rPr>
        <w:t>would imply that it was no longer possible to rely on a single text as an expression of the will of the parties until a difficulty arose</w:t>
      </w:r>
      <w:r w:rsidR="002316F8" w:rsidRPr="00001F7B">
        <w:rPr>
          <w:rFonts w:cstheme="minorHAnsi"/>
        </w:rPr>
        <w:t>,</w:t>
      </w:r>
      <w:r w:rsidR="00656AD2" w:rsidRPr="00001F7B">
        <w:rPr>
          <w:rFonts w:cstheme="minorHAnsi"/>
        </w:rPr>
        <w:t xml:space="preserve"> </w:t>
      </w:r>
      <w:r w:rsidR="00922BF2" w:rsidRPr="00001F7B">
        <w:rPr>
          <w:rFonts w:cstheme="minorHAnsi"/>
        </w:rPr>
        <w:t xml:space="preserve">potentially </w:t>
      </w:r>
      <w:r w:rsidR="00656AD2" w:rsidRPr="00001F7B">
        <w:rPr>
          <w:rFonts w:cstheme="minorHAnsi"/>
        </w:rPr>
        <w:t>involv</w:t>
      </w:r>
      <w:r w:rsidR="002316F8" w:rsidRPr="00001F7B">
        <w:rPr>
          <w:rFonts w:cstheme="minorHAnsi"/>
        </w:rPr>
        <w:t>ing</w:t>
      </w:r>
      <w:r w:rsidR="00656AD2" w:rsidRPr="00001F7B">
        <w:rPr>
          <w:rFonts w:cstheme="minorHAnsi"/>
        </w:rPr>
        <w:t xml:space="preserve"> practical difficulties for the legal advisers of the newly independent States, who did not always have staff familiar with the many languages used in drafting international treaties.</w:t>
      </w:r>
      <w:r w:rsidR="00656AD2" w:rsidRPr="00001F7B">
        <w:rPr>
          <w:rStyle w:val="FootnoteReference"/>
          <w:rFonts w:cstheme="minorHAnsi"/>
        </w:rPr>
        <w:footnoteReference w:id="239"/>
      </w:r>
    </w:p>
    <w:p w14:paraId="4841A7ED" w14:textId="0FE9C74B" w:rsidR="00D30042" w:rsidRPr="00001F7B" w:rsidRDefault="003B2708" w:rsidP="00001F7B">
      <w:pPr>
        <w:rPr>
          <w:rFonts w:cstheme="minorHAnsi"/>
        </w:rPr>
      </w:pPr>
      <w:r w:rsidRPr="00001F7B">
        <w:rPr>
          <w:rFonts w:cstheme="minorHAnsi"/>
        </w:rPr>
        <w:t xml:space="preserve">Gardiner says that the position of the ILC amounts to a </w:t>
      </w:r>
      <w:r w:rsidR="00C720FB" w:rsidRPr="00001F7B">
        <w:rPr>
          <w:rFonts w:cstheme="minorHAnsi"/>
        </w:rPr>
        <w:t>scheme</w:t>
      </w:r>
      <w:r w:rsidRPr="00001F7B">
        <w:rPr>
          <w:rFonts w:cstheme="minorHAnsi"/>
        </w:rPr>
        <w:t xml:space="preserve"> </w:t>
      </w:r>
      <w:r w:rsidR="00E41A6A" w:rsidRPr="00001F7B">
        <w:rPr>
          <w:rFonts w:cstheme="minorHAnsi"/>
        </w:rPr>
        <w:t>where comparison is dependent on</w:t>
      </w:r>
      <w:r w:rsidRPr="00001F7B">
        <w:rPr>
          <w:rFonts w:cstheme="minorHAnsi"/>
        </w:rPr>
        <w:t xml:space="preserve"> divergence </w:t>
      </w:r>
      <w:r w:rsidR="00C720FB" w:rsidRPr="00001F7B">
        <w:rPr>
          <w:rFonts w:cstheme="minorHAnsi"/>
        </w:rPr>
        <w:t>predicated on ther</w:t>
      </w:r>
      <w:r w:rsidR="00CC4B54" w:rsidRPr="00001F7B">
        <w:rPr>
          <w:rFonts w:cstheme="minorHAnsi"/>
        </w:rPr>
        <w:t>e</w:t>
      </w:r>
      <w:r w:rsidR="00C720FB" w:rsidRPr="00001F7B">
        <w:rPr>
          <w:rFonts w:cstheme="minorHAnsi"/>
        </w:rPr>
        <w:t xml:space="preserve"> being a dispute or difference over interpretation and circumstances </w:t>
      </w:r>
      <w:r w:rsidR="0006549A" w:rsidRPr="00001F7B">
        <w:rPr>
          <w:rFonts w:cstheme="minorHAnsi"/>
        </w:rPr>
        <w:t>in which one or other party would bring any divergence o</w:t>
      </w:r>
      <w:r w:rsidR="002316F8" w:rsidRPr="00001F7B">
        <w:rPr>
          <w:rFonts w:cstheme="minorHAnsi"/>
        </w:rPr>
        <w:t>r</w:t>
      </w:r>
      <w:r w:rsidR="0006549A" w:rsidRPr="00001F7B">
        <w:rPr>
          <w:rFonts w:cstheme="minorHAnsi"/>
        </w:rPr>
        <w:t xml:space="preserve"> relevant issue arising from differences in language to the attention of the interpreter.</w:t>
      </w:r>
      <w:r w:rsidR="0006549A" w:rsidRPr="00001F7B">
        <w:rPr>
          <w:rStyle w:val="FootnoteReference"/>
          <w:rFonts w:cstheme="minorHAnsi"/>
        </w:rPr>
        <w:footnoteReference w:id="240"/>
      </w:r>
      <w:r w:rsidR="0006549A" w:rsidRPr="00001F7B">
        <w:rPr>
          <w:rFonts w:cstheme="minorHAnsi"/>
        </w:rPr>
        <w:t xml:space="preserve"> </w:t>
      </w:r>
      <w:r w:rsidR="00D11B17" w:rsidRPr="00001F7B">
        <w:rPr>
          <w:rFonts w:cstheme="minorHAnsi"/>
        </w:rPr>
        <w:t>The presumption therefore appears to sanction reliance on a single text for routine interpretation.</w:t>
      </w:r>
      <w:r w:rsidR="00D11B17" w:rsidRPr="00001F7B">
        <w:rPr>
          <w:rStyle w:val="FootnoteReference"/>
          <w:rFonts w:cstheme="minorHAnsi"/>
        </w:rPr>
        <w:footnoteReference w:id="241"/>
      </w:r>
      <w:r w:rsidR="00385707" w:rsidRPr="00001F7B">
        <w:rPr>
          <w:rFonts w:cstheme="minorHAnsi"/>
        </w:rPr>
        <w:t xml:space="preserve"> </w:t>
      </w:r>
    </w:p>
    <w:p w14:paraId="77E870F5" w14:textId="43036335" w:rsidR="00F6786C" w:rsidRPr="00001F7B" w:rsidRDefault="00E73F44" w:rsidP="00001F7B">
      <w:pPr>
        <w:rPr>
          <w:rFonts w:eastAsia="Arial" w:cstheme="minorHAnsi"/>
          <w:color w:val="000000"/>
        </w:rPr>
      </w:pPr>
      <w:proofErr w:type="spellStart"/>
      <w:r w:rsidRPr="00001F7B">
        <w:rPr>
          <w:rFonts w:cstheme="minorHAnsi"/>
        </w:rPr>
        <w:t>Kuner</w:t>
      </w:r>
      <w:proofErr w:type="spellEnd"/>
      <w:r w:rsidRPr="00001F7B">
        <w:rPr>
          <w:rFonts w:cstheme="minorHAnsi"/>
        </w:rPr>
        <w:t xml:space="preserve"> states that m</w:t>
      </w:r>
      <w:r w:rsidRPr="00001F7B">
        <w:rPr>
          <w:rFonts w:eastAsia="Arial" w:cstheme="minorHAnsi"/>
          <w:color w:val="000000"/>
        </w:rPr>
        <w:t>ost national courts tend to rely on the treaty versions in their own native or working languages,</w:t>
      </w:r>
      <w:r w:rsidR="00FD6734" w:rsidRPr="00001F7B">
        <w:rPr>
          <w:rStyle w:val="FootnoteReference"/>
          <w:rFonts w:eastAsia="Arial" w:cstheme="minorHAnsi"/>
          <w:color w:val="000000"/>
        </w:rPr>
        <w:footnoteReference w:id="242"/>
      </w:r>
      <w:r w:rsidRPr="00001F7B">
        <w:rPr>
          <w:rFonts w:eastAsia="Arial" w:cstheme="minorHAnsi"/>
          <w:color w:val="000000"/>
        </w:rPr>
        <w:t xml:space="preserve"> at least when there is no contention of a difference in meaning among texts,</w:t>
      </w:r>
      <w:r w:rsidRPr="00001F7B">
        <w:rPr>
          <w:rStyle w:val="FootnoteReference"/>
          <w:rFonts w:eastAsia="Arial" w:cstheme="minorHAnsi"/>
          <w:color w:val="000000"/>
        </w:rPr>
        <w:footnoteReference w:id="243"/>
      </w:r>
      <w:r w:rsidRPr="00001F7B">
        <w:rPr>
          <w:rFonts w:eastAsia="Arial" w:cstheme="minorHAnsi"/>
          <w:color w:val="000000"/>
        </w:rPr>
        <w:t xml:space="preserve"> and points to courts in Germany and Switzerland as examples</w:t>
      </w:r>
      <w:r w:rsidR="006C733A" w:rsidRPr="00001F7B">
        <w:rPr>
          <w:rFonts w:eastAsia="Arial" w:cstheme="minorHAnsi"/>
          <w:color w:val="000000"/>
        </w:rPr>
        <w:t>. It would be interesting to know h</w:t>
      </w:r>
      <w:r w:rsidR="007879B3" w:rsidRPr="00001F7B">
        <w:rPr>
          <w:rFonts w:eastAsia="Arial" w:cstheme="minorHAnsi"/>
          <w:color w:val="000000"/>
        </w:rPr>
        <w:t>ow far this is true today</w:t>
      </w:r>
      <w:r w:rsidR="00282E59" w:rsidRPr="00001F7B">
        <w:rPr>
          <w:rFonts w:eastAsia="Arial" w:cstheme="minorHAnsi"/>
          <w:color w:val="000000"/>
        </w:rPr>
        <w:t xml:space="preserve"> in those countries</w:t>
      </w:r>
      <w:r w:rsidR="007879B3" w:rsidRPr="00001F7B">
        <w:rPr>
          <w:rFonts w:eastAsia="Arial" w:cstheme="minorHAnsi"/>
          <w:color w:val="000000"/>
        </w:rPr>
        <w:t>. In English courts there have been differences of judicial opinion as to h</w:t>
      </w:r>
      <w:r w:rsidR="00031BCF" w:rsidRPr="00001F7B">
        <w:rPr>
          <w:rFonts w:eastAsia="Arial" w:cstheme="minorHAnsi"/>
          <w:color w:val="000000"/>
        </w:rPr>
        <w:t>o</w:t>
      </w:r>
      <w:r w:rsidR="007879B3" w:rsidRPr="00001F7B">
        <w:rPr>
          <w:rFonts w:eastAsia="Arial" w:cstheme="minorHAnsi"/>
          <w:color w:val="000000"/>
        </w:rPr>
        <w:t>w far an ambiguity in the English text is required before reference to the foreign text is permissible</w:t>
      </w:r>
      <w:r w:rsidR="00BB6910" w:rsidRPr="00001F7B">
        <w:rPr>
          <w:rFonts w:eastAsia="Arial" w:cstheme="minorHAnsi"/>
          <w:color w:val="000000"/>
        </w:rPr>
        <w:t>.</w:t>
      </w:r>
      <w:r w:rsidR="00904440" w:rsidRPr="00001F7B">
        <w:rPr>
          <w:rStyle w:val="FootnoteReference"/>
          <w:rFonts w:eastAsia="Arial" w:cstheme="minorHAnsi"/>
          <w:color w:val="000000"/>
        </w:rPr>
        <w:footnoteReference w:id="244"/>
      </w:r>
      <w:r w:rsidR="007879B3" w:rsidRPr="00001F7B">
        <w:rPr>
          <w:rFonts w:eastAsia="Arial" w:cstheme="minorHAnsi"/>
          <w:color w:val="000000"/>
        </w:rPr>
        <w:t xml:space="preserve"> </w:t>
      </w:r>
      <w:r w:rsidR="00BB6910" w:rsidRPr="00001F7B">
        <w:rPr>
          <w:rFonts w:eastAsia="Arial" w:cstheme="minorHAnsi"/>
          <w:color w:val="000000"/>
        </w:rPr>
        <w:t xml:space="preserve">Logically </w:t>
      </w:r>
      <w:r w:rsidR="006308D9" w:rsidRPr="00001F7B">
        <w:rPr>
          <w:rFonts w:eastAsia="Arial" w:cstheme="minorHAnsi"/>
          <w:color w:val="000000"/>
        </w:rPr>
        <w:t xml:space="preserve">a precondition of a finding of ambiguity </w:t>
      </w:r>
      <w:r w:rsidR="00BB6910" w:rsidRPr="00001F7B">
        <w:rPr>
          <w:rFonts w:eastAsia="Arial" w:cstheme="minorHAnsi"/>
          <w:color w:val="000000"/>
        </w:rPr>
        <w:t>would prevent refe</w:t>
      </w:r>
      <w:r w:rsidR="00E506B3" w:rsidRPr="00001F7B">
        <w:rPr>
          <w:rFonts w:eastAsia="Arial" w:cstheme="minorHAnsi"/>
          <w:color w:val="000000"/>
        </w:rPr>
        <w:t>re</w:t>
      </w:r>
      <w:r w:rsidR="00BB6910" w:rsidRPr="00001F7B">
        <w:rPr>
          <w:rFonts w:eastAsia="Arial" w:cstheme="minorHAnsi"/>
          <w:color w:val="000000"/>
        </w:rPr>
        <w:t xml:space="preserve">nce to the foreign text to suggest a discrepancy because the absence of any </w:t>
      </w:r>
      <w:r w:rsidR="00050600" w:rsidRPr="00001F7B">
        <w:rPr>
          <w:rFonts w:eastAsia="Arial" w:cstheme="minorHAnsi"/>
          <w:color w:val="000000"/>
        </w:rPr>
        <w:t xml:space="preserve">apparent </w:t>
      </w:r>
      <w:r w:rsidR="00BB6910" w:rsidRPr="00001F7B">
        <w:rPr>
          <w:rFonts w:eastAsia="Arial" w:cstheme="minorHAnsi"/>
          <w:color w:val="000000"/>
        </w:rPr>
        <w:t xml:space="preserve">ambiguity in the English text would preclude </w:t>
      </w:r>
      <w:r w:rsidR="006153E3" w:rsidRPr="00001F7B">
        <w:rPr>
          <w:rFonts w:eastAsia="Arial" w:cstheme="minorHAnsi"/>
          <w:color w:val="000000"/>
        </w:rPr>
        <w:t xml:space="preserve">it </w:t>
      </w:r>
      <w:r w:rsidR="00BB6910" w:rsidRPr="00001F7B">
        <w:rPr>
          <w:rFonts w:eastAsia="Arial" w:cstheme="minorHAnsi"/>
          <w:color w:val="000000"/>
        </w:rPr>
        <w:t xml:space="preserve">even though a reference </w:t>
      </w:r>
      <w:r w:rsidR="006153E3" w:rsidRPr="00001F7B">
        <w:rPr>
          <w:rFonts w:eastAsia="Arial" w:cstheme="minorHAnsi"/>
          <w:color w:val="000000"/>
        </w:rPr>
        <w:t xml:space="preserve">to the foreign text could then </w:t>
      </w:r>
      <w:r w:rsidR="00050600" w:rsidRPr="00001F7B">
        <w:rPr>
          <w:rFonts w:eastAsia="Arial" w:cstheme="minorHAnsi"/>
          <w:color w:val="000000"/>
        </w:rPr>
        <w:t>suggest</w:t>
      </w:r>
      <w:r w:rsidR="006153E3" w:rsidRPr="00001F7B">
        <w:rPr>
          <w:rFonts w:eastAsia="Arial" w:cstheme="minorHAnsi"/>
          <w:color w:val="000000"/>
        </w:rPr>
        <w:t xml:space="preserve"> an ambiguity reading the two texts together.</w:t>
      </w:r>
      <w:r w:rsidR="00B40589" w:rsidRPr="00001F7B">
        <w:rPr>
          <w:rFonts w:eastAsia="Arial" w:cstheme="minorHAnsi"/>
          <w:color w:val="000000"/>
        </w:rPr>
        <w:t xml:space="preserve"> I</w:t>
      </w:r>
      <w:r w:rsidR="00F172D5" w:rsidRPr="00001F7B">
        <w:rPr>
          <w:rFonts w:eastAsia="Arial" w:cstheme="minorHAnsi"/>
          <w:color w:val="000000"/>
        </w:rPr>
        <w:t>t seem</w:t>
      </w:r>
      <w:r w:rsidR="00FD33D1" w:rsidRPr="00001F7B">
        <w:rPr>
          <w:rFonts w:eastAsia="Arial" w:cstheme="minorHAnsi"/>
          <w:color w:val="000000"/>
        </w:rPr>
        <w:t>s</w:t>
      </w:r>
      <w:r w:rsidR="00F172D5" w:rsidRPr="00001F7B">
        <w:rPr>
          <w:rFonts w:eastAsia="Arial" w:cstheme="minorHAnsi"/>
          <w:color w:val="000000"/>
        </w:rPr>
        <w:t xml:space="preserve"> likely that</w:t>
      </w:r>
      <w:r w:rsidR="0066287E" w:rsidRPr="00001F7B">
        <w:rPr>
          <w:rFonts w:eastAsia="Arial" w:cstheme="minorHAnsi"/>
          <w:color w:val="000000"/>
        </w:rPr>
        <w:t xml:space="preserve"> today </w:t>
      </w:r>
      <w:r w:rsidR="00F172D5" w:rsidRPr="00001F7B">
        <w:rPr>
          <w:rFonts w:eastAsia="Arial" w:cstheme="minorHAnsi"/>
          <w:color w:val="000000"/>
        </w:rPr>
        <w:t>no prior condition of ambiguity will be required although it might still be necessary for some suggestion o</w:t>
      </w:r>
      <w:r w:rsidR="00FD33D1" w:rsidRPr="00001F7B">
        <w:rPr>
          <w:rFonts w:eastAsia="Arial" w:cstheme="minorHAnsi"/>
          <w:color w:val="000000"/>
        </w:rPr>
        <w:t>f</w:t>
      </w:r>
      <w:r w:rsidR="00F172D5" w:rsidRPr="00001F7B">
        <w:rPr>
          <w:rFonts w:eastAsia="Arial" w:cstheme="minorHAnsi"/>
          <w:color w:val="000000"/>
        </w:rPr>
        <w:t xml:space="preserve"> difference to be raised</w:t>
      </w:r>
      <w:r w:rsidR="00544FFD" w:rsidRPr="00001F7B">
        <w:rPr>
          <w:rFonts w:eastAsia="Arial" w:cstheme="minorHAnsi"/>
          <w:color w:val="000000"/>
        </w:rPr>
        <w:t xml:space="preserve"> (presumably in the absence of ambiguity)</w:t>
      </w:r>
      <w:r w:rsidR="00F172D5" w:rsidRPr="00001F7B">
        <w:rPr>
          <w:rFonts w:eastAsia="Arial" w:cstheme="minorHAnsi"/>
          <w:color w:val="000000"/>
        </w:rPr>
        <w:t xml:space="preserve">. </w:t>
      </w:r>
      <w:proofErr w:type="spellStart"/>
      <w:r w:rsidR="00FD33D1" w:rsidRPr="00001F7B">
        <w:rPr>
          <w:rFonts w:eastAsia="Arial" w:cstheme="minorHAnsi"/>
          <w:color w:val="000000"/>
        </w:rPr>
        <w:t>Kuner</w:t>
      </w:r>
      <w:proofErr w:type="spellEnd"/>
      <w:r w:rsidR="00FD33D1" w:rsidRPr="00001F7B">
        <w:rPr>
          <w:rFonts w:eastAsia="Arial" w:cstheme="minorHAnsi"/>
          <w:color w:val="000000"/>
        </w:rPr>
        <w:t xml:space="preserve"> is fearful of the consequences of the presumption in leading to inconsistencies being missed</w:t>
      </w:r>
      <w:r w:rsidR="00A4250A" w:rsidRPr="00001F7B">
        <w:rPr>
          <w:rFonts w:eastAsia="Arial" w:cstheme="minorHAnsi"/>
          <w:color w:val="000000"/>
        </w:rPr>
        <w:t xml:space="preserve"> due to divergent interpretations due to divergent language versions.</w:t>
      </w:r>
      <w:r w:rsidR="0066287E" w:rsidRPr="00001F7B">
        <w:rPr>
          <w:rStyle w:val="FootnoteReference"/>
          <w:rFonts w:eastAsia="Arial" w:cstheme="minorHAnsi"/>
          <w:color w:val="000000"/>
        </w:rPr>
        <w:footnoteReference w:id="245"/>
      </w:r>
      <w:r w:rsidR="009764E5" w:rsidRPr="00001F7B">
        <w:rPr>
          <w:rFonts w:eastAsia="Arial" w:cstheme="minorHAnsi"/>
          <w:color w:val="000000"/>
        </w:rPr>
        <w:t xml:space="preserve"> Gardiner’s response</w:t>
      </w:r>
      <w:r w:rsidR="00050600" w:rsidRPr="00001F7B">
        <w:rPr>
          <w:rStyle w:val="FootnoteReference"/>
          <w:rFonts w:eastAsia="Arial" w:cstheme="minorHAnsi"/>
          <w:color w:val="000000"/>
        </w:rPr>
        <w:footnoteReference w:id="246"/>
      </w:r>
      <w:r w:rsidR="009764E5" w:rsidRPr="00001F7B">
        <w:rPr>
          <w:rFonts w:eastAsia="Arial" w:cstheme="minorHAnsi"/>
          <w:color w:val="000000"/>
        </w:rPr>
        <w:t xml:space="preserve"> </w:t>
      </w:r>
      <w:r w:rsidR="005B024D" w:rsidRPr="00001F7B">
        <w:rPr>
          <w:rFonts w:eastAsia="Arial" w:cstheme="minorHAnsi"/>
          <w:color w:val="000000"/>
        </w:rPr>
        <w:t>is</w:t>
      </w:r>
      <w:r w:rsidR="009764E5" w:rsidRPr="00001F7B">
        <w:rPr>
          <w:rFonts w:eastAsia="Arial" w:cstheme="minorHAnsi"/>
          <w:color w:val="000000"/>
        </w:rPr>
        <w:t xml:space="preserve"> that the conclusion must be that the interpreter may legitimately use a single language for ‘routine’ interpretation or in circumstances which otherwise mandate this (where a requirement of domestic legislation), but a prudent interpreter </w:t>
      </w:r>
      <w:r w:rsidR="00F410DA" w:rsidRPr="00001F7B">
        <w:rPr>
          <w:rFonts w:eastAsia="Arial" w:cstheme="minorHAnsi"/>
          <w:color w:val="000000"/>
        </w:rPr>
        <w:t xml:space="preserve">needs to be very aware of the possibility that language differences may be relevant. </w:t>
      </w:r>
    </w:p>
    <w:p w14:paraId="7AF7F151" w14:textId="37BDEAE2" w:rsidR="00324623" w:rsidRPr="00001F7B" w:rsidRDefault="00FD6734" w:rsidP="00001F7B">
      <w:pPr>
        <w:widowControl w:val="0"/>
        <w:autoSpaceDE w:val="0"/>
        <w:autoSpaceDN w:val="0"/>
        <w:adjustRightInd w:val="0"/>
        <w:spacing w:after="0" w:line="240" w:lineRule="auto"/>
        <w:ind w:left="30" w:right="30"/>
        <w:rPr>
          <w:rFonts w:cstheme="minorHAnsi"/>
        </w:rPr>
      </w:pPr>
      <w:r w:rsidRPr="00001F7B">
        <w:rPr>
          <w:rFonts w:eastAsia="Arial" w:cstheme="minorHAnsi"/>
          <w:color w:val="000000"/>
        </w:rPr>
        <w:t xml:space="preserve">In response to the discussion so </w:t>
      </w:r>
      <w:r w:rsidR="000E4CC8" w:rsidRPr="00001F7B">
        <w:rPr>
          <w:rFonts w:eastAsia="Arial" w:cstheme="minorHAnsi"/>
          <w:color w:val="000000"/>
        </w:rPr>
        <w:t>far</w:t>
      </w:r>
      <w:r w:rsidR="00324623" w:rsidRPr="00001F7B">
        <w:rPr>
          <w:rFonts w:eastAsia="Arial" w:cstheme="minorHAnsi"/>
          <w:color w:val="000000"/>
        </w:rPr>
        <w:t>, a first</w:t>
      </w:r>
      <w:r w:rsidR="00324623" w:rsidRPr="00001F7B">
        <w:rPr>
          <w:rFonts w:cstheme="minorHAnsi"/>
        </w:rPr>
        <w:t xml:space="preserve"> point is that whilst no duty is expressed to compare texts neither is such comparison prohibited. Article 33.4 refers to a comparison revealing a difference of meaning which the application of arts 31 and 32 does not remove which seems quite a neutral expression and does not indicate whether there is any precondition. The 1964 Report and the !966 </w:t>
      </w:r>
      <w:r w:rsidR="0048617F">
        <w:rPr>
          <w:rFonts w:cstheme="minorHAnsi"/>
        </w:rPr>
        <w:t>C</w:t>
      </w:r>
      <w:r w:rsidR="00324623" w:rsidRPr="00001F7B">
        <w:rPr>
          <w:rFonts w:cstheme="minorHAnsi"/>
        </w:rPr>
        <w:t xml:space="preserve">ommentary seem mainly concerned with the right approach to reconciling the texts on the assumption of a difference with nothing said precisely as to how the difference is discovered. </w:t>
      </w:r>
      <w:r w:rsidR="006D0640" w:rsidRPr="00001F7B">
        <w:rPr>
          <w:rFonts w:cstheme="minorHAnsi"/>
        </w:rPr>
        <w:t>The presumption of similar meaning was linked directly by Waldock to the effort that should be made to find a common meaning.</w:t>
      </w:r>
      <w:r w:rsidR="006D0640" w:rsidRPr="00001F7B">
        <w:rPr>
          <w:rStyle w:val="FootnoteReference"/>
          <w:rFonts w:cstheme="minorHAnsi"/>
        </w:rPr>
        <w:footnoteReference w:id="247"/>
      </w:r>
      <w:r w:rsidR="006D0640" w:rsidRPr="00001F7B">
        <w:rPr>
          <w:rFonts w:cstheme="minorHAnsi"/>
        </w:rPr>
        <w:t xml:space="preserve"> </w:t>
      </w:r>
      <w:r w:rsidR="00372426" w:rsidRPr="00001F7B">
        <w:rPr>
          <w:rFonts w:cstheme="minorHAnsi"/>
        </w:rPr>
        <w:t xml:space="preserve">The presumption was not mentioned </w:t>
      </w:r>
      <w:r w:rsidR="003802E1" w:rsidRPr="00001F7B">
        <w:rPr>
          <w:rFonts w:cstheme="minorHAnsi"/>
        </w:rPr>
        <w:t xml:space="preserve">in Waldock’s response </w:t>
      </w:r>
      <w:r w:rsidR="00CD4FA3" w:rsidRPr="00001F7B">
        <w:rPr>
          <w:rFonts w:cstheme="minorHAnsi"/>
        </w:rPr>
        <w:t>to the suggestion that comparison of texts should be an additional principal means of interpretation.</w:t>
      </w:r>
      <w:r w:rsidR="00CD4FA3" w:rsidRPr="00001F7B">
        <w:rPr>
          <w:rStyle w:val="FootnoteReference"/>
          <w:rFonts w:cstheme="minorHAnsi"/>
        </w:rPr>
        <w:footnoteReference w:id="248"/>
      </w:r>
      <w:r w:rsidR="00372426" w:rsidRPr="00001F7B">
        <w:rPr>
          <w:rFonts w:cstheme="minorHAnsi"/>
        </w:rPr>
        <w:t xml:space="preserve"> </w:t>
      </w:r>
      <w:r w:rsidR="00324623" w:rsidRPr="00001F7B">
        <w:rPr>
          <w:rFonts w:cstheme="minorHAnsi"/>
        </w:rPr>
        <w:t xml:space="preserve">It seems that Waldock was </w:t>
      </w:r>
      <w:r w:rsidR="00CD4FA3" w:rsidRPr="00001F7B">
        <w:rPr>
          <w:rFonts w:cstheme="minorHAnsi"/>
        </w:rPr>
        <w:t xml:space="preserve">concerned that </w:t>
      </w:r>
      <w:r w:rsidR="00324623" w:rsidRPr="00001F7B">
        <w:rPr>
          <w:rFonts w:cstheme="minorHAnsi"/>
        </w:rPr>
        <w:t>a requirement of comparison</w:t>
      </w:r>
      <w:r w:rsidR="00CD4FA3" w:rsidRPr="00001F7B">
        <w:rPr>
          <w:rFonts w:cstheme="minorHAnsi"/>
        </w:rPr>
        <w:t xml:space="preserve"> should not be imposed</w:t>
      </w:r>
      <w:r w:rsidR="00324623" w:rsidRPr="00001F7B">
        <w:rPr>
          <w:rFonts w:cstheme="minorHAnsi"/>
        </w:rPr>
        <w:t xml:space="preserve">. </w:t>
      </w:r>
      <w:r w:rsidR="00D615C1" w:rsidRPr="00001F7B">
        <w:rPr>
          <w:rFonts w:cstheme="minorHAnsi"/>
        </w:rPr>
        <w:t>Whereas the English courts were concerned with whether ambiguity was required to justify reference to the French text</w:t>
      </w:r>
      <w:r w:rsidR="005319AF" w:rsidRPr="00001F7B">
        <w:rPr>
          <w:rFonts w:cstheme="minorHAnsi"/>
        </w:rPr>
        <w:t>,</w:t>
      </w:r>
      <w:r w:rsidR="00DB14A4" w:rsidRPr="00001F7B">
        <w:rPr>
          <w:rStyle w:val="FootnoteReference"/>
          <w:rFonts w:cstheme="minorHAnsi"/>
        </w:rPr>
        <w:footnoteReference w:id="249"/>
      </w:r>
      <w:r w:rsidR="00D615C1" w:rsidRPr="00001F7B">
        <w:rPr>
          <w:rFonts w:cstheme="minorHAnsi"/>
        </w:rPr>
        <w:t xml:space="preserve"> this does not seem to be relevant to art 33.  </w:t>
      </w:r>
    </w:p>
    <w:p w14:paraId="4D22805D" w14:textId="3FA33DB6" w:rsidR="00894472" w:rsidRPr="00001F7B" w:rsidRDefault="00894472" w:rsidP="00001F7B">
      <w:pPr>
        <w:widowControl w:val="0"/>
        <w:autoSpaceDE w:val="0"/>
        <w:autoSpaceDN w:val="0"/>
        <w:adjustRightInd w:val="0"/>
        <w:spacing w:after="0" w:line="240" w:lineRule="auto"/>
        <w:ind w:left="30" w:right="30"/>
        <w:rPr>
          <w:rFonts w:cstheme="minorHAnsi"/>
        </w:rPr>
      </w:pPr>
    </w:p>
    <w:p w14:paraId="48163C6E" w14:textId="71C2979D" w:rsidR="00032042" w:rsidRPr="00001F7B" w:rsidRDefault="00894472" w:rsidP="00001F7B">
      <w:pPr>
        <w:widowControl w:val="0"/>
        <w:autoSpaceDE w:val="0"/>
        <w:autoSpaceDN w:val="0"/>
        <w:adjustRightInd w:val="0"/>
        <w:spacing w:after="0" w:line="240" w:lineRule="auto"/>
        <w:ind w:right="30"/>
        <w:rPr>
          <w:rFonts w:eastAsia="Arial" w:cstheme="minorHAnsi"/>
          <w:color w:val="000000"/>
        </w:rPr>
      </w:pPr>
      <w:r w:rsidRPr="00001F7B">
        <w:rPr>
          <w:rFonts w:cstheme="minorHAnsi"/>
        </w:rPr>
        <w:t>The</w:t>
      </w:r>
      <w:r w:rsidR="00372426" w:rsidRPr="00001F7B">
        <w:rPr>
          <w:rFonts w:eastAsia="Arial" w:cstheme="minorHAnsi"/>
          <w:color w:val="000000"/>
        </w:rPr>
        <w:t xml:space="preserve"> second</w:t>
      </w:r>
      <w:r w:rsidR="0066287E" w:rsidRPr="00001F7B">
        <w:rPr>
          <w:rFonts w:eastAsia="Arial" w:cstheme="minorHAnsi"/>
          <w:color w:val="000000"/>
        </w:rPr>
        <w:t xml:space="preserve"> point </w:t>
      </w:r>
      <w:r w:rsidRPr="00001F7B">
        <w:rPr>
          <w:rFonts w:eastAsia="Arial" w:cstheme="minorHAnsi"/>
          <w:color w:val="000000"/>
        </w:rPr>
        <w:t xml:space="preserve">to consider is if there is no precondition to permission to compare texts </w:t>
      </w:r>
      <w:r w:rsidR="00EF62FD" w:rsidRPr="00001F7B">
        <w:rPr>
          <w:rFonts w:eastAsia="Arial" w:cstheme="minorHAnsi"/>
          <w:color w:val="000000"/>
        </w:rPr>
        <w:t xml:space="preserve">does this </w:t>
      </w:r>
      <w:r w:rsidR="00F06966" w:rsidRPr="00001F7B">
        <w:rPr>
          <w:rFonts w:eastAsia="Arial" w:cstheme="minorHAnsi"/>
          <w:color w:val="000000"/>
        </w:rPr>
        <w:t xml:space="preserve"> logically suggest that </w:t>
      </w:r>
      <w:r w:rsidRPr="00001F7B">
        <w:rPr>
          <w:rFonts w:eastAsia="Arial" w:cstheme="minorHAnsi"/>
          <w:color w:val="000000"/>
        </w:rPr>
        <w:t xml:space="preserve">comparison becomes </w:t>
      </w:r>
      <w:r w:rsidR="00BC049E" w:rsidRPr="00001F7B">
        <w:rPr>
          <w:rFonts w:eastAsia="Arial" w:cstheme="minorHAnsi"/>
          <w:color w:val="000000"/>
        </w:rPr>
        <w:t xml:space="preserve">a duty </w:t>
      </w:r>
      <w:r w:rsidRPr="00001F7B">
        <w:rPr>
          <w:rFonts w:eastAsia="Arial" w:cstheme="minorHAnsi"/>
          <w:color w:val="000000"/>
        </w:rPr>
        <w:t>a</w:t>
      </w:r>
      <w:r w:rsidR="00F06966" w:rsidRPr="00001F7B">
        <w:rPr>
          <w:rFonts w:eastAsia="Arial" w:cstheme="minorHAnsi"/>
          <w:color w:val="000000"/>
        </w:rPr>
        <w:t>t some point</w:t>
      </w:r>
      <w:r w:rsidR="00EF62FD" w:rsidRPr="00001F7B">
        <w:rPr>
          <w:rFonts w:eastAsia="Arial" w:cstheme="minorHAnsi"/>
          <w:color w:val="000000"/>
        </w:rPr>
        <w:t>? The only expressed duty is to reconcile the texts</w:t>
      </w:r>
      <w:r w:rsidR="00F673C3" w:rsidRPr="00001F7B">
        <w:rPr>
          <w:rFonts w:eastAsia="Arial" w:cstheme="minorHAnsi"/>
          <w:color w:val="000000"/>
        </w:rPr>
        <w:t>.</w:t>
      </w:r>
      <w:r w:rsidR="00BC049E" w:rsidRPr="00001F7B">
        <w:rPr>
          <w:rFonts w:eastAsia="Arial" w:cstheme="minorHAnsi"/>
          <w:color w:val="000000"/>
        </w:rPr>
        <w:t xml:space="preserve"> </w:t>
      </w:r>
      <w:r w:rsidR="00C85543" w:rsidRPr="00001F7B">
        <w:rPr>
          <w:rFonts w:eastAsia="Arial" w:cstheme="minorHAnsi"/>
          <w:color w:val="000000"/>
        </w:rPr>
        <w:t xml:space="preserve">At some point that </w:t>
      </w:r>
      <w:r w:rsidRPr="00001F7B">
        <w:rPr>
          <w:rFonts w:eastAsia="Arial" w:cstheme="minorHAnsi"/>
          <w:color w:val="000000"/>
        </w:rPr>
        <w:t xml:space="preserve">duty </w:t>
      </w:r>
      <w:r w:rsidR="00C85543" w:rsidRPr="00001F7B">
        <w:rPr>
          <w:rFonts w:eastAsia="Arial" w:cstheme="minorHAnsi"/>
          <w:color w:val="000000"/>
        </w:rPr>
        <w:t xml:space="preserve">must arise. This must be linked to the circumstances which are envisaged as producing </w:t>
      </w:r>
      <w:r w:rsidR="00F46968" w:rsidRPr="00001F7B">
        <w:rPr>
          <w:rFonts w:eastAsia="Arial" w:cstheme="minorHAnsi"/>
          <w:color w:val="000000"/>
        </w:rPr>
        <w:t xml:space="preserve">the need for reconciliation. The ILC say: </w:t>
      </w:r>
      <w:r w:rsidR="00F46968" w:rsidRPr="00001F7B">
        <w:rPr>
          <w:rFonts w:cstheme="minorHAnsi"/>
        </w:rPr>
        <w:t>“A term of the treaty may be ambiguous or obscure because it is so in all the authentic texts, or because it is so in one text only but it is not certain whether there is a difference between the texts, or because on their face the authentic texts seem not to have exactly the same meaning</w:t>
      </w:r>
      <w:r w:rsidR="005319AF" w:rsidRPr="00001F7B">
        <w:rPr>
          <w:rFonts w:cstheme="minorHAnsi"/>
        </w:rPr>
        <w:t>.</w:t>
      </w:r>
      <w:r w:rsidR="00F46968" w:rsidRPr="00001F7B">
        <w:rPr>
          <w:rFonts w:eastAsia="Arial" w:cstheme="minorHAnsi"/>
          <w:color w:val="000000"/>
        </w:rPr>
        <w:t xml:space="preserve"> “</w:t>
      </w:r>
      <w:r w:rsidR="00F46968" w:rsidRPr="00001F7B">
        <w:rPr>
          <w:rStyle w:val="FootnoteReference"/>
          <w:rFonts w:eastAsia="Arial" w:cstheme="minorHAnsi"/>
          <w:color w:val="000000"/>
        </w:rPr>
        <w:footnoteReference w:id="250"/>
      </w:r>
      <w:r w:rsidR="00C85543" w:rsidRPr="00001F7B">
        <w:rPr>
          <w:rFonts w:eastAsia="Arial" w:cstheme="minorHAnsi"/>
          <w:color w:val="000000"/>
        </w:rPr>
        <w:t xml:space="preserve"> </w:t>
      </w:r>
      <w:r w:rsidR="00032042" w:rsidRPr="00001F7B">
        <w:rPr>
          <w:rFonts w:eastAsia="Arial" w:cstheme="minorHAnsi"/>
          <w:color w:val="000000"/>
        </w:rPr>
        <w:t>T</w:t>
      </w:r>
      <w:r w:rsidR="00F46968" w:rsidRPr="00001F7B">
        <w:rPr>
          <w:rFonts w:eastAsia="Arial" w:cstheme="minorHAnsi"/>
          <w:color w:val="000000"/>
        </w:rPr>
        <w:t xml:space="preserve">his means that both in the case of ambiguity in one text </w:t>
      </w:r>
      <w:r w:rsidR="00F039DD" w:rsidRPr="00001F7B">
        <w:rPr>
          <w:rFonts w:eastAsia="Arial" w:cstheme="minorHAnsi"/>
          <w:color w:val="000000"/>
        </w:rPr>
        <w:t>and in the case where there are differences between the texts a duty to reconcile may arise. Where a difference in text has been found the duty arises immediately.  Where there is ambiguity or obscurity in one text a duty to compare m</w:t>
      </w:r>
      <w:r w:rsidR="005319AF" w:rsidRPr="00001F7B">
        <w:rPr>
          <w:rFonts w:eastAsia="Arial" w:cstheme="minorHAnsi"/>
          <w:color w:val="000000"/>
        </w:rPr>
        <w:t>u</w:t>
      </w:r>
      <w:r w:rsidR="00F039DD" w:rsidRPr="00001F7B">
        <w:rPr>
          <w:rFonts w:eastAsia="Arial" w:cstheme="minorHAnsi"/>
          <w:color w:val="000000"/>
        </w:rPr>
        <w:t xml:space="preserve">st arise </w:t>
      </w:r>
      <w:r w:rsidR="005319AF" w:rsidRPr="00001F7B">
        <w:rPr>
          <w:rFonts w:eastAsia="Arial" w:cstheme="minorHAnsi"/>
          <w:color w:val="000000"/>
        </w:rPr>
        <w:t>at some point</w:t>
      </w:r>
      <w:r w:rsidR="00F039DD" w:rsidRPr="00001F7B">
        <w:rPr>
          <w:rFonts w:eastAsia="Arial" w:cstheme="minorHAnsi"/>
          <w:color w:val="000000"/>
        </w:rPr>
        <w:t xml:space="preserve"> to ensure that the duty to reconcile can be complied with</w:t>
      </w:r>
      <w:r w:rsidR="00032042" w:rsidRPr="00001F7B">
        <w:rPr>
          <w:rFonts w:eastAsia="Arial" w:cstheme="minorHAnsi"/>
          <w:color w:val="000000"/>
        </w:rPr>
        <w:t>.</w:t>
      </w:r>
      <w:r w:rsidR="00F039DD" w:rsidRPr="00001F7B">
        <w:rPr>
          <w:rFonts w:eastAsia="Arial" w:cstheme="minorHAnsi"/>
          <w:color w:val="000000"/>
        </w:rPr>
        <w:t xml:space="preserve"> </w:t>
      </w:r>
    </w:p>
    <w:p w14:paraId="18439ADC" w14:textId="77777777" w:rsidR="00032042" w:rsidRPr="00001F7B" w:rsidRDefault="00032042" w:rsidP="00001F7B">
      <w:pPr>
        <w:widowControl w:val="0"/>
        <w:autoSpaceDE w:val="0"/>
        <w:autoSpaceDN w:val="0"/>
        <w:adjustRightInd w:val="0"/>
        <w:spacing w:after="0" w:line="240" w:lineRule="auto"/>
        <w:ind w:right="30"/>
        <w:rPr>
          <w:rFonts w:eastAsia="Arial" w:cstheme="minorHAnsi"/>
          <w:color w:val="000000"/>
        </w:rPr>
      </w:pPr>
    </w:p>
    <w:p w14:paraId="3CDC7A0F" w14:textId="6E678C66" w:rsidR="0059061E" w:rsidRPr="00001F7B" w:rsidRDefault="005A478B" w:rsidP="00001F7B">
      <w:pPr>
        <w:widowControl w:val="0"/>
        <w:autoSpaceDE w:val="0"/>
        <w:autoSpaceDN w:val="0"/>
        <w:adjustRightInd w:val="0"/>
        <w:spacing w:after="0" w:line="240" w:lineRule="auto"/>
        <w:ind w:right="30"/>
        <w:rPr>
          <w:rFonts w:cstheme="minorHAnsi"/>
        </w:rPr>
      </w:pPr>
      <w:r w:rsidRPr="00001F7B">
        <w:rPr>
          <w:rFonts w:eastAsia="Arial" w:cstheme="minorHAnsi"/>
          <w:color w:val="000000"/>
        </w:rPr>
        <w:t xml:space="preserve">Finally, </w:t>
      </w:r>
      <w:r w:rsidR="00255B91" w:rsidRPr="00001F7B">
        <w:rPr>
          <w:rFonts w:eastAsia="Arial" w:cstheme="minorHAnsi"/>
          <w:color w:val="000000"/>
        </w:rPr>
        <w:t>thought must be given to the process involved.</w:t>
      </w:r>
      <w:r w:rsidR="00934790" w:rsidRPr="00001F7B">
        <w:rPr>
          <w:rFonts w:eastAsia="Arial" w:cstheme="minorHAnsi"/>
          <w:color w:val="000000"/>
        </w:rPr>
        <w:t xml:space="preserve"> The ILC state both that the element of comparison does not involve </w:t>
      </w:r>
      <w:r w:rsidR="0063761A" w:rsidRPr="00001F7B">
        <w:rPr>
          <w:rFonts w:eastAsia="Arial" w:cstheme="minorHAnsi"/>
          <w:color w:val="000000"/>
        </w:rPr>
        <w:t>a different system of interpretation</w:t>
      </w:r>
      <w:r w:rsidR="00AB1DD2" w:rsidRPr="00001F7B">
        <w:rPr>
          <w:rStyle w:val="FootnoteReference"/>
          <w:rFonts w:eastAsia="Arial" w:cstheme="minorHAnsi"/>
          <w:color w:val="000000"/>
        </w:rPr>
        <w:footnoteReference w:id="251"/>
      </w:r>
      <w:r w:rsidR="0063761A" w:rsidRPr="00001F7B">
        <w:rPr>
          <w:rFonts w:eastAsia="Arial" w:cstheme="minorHAnsi"/>
          <w:color w:val="000000"/>
        </w:rPr>
        <w:t xml:space="preserve"> and that </w:t>
      </w:r>
      <w:r w:rsidR="000E4CC8" w:rsidRPr="00001F7B">
        <w:rPr>
          <w:rFonts w:eastAsia="Arial" w:cstheme="minorHAnsi"/>
          <w:color w:val="000000"/>
        </w:rPr>
        <w:t xml:space="preserve">even if </w:t>
      </w:r>
      <w:r w:rsidR="0063761A" w:rsidRPr="00001F7B">
        <w:rPr>
          <w:rFonts w:cstheme="minorHAnsi"/>
        </w:rPr>
        <w:t>plurilingual in expression, the treaty remains a single treaty with a single set of terms the interpretation of which is governed by the rules set out in articles 31 and 32</w:t>
      </w:r>
      <w:r w:rsidR="000956B5" w:rsidRPr="00001F7B">
        <w:rPr>
          <w:rFonts w:cstheme="minorHAnsi"/>
        </w:rPr>
        <w:t>.</w:t>
      </w:r>
      <w:r w:rsidR="004B018F" w:rsidRPr="00001F7B">
        <w:rPr>
          <w:rStyle w:val="FootnoteReference"/>
          <w:rFonts w:cstheme="minorHAnsi"/>
        </w:rPr>
        <w:footnoteReference w:id="252"/>
      </w:r>
      <w:r w:rsidR="004B018F" w:rsidRPr="00001F7B">
        <w:rPr>
          <w:rFonts w:cstheme="minorHAnsi"/>
        </w:rPr>
        <w:t xml:space="preserve"> </w:t>
      </w:r>
      <w:r w:rsidR="00255B91" w:rsidRPr="00001F7B">
        <w:rPr>
          <w:rFonts w:cstheme="minorHAnsi"/>
        </w:rPr>
        <w:t>As noted above,</w:t>
      </w:r>
      <w:r w:rsidR="00255B91" w:rsidRPr="00001F7B">
        <w:rPr>
          <w:rStyle w:val="FootnoteReference"/>
          <w:rFonts w:cstheme="minorHAnsi"/>
        </w:rPr>
        <w:footnoteReference w:id="253"/>
      </w:r>
      <w:r w:rsidR="00255B91" w:rsidRPr="00001F7B">
        <w:rPr>
          <w:rFonts w:cstheme="minorHAnsi"/>
        </w:rPr>
        <w:t xml:space="preserve"> the</w:t>
      </w:r>
      <w:r w:rsidR="007C7D57" w:rsidRPr="00001F7B">
        <w:rPr>
          <w:rFonts w:cstheme="minorHAnsi"/>
        </w:rPr>
        <w:t xml:space="preserve"> Rules </w:t>
      </w:r>
      <w:r w:rsidR="00255B91" w:rsidRPr="00001F7B">
        <w:rPr>
          <w:rFonts w:cstheme="minorHAnsi"/>
        </w:rPr>
        <w:t>involve a circular process where initial impressions are either reinforced or contradict</w:t>
      </w:r>
      <w:r w:rsidR="007C7D57" w:rsidRPr="00001F7B">
        <w:rPr>
          <w:rFonts w:cstheme="minorHAnsi"/>
        </w:rPr>
        <w:t>ed</w:t>
      </w:r>
      <w:r w:rsidR="00255B91" w:rsidRPr="00001F7B">
        <w:rPr>
          <w:rFonts w:cstheme="minorHAnsi"/>
        </w:rPr>
        <w:t xml:space="preserve"> by the changing focus on the different parts of </w:t>
      </w:r>
      <w:r w:rsidR="007C7D57" w:rsidRPr="00001F7B">
        <w:rPr>
          <w:rFonts w:cstheme="minorHAnsi"/>
        </w:rPr>
        <w:t xml:space="preserve">them. It would be a mistake </w:t>
      </w:r>
      <w:r w:rsidR="00CC1736" w:rsidRPr="00001F7B">
        <w:rPr>
          <w:rFonts w:cstheme="minorHAnsi"/>
        </w:rPr>
        <w:t>to see the process</w:t>
      </w:r>
      <w:r w:rsidR="007C7D57" w:rsidRPr="00001F7B">
        <w:rPr>
          <w:rFonts w:cstheme="minorHAnsi"/>
        </w:rPr>
        <w:t xml:space="preserve"> in respect of art 33</w:t>
      </w:r>
      <w:r w:rsidR="00CC1736" w:rsidRPr="00001F7B">
        <w:rPr>
          <w:rFonts w:cstheme="minorHAnsi"/>
        </w:rPr>
        <w:t xml:space="preserve"> as requiring firstly, a definite finding of ambiguity before </w:t>
      </w:r>
      <w:r w:rsidR="00DD37AF" w:rsidRPr="00001F7B">
        <w:rPr>
          <w:rFonts w:cstheme="minorHAnsi"/>
        </w:rPr>
        <w:t xml:space="preserve">proceeding to examination of the foreign text. </w:t>
      </w:r>
      <w:r w:rsidR="0059061E" w:rsidRPr="00001F7B">
        <w:rPr>
          <w:rFonts w:cstheme="minorHAnsi"/>
        </w:rPr>
        <w:t xml:space="preserve">It seems artificial to require that the scheme </w:t>
      </w:r>
      <w:r w:rsidR="00376C90">
        <w:rPr>
          <w:rFonts w:cstheme="minorHAnsi"/>
        </w:rPr>
        <w:t xml:space="preserve">in </w:t>
      </w:r>
      <w:r w:rsidR="0059061E" w:rsidRPr="00001F7B">
        <w:rPr>
          <w:rFonts w:cstheme="minorHAnsi"/>
        </w:rPr>
        <w:t>arts 31 and 32 must be applied first to one text and only if a doubt or ambiguity of meaning is found to apply to them again to require</w:t>
      </w:r>
      <w:r w:rsidR="005319AF" w:rsidRPr="00001F7B">
        <w:rPr>
          <w:rFonts w:cstheme="minorHAnsi"/>
        </w:rPr>
        <w:t>,</w:t>
      </w:r>
      <w:r w:rsidR="0059061E" w:rsidRPr="00001F7B">
        <w:rPr>
          <w:rFonts w:cstheme="minorHAnsi"/>
        </w:rPr>
        <w:t xml:space="preserve"> after a comparison</w:t>
      </w:r>
      <w:r w:rsidR="005319AF" w:rsidRPr="00001F7B">
        <w:rPr>
          <w:rFonts w:cstheme="minorHAnsi"/>
        </w:rPr>
        <w:t>,</w:t>
      </w:r>
      <w:r w:rsidR="0059061E" w:rsidRPr="00001F7B">
        <w:rPr>
          <w:rFonts w:cstheme="minorHAnsi"/>
        </w:rPr>
        <w:t xml:space="preserve"> a second application of arts 31 and 32. Arguably regardless of whether one or more authentic texts are involved they are a unit (i.e., a single treaty) so that the process of interpretation envisaged in theory should apply to all of them</w:t>
      </w:r>
      <w:r w:rsidR="00891373" w:rsidRPr="00001F7B">
        <w:rPr>
          <w:rFonts w:cstheme="minorHAnsi"/>
        </w:rPr>
        <w:t>.</w:t>
      </w:r>
    </w:p>
    <w:p w14:paraId="4B561631" w14:textId="77777777" w:rsidR="00891373" w:rsidRPr="00001F7B" w:rsidRDefault="00891373" w:rsidP="00001F7B">
      <w:pPr>
        <w:widowControl w:val="0"/>
        <w:autoSpaceDE w:val="0"/>
        <w:autoSpaceDN w:val="0"/>
        <w:adjustRightInd w:val="0"/>
        <w:spacing w:after="0" w:line="240" w:lineRule="auto"/>
        <w:ind w:right="30"/>
        <w:rPr>
          <w:rFonts w:cstheme="minorHAnsi"/>
        </w:rPr>
      </w:pPr>
    </w:p>
    <w:p w14:paraId="5BBB50C3" w14:textId="3D722AAD" w:rsidR="00A638D0" w:rsidRPr="00001F7B" w:rsidRDefault="00F21BB0" w:rsidP="00001F7B">
      <w:pPr>
        <w:widowControl w:val="0"/>
        <w:autoSpaceDE w:val="0"/>
        <w:autoSpaceDN w:val="0"/>
        <w:adjustRightInd w:val="0"/>
        <w:spacing w:after="0" w:line="240" w:lineRule="auto"/>
        <w:ind w:left="30" w:right="30"/>
        <w:rPr>
          <w:rFonts w:cstheme="minorHAnsi"/>
        </w:rPr>
      </w:pPr>
      <w:r w:rsidRPr="00001F7B">
        <w:rPr>
          <w:rFonts w:cstheme="minorHAnsi"/>
        </w:rPr>
        <w:t xml:space="preserve">The key </w:t>
      </w:r>
      <w:r w:rsidR="007030BD" w:rsidRPr="00001F7B">
        <w:rPr>
          <w:rFonts w:cstheme="minorHAnsi"/>
        </w:rPr>
        <w:t>may</w:t>
      </w:r>
      <w:r w:rsidRPr="00001F7B">
        <w:rPr>
          <w:rFonts w:cstheme="minorHAnsi"/>
        </w:rPr>
        <w:t xml:space="preserve"> reside in the meaning of routine interpretation. The application of legal rules, for whatever purpose requires meaning to be ascribed to the words which </w:t>
      </w:r>
      <w:r w:rsidR="00EE5861" w:rsidRPr="00001F7B">
        <w:rPr>
          <w:rFonts w:cstheme="minorHAnsi"/>
        </w:rPr>
        <w:t>embody</w:t>
      </w:r>
      <w:r w:rsidRPr="00001F7B">
        <w:rPr>
          <w:rFonts w:cstheme="minorHAnsi"/>
        </w:rPr>
        <w:t xml:space="preserve"> the rule</w:t>
      </w:r>
      <w:r w:rsidR="00EE5861" w:rsidRPr="00001F7B">
        <w:rPr>
          <w:rFonts w:cstheme="minorHAnsi"/>
        </w:rPr>
        <w:t xml:space="preserve">. For most purposes this is an everyday, straightforward process. Where litigation </w:t>
      </w:r>
      <w:r w:rsidR="002C3A7B" w:rsidRPr="00001F7B">
        <w:rPr>
          <w:rFonts w:cstheme="minorHAnsi"/>
        </w:rPr>
        <w:t xml:space="preserve">concerns the application of a rule the parties may well be agreed about its meaning but dispute the facts. If the parties are in dispute about the meaning, then there must be a doubt. </w:t>
      </w:r>
      <w:r w:rsidR="00AA7FAE" w:rsidRPr="00001F7B">
        <w:rPr>
          <w:rFonts w:cstheme="minorHAnsi"/>
        </w:rPr>
        <w:t xml:space="preserve">It makes little difference how the doubt is introduced, whether through an apparent difference in texts, argument based on the absence of a clear literal meaning or doubt cast on the literal meaning through context or purpose. So long as the doubt is not absurd the </w:t>
      </w:r>
      <w:r w:rsidR="00C26A8B" w:rsidRPr="00001F7B">
        <w:rPr>
          <w:rFonts w:cstheme="minorHAnsi"/>
        </w:rPr>
        <w:t xml:space="preserve">prima facie case thereby established </w:t>
      </w:r>
      <w:r w:rsidR="00BA4235" w:rsidRPr="00001F7B">
        <w:rPr>
          <w:rFonts w:cstheme="minorHAnsi"/>
        </w:rPr>
        <w:t>seems</w:t>
      </w:r>
      <w:r w:rsidR="00C26A8B" w:rsidRPr="00001F7B">
        <w:rPr>
          <w:rFonts w:cstheme="minorHAnsi"/>
        </w:rPr>
        <w:t xml:space="preserve"> sufficient for a court to apply the whole panoply of tools</w:t>
      </w:r>
      <w:r w:rsidR="00A713B4" w:rsidRPr="00001F7B">
        <w:rPr>
          <w:rFonts w:cstheme="minorHAnsi"/>
        </w:rPr>
        <w:t xml:space="preserve"> including comparison of texts if relevant</w:t>
      </w:r>
      <w:r w:rsidR="00C26A8B" w:rsidRPr="00001F7B">
        <w:rPr>
          <w:rFonts w:cstheme="minorHAnsi"/>
        </w:rPr>
        <w:t>. This is no</w:t>
      </w:r>
      <w:r w:rsidR="00345115" w:rsidRPr="00001F7B">
        <w:rPr>
          <w:rFonts w:cstheme="minorHAnsi"/>
        </w:rPr>
        <w:t>t</w:t>
      </w:r>
      <w:r w:rsidR="00C26A8B" w:rsidRPr="00001F7B">
        <w:rPr>
          <w:rFonts w:cstheme="minorHAnsi"/>
        </w:rPr>
        <w:t xml:space="preserve"> a matter of stages but the natural proceeding </w:t>
      </w:r>
      <w:r w:rsidR="00A713B4" w:rsidRPr="00001F7B">
        <w:rPr>
          <w:rFonts w:cstheme="minorHAnsi"/>
        </w:rPr>
        <w:t xml:space="preserve">in </w:t>
      </w:r>
      <w:r w:rsidR="00FD4832" w:rsidRPr="00001F7B">
        <w:rPr>
          <w:rFonts w:cstheme="minorHAnsi"/>
        </w:rPr>
        <w:t xml:space="preserve">any </w:t>
      </w:r>
      <w:r w:rsidR="00A713B4" w:rsidRPr="00001F7B">
        <w:rPr>
          <w:rFonts w:cstheme="minorHAnsi"/>
        </w:rPr>
        <w:t xml:space="preserve">court in response to the arguments raised. </w:t>
      </w:r>
      <w:r w:rsidR="00087912" w:rsidRPr="00001F7B">
        <w:rPr>
          <w:rFonts w:cstheme="minorHAnsi"/>
        </w:rPr>
        <w:t xml:space="preserve">The suggestion is therefore that a court has a duty to compare </w:t>
      </w:r>
      <w:r w:rsidR="00C312EF" w:rsidRPr="00001F7B">
        <w:rPr>
          <w:rFonts w:cstheme="minorHAnsi"/>
        </w:rPr>
        <w:t>as soon as</w:t>
      </w:r>
      <w:r w:rsidR="006E56AC" w:rsidRPr="00001F7B">
        <w:rPr>
          <w:rFonts w:cstheme="minorHAnsi"/>
        </w:rPr>
        <w:t xml:space="preserve"> either a genuine doubt as to meaning has arisen or if a difference in the text is raised.</w:t>
      </w:r>
      <w:r w:rsidR="00FD4832" w:rsidRPr="00001F7B">
        <w:rPr>
          <w:rStyle w:val="FootnoteReference"/>
          <w:rFonts w:cstheme="minorHAnsi"/>
        </w:rPr>
        <w:footnoteReference w:id="254"/>
      </w:r>
      <w:r w:rsidR="00E8139B" w:rsidRPr="00001F7B">
        <w:rPr>
          <w:rFonts w:cstheme="minorHAnsi"/>
        </w:rPr>
        <w:t xml:space="preserve">  </w:t>
      </w:r>
    </w:p>
    <w:p w14:paraId="6BB0286F" w14:textId="77777777" w:rsidR="00801741" w:rsidRPr="00001F7B" w:rsidRDefault="00801741" w:rsidP="00001F7B">
      <w:pPr>
        <w:widowControl w:val="0"/>
        <w:autoSpaceDE w:val="0"/>
        <w:autoSpaceDN w:val="0"/>
        <w:adjustRightInd w:val="0"/>
        <w:spacing w:after="0" w:line="240" w:lineRule="auto"/>
        <w:ind w:left="30" w:right="30"/>
        <w:rPr>
          <w:rFonts w:eastAsia="Times New Roman" w:cstheme="minorHAnsi"/>
          <w:color w:val="3D3D3D"/>
          <w:lang w:eastAsia="en-GB"/>
        </w:rPr>
      </w:pPr>
    </w:p>
    <w:p w14:paraId="47DE4DF8" w14:textId="4DBF927E" w:rsidR="00521D71" w:rsidRPr="00001F7B" w:rsidRDefault="00422AB5" w:rsidP="00001F7B">
      <w:pPr>
        <w:rPr>
          <w:rFonts w:eastAsia="Arial" w:cstheme="minorHAnsi"/>
          <w:b/>
          <w:bCs/>
          <w:color w:val="000000"/>
        </w:rPr>
      </w:pPr>
      <w:r w:rsidRPr="00001F7B">
        <w:rPr>
          <w:rFonts w:eastAsia="Arial" w:cstheme="minorHAnsi"/>
          <w:b/>
          <w:bCs/>
          <w:color w:val="000000"/>
        </w:rPr>
        <w:t>3.4.2 R</w:t>
      </w:r>
      <w:r w:rsidR="00521D71" w:rsidRPr="00001F7B">
        <w:rPr>
          <w:rFonts w:eastAsia="Arial" w:cstheme="minorHAnsi"/>
          <w:b/>
          <w:bCs/>
          <w:color w:val="000000"/>
        </w:rPr>
        <w:t>econciling the texts</w:t>
      </w:r>
    </w:p>
    <w:p w14:paraId="7AF0A617" w14:textId="0DA86FEA" w:rsidR="005C47DA" w:rsidRPr="00001F7B" w:rsidRDefault="00E506B3" w:rsidP="00001F7B">
      <w:pPr>
        <w:rPr>
          <w:rFonts w:eastAsia="Arial" w:cstheme="minorHAnsi"/>
          <w:color w:val="000000"/>
        </w:rPr>
      </w:pPr>
      <w:r w:rsidRPr="00001F7B">
        <w:rPr>
          <w:rFonts w:eastAsia="Arial" w:cstheme="minorHAnsi"/>
          <w:color w:val="000000"/>
        </w:rPr>
        <w:t>The ILC did not keep from the first draft the requirement</w:t>
      </w:r>
      <w:r w:rsidR="00D15E68" w:rsidRPr="00001F7B">
        <w:rPr>
          <w:rFonts w:eastAsia="Arial" w:cstheme="minorHAnsi"/>
          <w:color w:val="000000"/>
        </w:rPr>
        <w:t>, that where two or more authentic languages produce different meanings, a meaning common to both or all should prevail.</w:t>
      </w:r>
      <w:r w:rsidRPr="00001F7B">
        <w:rPr>
          <w:rFonts w:eastAsia="Arial" w:cstheme="minorHAnsi"/>
          <w:color w:val="000000"/>
        </w:rPr>
        <w:t xml:space="preserve"> </w:t>
      </w:r>
      <w:r w:rsidR="00D15E68" w:rsidRPr="00001F7B">
        <w:rPr>
          <w:rFonts w:eastAsia="Arial" w:cstheme="minorHAnsi"/>
          <w:color w:val="000000"/>
        </w:rPr>
        <w:t>Nevertheless,</w:t>
      </w:r>
      <w:r w:rsidRPr="00001F7B">
        <w:rPr>
          <w:rFonts w:eastAsia="Arial" w:cstheme="minorHAnsi"/>
          <w:color w:val="000000"/>
        </w:rPr>
        <w:t xml:space="preserve"> they still refer</w:t>
      </w:r>
      <w:r w:rsidR="0080399D" w:rsidRPr="00001F7B">
        <w:rPr>
          <w:rFonts w:eastAsia="Arial" w:cstheme="minorHAnsi"/>
          <w:color w:val="000000"/>
        </w:rPr>
        <w:t>red</w:t>
      </w:r>
      <w:r w:rsidRPr="00001F7B">
        <w:rPr>
          <w:rFonts w:eastAsia="Arial" w:cstheme="minorHAnsi"/>
          <w:color w:val="000000"/>
        </w:rPr>
        <w:t xml:space="preserve"> to the idea of finding a common meaning rather than </w:t>
      </w:r>
      <w:r w:rsidR="0048664A" w:rsidRPr="00001F7B">
        <w:rPr>
          <w:rFonts w:eastAsia="Arial" w:cstheme="minorHAnsi"/>
          <w:color w:val="000000"/>
        </w:rPr>
        <w:t>p</w:t>
      </w:r>
      <w:r w:rsidRPr="00001F7B">
        <w:rPr>
          <w:rFonts w:eastAsia="Arial" w:cstheme="minorHAnsi"/>
          <w:color w:val="000000"/>
        </w:rPr>
        <w:t>referring one over the other language</w:t>
      </w:r>
      <w:r w:rsidR="0080399D" w:rsidRPr="00001F7B">
        <w:rPr>
          <w:rFonts w:eastAsia="Arial" w:cstheme="minorHAnsi"/>
          <w:color w:val="000000"/>
        </w:rPr>
        <w:t>.</w:t>
      </w:r>
      <w:r w:rsidR="0080399D" w:rsidRPr="00001F7B">
        <w:rPr>
          <w:rStyle w:val="FootnoteReference"/>
          <w:rFonts w:eastAsia="Arial" w:cstheme="minorHAnsi"/>
          <w:color w:val="000000"/>
        </w:rPr>
        <w:footnoteReference w:id="255"/>
      </w:r>
      <w:r w:rsidRPr="00001F7B">
        <w:rPr>
          <w:rFonts w:eastAsia="Arial" w:cstheme="minorHAnsi"/>
          <w:color w:val="000000"/>
        </w:rPr>
        <w:t xml:space="preserve"> </w:t>
      </w:r>
      <w:r w:rsidR="003D3939" w:rsidRPr="00001F7B">
        <w:rPr>
          <w:rFonts w:eastAsia="Arial" w:cstheme="minorHAnsi"/>
          <w:color w:val="000000"/>
        </w:rPr>
        <w:t xml:space="preserve"> If no common meaning can be found (i.e. as art 33.4 states</w:t>
      </w:r>
      <w:r w:rsidR="00054943" w:rsidRPr="00001F7B">
        <w:rPr>
          <w:rFonts w:eastAsia="Arial" w:cstheme="minorHAnsi"/>
          <w:color w:val="000000"/>
        </w:rPr>
        <w:t>:</w:t>
      </w:r>
      <w:r w:rsidR="003D3939" w:rsidRPr="00001F7B">
        <w:rPr>
          <w:rFonts w:eastAsia="Arial" w:cstheme="minorHAnsi"/>
          <w:color w:val="000000"/>
        </w:rPr>
        <w:t xml:space="preserve"> if a comparison of the authentic texts reveals a difference of meaning that cannot be resolved through the application of arts 31 and 32) then the need arises to adopt the meaning which best reconciles the texts</w:t>
      </w:r>
      <w:r w:rsidR="005C47DA" w:rsidRPr="00001F7B">
        <w:rPr>
          <w:rFonts w:eastAsia="Arial" w:cstheme="minorHAnsi"/>
          <w:color w:val="000000"/>
        </w:rPr>
        <w:t>, having regard to the object and purpose of the treaty.</w:t>
      </w:r>
      <w:r w:rsidR="005C47DA" w:rsidRPr="00001F7B">
        <w:rPr>
          <w:rStyle w:val="FootnoteReference"/>
          <w:rFonts w:eastAsia="Arial" w:cstheme="minorHAnsi"/>
          <w:color w:val="000000"/>
        </w:rPr>
        <w:footnoteReference w:id="256"/>
      </w:r>
      <w:r w:rsidR="003D3939" w:rsidRPr="00001F7B">
        <w:rPr>
          <w:rFonts w:eastAsia="Arial" w:cstheme="minorHAnsi"/>
          <w:color w:val="000000"/>
        </w:rPr>
        <w:t xml:space="preserve">  </w:t>
      </w:r>
      <w:r w:rsidR="001027EC" w:rsidRPr="00001F7B">
        <w:rPr>
          <w:rFonts w:eastAsia="Arial" w:cstheme="minorHAnsi"/>
          <w:color w:val="000000"/>
        </w:rPr>
        <w:t>As Gardiner</w:t>
      </w:r>
      <w:r w:rsidR="002360B6" w:rsidRPr="00001F7B">
        <w:rPr>
          <w:rFonts w:eastAsia="Arial" w:cstheme="minorHAnsi"/>
          <w:color w:val="000000"/>
        </w:rPr>
        <w:t xml:space="preserve"> </w:t>
      </w:r>
      <w:r w:rsidR="001027EC" w:rsidRPr="00001F7B">
        <w:rPr>
          <w:rFonts w:eastAsia="Arial" w:cstheme="minorHAnsi"/>
          <w:color w:val="000000"/>
        </w:rPr>
        <w:t>points out</w:t>
      </w:r>
      <w:r w:rsidR="005C47DA" w:rsidRPr="00001F7B">
        <w:rPr>
          <w:rFonts w:eastAsia="Arial" w:cstheme="minorHAnsi"/>
          <w:color w:val="000000"/>
        </w:rPr>
        <w:t>,</w:t>
      </w:r>
      <w:r w:rsidR="001027EC" w:rsidRPr="00001F7B">
        <w:rPr>
          <w:rFonts w:eastAsia="Arial" w:cstheme="minorHAnsi"/>
          <w:color w:val="000000"/>
        </w:rPr>
        <w:t xml:space="preserve"> </w:t>
      </w:r>
      <w:r w:rsidR="002360B6" w:rsidRPr="00001F7B">
        <w:rPr>
          <w:rFonts w:eastAsia="Arial" w:cstheme="minorHAnsi"/>
          <w:color w:val="000000"/>
        </w:rPr>
        <w:t xml:space="preserve">the idea of reconciliation, coupled with the premise that no one text prevails </w:t>
      </w:r>
      <w:r w:rsidR="002360B6" w:rsidRPr="00001F7B">
        <w:rPr>
          <w:rFonts w:cstheme="minorHAnsi"/>
          <w:color w:val="000000"/>
        </w:rPr>
        <w:t xml:space="preserve">implies that this is not a matter of selecting one or several languages that are to be taken as expressing the meaning correctly, but rather that an interpretive outcome is to be found which respects the different languages but extracts from the treaty the </w:t>
      </w:r>
      <w:bookmarkStart w:id="14" w:name="_Hlk113636537"/>
      <w:r w:rsidR="002360B6" w:rsidRPr="00001F7B">
        <w:rPr>
          <w:rFonts w:cstheme="minorHAnsi"/>
          <w:color w:val="000000"/>
        </w:rPr>
        <w:t>best reconciliation of the differences</w:t>
      </w:r>
      <w:bookmarkEnd w:id="14"/>
      <w:r w:rsidR="002360B6" w:rsidRPr="00001F7B">
        <w:rPr>
          <w:rFonts w:cstheme="minorHAnsi"/>
          <w:color w:val="000000"/>
        </w:rPr>
        <w:t xml:space="preserve">. </w:t>
      </w:r>
      <w:r w:rsidR="002360B6" w:rsidRPr="00001F7B">
        <w:rPr>
          <w:rFonts w:eastAsia="Arial" w:cstheme="minorHAnsi"/>
          <w:color w:val="000000"/>
        </w:rPr>
        <w:t>As he suggests this</w:t>
      </w:r>
      <w:r w:rsidR="001027EC" w:rsidRPr="00001F7B">
        <w:rPr>
          <w:rFonts w:eastAsia="Arial" w:cstheme="minorHAnsi"/>
          <w:color w:val="000000"/>
        </w:rPr>
        <w:t xml:space="preserve"> is no easy matter and that selecting the meaning from one of the texts </w:t>
      </w:r>
      <w:r w:rsidR="005323EA" w:rsidRPr="00001F7B">
        <w:rPr>
          <w:rFonts w:eastAsia="Arial" w:cstheme="minorHAnsi"/>
          <w:color w:val="000000"/>
        </w:rPr>
        <w:t xml:space="preserve">may </w:t>
      </w:r>
      <w:r w:rsidR="00135A26" w:rsidRPr="00001F7B">
        <w:rPr>
          <w:rFonts w:eastAsia="Arial" w:cstheme="minorHAnsi"/>
          <w:color w:val="000000"/>
        </w:rPr>
        <w:t>be</w:t>
      </w:r>
      <w:r w:rsidR="005323EA" w:rsidRPr="00001F7B">
        <w:rPr>
          <w:rFonts w:eastAsia="Arial" w:cstheme="minorHAnsi"/>
          <w:color w:val="000000"/>
        </w:rPr>
        <w:t xml:space="preserve"> what happens in practice</w:t>
      </w:r>
      <w:r w:rsidR="0078485D" w:rsidRPr="00001F7B">
        <w:rPr>
          <w:rFonts w:eastAsia="Arial" w:cstheme="minorHAnsi"/>
          <w:color w:val="000000"/>
        </w:rPr>
        <w:t xml:space="preserve"> if there is no </w:t>
      </w:r>
      <w:r w:rsidR="0078485D" w:rsidRPr="00001F7B">
        <w:rPr>
          <w:rFonts w:eastAsia="Arial" w:cstheme="minorHAnsi"/>
          <w:i/>
          <w:iCs/>
          <w:color w:val="000000"/>
        </w:rPr>
        <w:t>via media</w:t>
      </w:r>
      <w:r w:rsidR="005323EA" w:rsidRPr="00001F7B">
        <w:rPr>
          <w:rFonts w:eastAsia="Arial" w:cstheme="minorHAnsi"/>
          <w:color w:val="000000"/>
        </w:rPr>
        <w:t>.</w:t>
      </w:r>
      <w:r w:rsidR="005323EA" w:rsidRPr="00001F7B">
        <w:rPr>
          <w:rStyle w:val="FootnoteReference"/>
          <w:rFonts w:eastAsia="Arial" w:cstheme="minorHAnsi"/>
          <w:color w:val="000000"/>
        </w:rPr>
        <w:footnoteReference w:id="257"/>
      </w:r>
      <w:r w:rsidR="005323EA" w:rsidRPr="00001F7B">
        <w:rPr>
          <w:rFonts w:eastAsia="Arial" w:cstheme="minorHAnsi"/>
          <w:color w:val="000000"/>
        </w:rPr>
        <w:t xml:space="preserve"> </w:t>
      </w:r>
    </w:p>
    <w:p w14:paraId="6FE4971F" w14:textId="14CCD6D5" w:rsidR="00E6586E" w:rsidRPr="00001F7B" w:rsidRDefault="005C47DA" w:rsidP="00001F7B">
      <w:pPr>
        <w:rPr>
          <w:rFonts w:cstheme="minorHAnsi"/>
          <w:color w:val="000000"/>
        </w:rPr>
      </w:pPr>
      <w:r w:rsidRPr="00001F7B">
        <w:rPr>
          <w:rFonts w:eastAsia="Arial" w:cstheme="minorHAnsi"/>
          <w:color w:val="000000"/>
        </w:rPr>
        <w:t>A good working example of art 3</w:t>
      </w:r>
      <w:r w:rsidR="00FE344D" w:rsidRPr="00001F7B">
        <w:rPr>
          <w:rFonts w:eastAsia="Arial" w:cstheme="minorHAnsi"/>
          <w:color w:val="000000"/>
        </w:rPr>
        <w:t xml:space="preserve">3 </w:t>
      </w:r>
      <w:r w:rsidR="00BF43B5" w:rsidRPr="00001F7B">
        <w:rPr>
          <w:rFonts w:eastAsia="Arial" w:cstheme="minorHAnsi"/>
          <w:color w:val="000000"/>
        </w:rPr>
        <w:t>(applied as CIL)</w:t>
      </w:r>
      <w:r w:rsidRPr="00001F7B">
        <w:rPr>
          <w:rFonts w:eastAsia="Arial" w:cstheme="minorHAnsi"/>
          <w:color w:val="000000"/>
        </w:rPr>
        <w:t xml:space="preserve"> in operation is </w:t>
      </w:r>
      <w:r w:rsidR="00FE344D" w:rsidRPr="00001F7B">
        <w:rPr>
          <w:rFonts w:eastAsia="Arial" w:cstheme="minorHAnsi"/>
          <w:color w:val="000000"/>
        </w:rPr>
        <w:t xml:space="preserve">the US case of </w:t>
      </w:r>
      <w:r w:rsidR="00FE344D" w:rsidRPr="00001F7B">
        <w:rPr>
          <w:rFonts w:eastAsia="Arial" w:cstheme="minorHAnsi"/>
          <w:i/>
          <w:iCs/>
          <w:color w:val="000000"/>
        </w:rPr>
        <w:t xml:space="preserve">Busby v </w:t>
      </w:r>
      <w:bookmarkStart w:id="15" w:name="_Hlk112613386"/>
      <w:r w:rsidR="00FE344D" w:rsidRPr="00001F7B">
        <w:rPr>
          <w:rFonts w:eastAsia="Arial" w:cstheme="minorHAnsi"/>
          <w:i/>
          <w:iCs/>
          <w:color w:val="000000"/>
        </w:rPr>
        <w:t>State of</w:t>
      </w:r>
      <w:r w:rsidR="00FE344D" w:rsidRPr="00001F7B">
        <w:rPr>
          <w:rFonts w:eastAsia="Arial" w:cstheme="minorHAnsi"/>
          <w:color w:val="000000"/>
        </w:rPr>
        <w:t xml:space="preserve"> </w:t>
      </w:r>
      <w:r w:rsidR="00FE344D" w:rsidRPr="00001F7B">
        <w:rPr>
          <w:rFonts w:eastAsia="Arial" w:cstheme="minorHAnsi"/>
          <w:i/>
          <w:iCs/>
          <w:color w:val="000000"/>
        </w:rPr>
        <w:t>Alaska</w:t>
      </w:r>
      <w:bookmarkEnd w:id="15"/>
      <w:r w:rsidR="00BF43B5" w:rsidRPr="00001F7B">
        <w:rPr>
          <w:rFonts w:eastAsia="Arial" w:cstheme="minorHAnsi"/>
          <w:color w:val="000000"/>
        </w:rPr>
        <w:t>.</w:t>
      </w:r>
      <w:r w:rsidR="00FE344D" w:rsidRPr="00001F7B">
        <w:rPr>
          <w:rStyle w:val="FootnoteReference"/>
          <w:rFonts w:eastAsia="Arial" w:cstheme="minorHAnsi"/>
          <w:color w:val="000000"/>
        </w:rPr>
        <w:footnoteReference w:id="258"/>
      </w:r>
      <w:r w:rsidR="00BF43B5" w:rsidRPr="00001F7B">
        <w:rPr>
          <w:rFonts w:eastAsia="Arial" w:cstheme="minorHAnsi"/>
          <w:color w:val="000000"/>
        </w:rPr>
        <w:t xml:space="preserve"> This </w:t>
      </w:r>
      <w:r w:rsidR="008A30E4" w:rsidRPr="00001F7B">
        <w:rPr>
          <w:rFonts w:eastAsia="Arial" w:cstheme="minorHAnsi"/>
          <w:color w:val="000000"/>
        </w:rPr>
        <w:t xml:space="preserve">case </w:t>
      </w:r>
      <w:r w:rsidR="00BF43B5" w:rsidRPr="00001F7B">
        <w:rPr>
          <w:rFonts w:eastAsia="Arial" w:cstheme="minorHAnsi"/>
          <w:color w:val="000000"/>
        </w:rPr>
        <w:t>involved the application of article 24</w:t>
      </w:r>
      <w:r w:rsidR="008A30E4" w:rsidRPr="00001F7B">
        <w:rPr>
          <w:rFonts w:eastAsia="Arial" w:cstheme="minorHAnsi"/>
          <w:color w:val="000000"/>
        </w:rPr>
        <w:t>,</w:t>
      </w:r>
      <w:r w:rsidR="00BF43B5" w:rsidRPr="00001F7B">
        <w:rPr>
          <w:rFonts w:eastAsia="Arial" w:cstheme="minorHAnsi"/>
          <w:color w:val="000000"/>
        </w:rPr>
        <w:t xml:space="preserve"> </w:t>
      </w:r>
      <w:r w:rsidR="00B45FD4" w:rsidRPr="00001F7B">
        <w:rPr>
          <w:rFonts w:eastAsia="Arial" w:cstheme="minorHAnsi"/>
          <w:color w:val="000000"/>
        </w:rPr>
        <w:t>Section 5</w:t>
      </w:r>
      <w:r w:rsidR="00BF43B5" w:rsidRPr="00001F7B">
        <w:rPr>
          <w:rFonts w:eastAsia="Arial" w:cstheme="minorHAnsi"/>
          <w:color w:val="000000"/>
        </w:rPr>
        <w:t xml:space="preserve"> of the UN Convention on Road Traffic, 1949. Busby was a </w:t>
      </w:r>
      <w:r w:rsidR="00FB416E" w:rsidRPr="00001F7B">
        <w:rPr>
          <w:rFonts w:eastAsia="Arial" w:cstheme="minorHAnsi"/>
          <w:color w:val="000000"/>
        </w:rPr>
        <w:t>former Alaskan resident whose driving licen</w:t>
      </w:r>
      <w:r w:rsidR="00A348F0" w:rsidRPr="00001F7B">
        <w:rPr>
          <w:rFonts w:eastAsia="Arial" w:cstheme="minorHAnsi"/>
          <w:color w:val="000000"/>
        </w:rPr>
        <w:t>s</w:t>
      </w:r>
      <w:r w:rsidR="00FB416E" w:rsidRPr="00001F7B">
        <w:rPr>
          <w:rFonts w:eastAsia="Arial" w:cstheme="minorHAnsi"/>
          <w:color w:val="000000"/>
        </w:rPr>
        <w:t xml:space="preserve">e was revoked while he was living there. </w:t>
      </w:r>
      <w:r w:rsidR="00341405" w:rsidRPr="00001F7B">
        <w:rPr>
          <w:rFonts w:eastAsia="Arial" w:cstheme="minorHAnsi"/>
          <w:color w:val="000000"/>
        </w:rPr>
        <w:t>The Convention provides that</w:t>
      </w:r>
      <w:r w:rsidR="00341405" w:rsidRPr="00001F7B">
        <w:rPr>
          <w:rFonts w:cstheme="minorHAnsi"/>
          <w:color w:val="000000"/>
          <w:shd w:val="clear" w:color="auto" w:fill="FFFFFF"/>
        </w:rPr>
        <w:t xml:space="preserve"> signatory countries agree to grant reciprocal recognition to </w:t>
      </w:r>
      <w:r w:rsidR="001B227F" w:rsidRPr="00001F7B">
        <w:rPr>
          <w:rFonts w:cstheme="minorHAnsi"/>
          <w:color w:val="000000"/>
          <w:shd w:val="clear" w:color="auto" w:fill="FFFFFF"/>
        </w:rPr>
        <w:t>driver’s</w:t>
      </w:r>
      <w:r w:rsidR="00341405" w:rsidRPr="00001F7B">
        <w:rPr>
          <w:rFonts w:cstheme="minorHAnsi"/>
          <w:color w:val="000000"/>
          <w:shd w:val="clear" w:color="auto" w:fill="FFFFFF"/>
        </w:rPr>
        <w:t xml:space="preserve"> licenses issued by the other signatory countries although the countries can require that foreign drivers obtain and carry an "international driving permit." </w:t>
      </w:r>
      <w:r w:rsidR="00341405" w:rsidRPr="00001F7B">
        <w:rPr>
          <w:rFonts w:eastAsia="Arial" w:cstheme="minorHAnsi"/>
          <w:color w:val="000000"/>
        </w:rPr>
        <w:t xml:space="preserve">Busby moved </w:t>
      </w:r>
      <w:r w:rsidR="00FB416E" w:rsidRPr="00001F7B">
        <w:rPr>
          <w:rFonts w:eastAsia="Arial" w:cstheme="minorHAnsi"/>
          <w:color w:val="000000"/>
        </w:rPr>
        <w:t xml:space="preserve">to Nicaragua and obtained </w:t>
      </w:r>
      <w:r w:rsidR="00341405" w:rsidRPr="00001F7B">
        <w:rPr>
          <w:rFonts w:eastAsia="Arial" w:cstheme="minorHAnsi"/>
          <w:color w:val="000000"/>
        </w:rPr>
        <w:t xml:space="preserve">such </w:t>
      </w:r>
      <w:r w:rsidR="00FB416E" w:rsidRPr="00001F7B">
        <w:rPr>
          <w:rFonts w:eastAsia="Arial" w:cstheme="minorHAnsi"/>
          <w:color w:val="000000"/>
        </w:rPr>
        <w:t>a permit.</w:t>
      </w:r>
      <w:r w:rsidR="00A348F0" w:rsidRPr="00001F7B">
        <w:rPr>
          <w:rFonts w:eastAsia="Arial" w:cstheme="minorHAnsi"/>
          <w:color w:val="000000"/>
        </w:rPr>
        <w:t xml:space="preserve"> Whilst driving again in Alaska he was prosecuted for driving while his license was revoked. He argue</w:t>
      </w:r>
      <w:r w:rsidR="00C01F7C" w:rsidRPr="00001F7B">
        <w:rPr>
          <w:rFonts w:eastAsia="Arial" w:cstheme="minorHAnsi"/>
          <w:color w:val="000000"/>
        </w:rPr>
        <w:t>d</w:t>
      </w:r>
      <w:r w:rsidR="00A348F0" w:rsidRPr="00001F7B">
        <w:rPr>
          <w:rFonts w:eastAsia="Arial" w:cstheme="minorHAnsi"/>
          <w:color w:val="000000"/>
        </w:rPr>
        <w:t xml:space="preserve"> that he could still drive using his international driving permit.</w:t>
      </w:r>
      <w:r w:rsidR="00B45FD4" w:rsidRPr="00001F7B">
        <w:rPr>
          <w:rFonts w:eastAsia="Arial" w:cstheme="minorHAnsi"/>
          <w:color w:val="000000"/>
        </w:rPr>
        <w:t xml:space="preserve"> The prosecution relied on art 24 section </w:t>
      </w:r>
      <w:r w:rsidR="00C01F7C" w:rsidRPr="00001F7B">
        <w:rPr>
          <w:rFonts w:eastAsia="Arial" w:cstheme="minorHAnsi"/>
          <w:color w:val="000000"/>
        </w:rPr>
        <w:t xml:space="preserve">5 </w:t>
      </w:r>
      <w:r w:rsidR="00B45FD4" w:rsidRPr="00001F7B">
        <w:rPr>
          <w:rFonts w:eastAsia="Arial" w:cstheme="minorHAnsi"/>
          <w:color w:val="000000"/>
        </w:rPr>
        <w:t xml:space="preserve">which </w:t>
      </w:r>
      <w:r w:rsidR="00F436A8" w:rsidRPr="00001F7B">
        <w:rPr>
          <w:rFonts w:eastAsia="Arial" w:cstheme="minorHAnsi"/>
          <w:color w:val="000000"/>
        </w:rPr>
        <w:t>allow</w:t>
      </w:r>
      <w:r w:rsidR="00C01F7C" w:rsidRPr="00001F7B">
        <w:rPr>
          <w:rFonts w:eastAsia="Arial" w:cstheme="minorHAnsi"/>
          <w:color w:val="000000"/>
        </w:rPr>
        <w:t>s</w:t>
      </w:r>
      <w:r w:rsidR="00F436A8" w:rsidRPr="00001F7B">
        <w:rPr>
          <w:rFonts w:eastAsia="Arial" w:cstheme="minorHAnsi"/>
          <w:color w:val="000000"/>
        </w:rPr>
        <w:t xml:space="preserve"> a country to </w:t>
      </w:r>
      <w:r w:rsidR="00F436A8" w:rsidRPr="00001F7B">
        <w:rPr>
          <w:rFonts w:cstheme="minorHAnsi"/>
          <w:color w:val="000000"/>
          <w:shd w:val="clear" w:color="auto" w:fill="FFFFFF"/>
        </w:rPr>
        <w:t xml:space="preserve">refuse to </w:t>
      </w:r>
      <w:r w:rsidR="003141A5" w:rsidRPr="00001F7B">
        <w:rPr>
          <w:rFonts w:cstheme="minorHAnsi"/>
          <w:color w:val="000000"/>
          <w:shd w:val="clear" w:color="auto" w:fill="FFFFFF"/>
        </w:rPr>
        <w:t>honour</w:t>
      </w:r>
      <w:r w:rsidR="00F436A8" w:rsidRPr="00001F7B">
        <w:rPr>
          <w:rFonts w:cstheme="minorHAnsi"/>
          <w:color w:val="000000"/>
          <w:shd w:val="clear" w:color="auto" w:fill="FFFFFF"/>
        </w:rPr>
        <w:t xml:space="preserve"> an international driving permit if the permit-holder has committed an offense that would entail the loss of driving privileges if committed by a resident of that country</w:t>
      </w:r>
      <w:r w:rsidR="00341405" w:rsidRPr="00001F7B">
        <w:rPr>
          <w:rFonts w:eastAsia="Arial" w:cstheme="minorHAnsi"/>
          <w:color w:val="000000"/>
        </w:rPr>
        <w:t xml:space="preserve"> </w:t>
      </w:r>
      <w:r w:rsidR="00F436A8" w:rsidRPr="00001F7B">
        <w:rPr>
          <w:rFonts w:eastAsia="Arial" w:cstheme="minorHAnsi"/>
          <w:color w:val="000000"/>
        </w:rPr>
        <w:t xml:space="preserve">and </w:t>
      </w:r>
      <w:r w:rsidR="00C01F7C" w:rsidRPr="00001F7B">
        <w:rPr>
          <w:rFonts w:eastAsia="Arial" w:cstheme="minorHAnsi"/>
          <w:color w:val="000000"/>
        </w:rPr>
        <w:t>states</w:t>
      </w:r>
      <w:r w:rsidR="00F436A8" w:rsidRPr="00001F7B">
        <w:rPr>
          <w:rFonts w:eastAsia="Arial" w:cstheme="minorHAnsi"/>
          <w:color w:val="000000"/>
        </w:rPr>
        <w:t xml:space="preserve"> (in the English Version): “</w:t>
      </w:r>
      <w:r w:rsidR="00F436A8" w:rsidRPr="00001F7B">
        <w:rPr>
          <w:rFonts w:cstheme="minorHAnsi"/>
          <w:color w:val="000000"/>
          <w:shd w:val="clear" w:color="auto" w:fill="FFFFFF"/>
        </w:rPr>
        <w:t>When the holder of an international driving permit has committed a driving offense of this nature, the [signatory] State or subdivision thereof withdrawing the use of the permit may withdraw and retain the permit until the period of the withdrawal of use expires or until the [permit-]holder leaves the territory of the [signatory] State, whichever is the earlier...”</w:t>
      </w:r>
      <w:r w:rsidR="00C01F7C" w:rsidRPr="00001F7B">
        <w:rPr>
          <w:rFonts w:cstheme="minorHAnsi"/>
          <w:color w:val="000000"/>
          <w:shd w:val="clear" w:color="auto" w:fill="FFFFFF"/>
        </w:rPr>
        <w:br/>
      </w:r>
      <w:r w:rsidR="00C01F7C" w:rsidRPr="00001F7B">
        <w:rPr>
          <w:rFonts w:cstheme="minorHAnsi"/>
          <w:color w:val="000000"/>
          <w:shd w:val="clear" w:color="auto" w:fill="FFFFFF"/>
        </w:rPr>
        <w:br/>
      </w:r>
      <w:r w:rsidR="003141A5" w:rsidRPr="00001F7B">
        <w:rPr>
          <w:rFonts w:cstheme="minorHAnsi"/>
          <w:color w:val="000000"/>
          <w:shd w:val="clear" w:color="auto" w:fill="FFFFFF"/>
        </w:rPr>
        <w:t xml:space="preserve">The argument for Busby </w:t>
      </w:r>
      <w:r w:rsidR="0067230E" w:rsidRPr="00001F7B">
        <w:rPr>
          <w:rFonts w:cstheme="minorHAnsi"/>
          <w:color w:val="000000"/>
          <w:shd w:val="clear" w:color="auto" w:fill="FFFFFF"/>
        </w:rPr>
        <w:t>was that the use of the words ‘withdraw and retain’ after the first use of the word ‘withdraw’ required some official step to be taken to withdraw the license. The court accepted that this double use of the word "withdraw" create</w:t>
      </w:r>
      <w:r w:rsidR="00C01F7C" w:rsidRPr="00001F7B">
        <w:rPr>
          <w:rFonts w:cstheme="minorHAnsi"/>
          <w:color w:val="000000"/>
          <w:shd w:val="clear" w:color="auto" w:fill="FFFFFF"/>
        </w:rPr>
        <w:t>d</w:t>
      </w:r>
      <w:r w:rsidR="0067230E" w:rsidRPr="00001F7B">
        <w:rPr>
          <w:rFonts w:cstheme="minorHAnsi"/>
          <w:color w:val="000000"/>
          <w:shd w:val="clear" w:color="auto" w:fill="FFFFFF"/>
        </w:rPr>
        <w:t xml:space="preserve"> some ambiguity in the English text of the Convention on Road Traffic, and this ambiguity arguably provide</w:t>
      </w:r>
      <w:r w:rsidR="00C01F7C" w:rsidRPr="00001F7B">
        <w:rPr>
          <w:rFonts w:cstheme="minorHAnsi"/>
          <w:color w:val="000000"/>
          <w:shd w:val="clear" w:color="auto" w:fill="FFFFFF"/>
        </w:rPr>
        <w:t>d</w:t>
      </w:r>
      <w:r w:rsidR="0067230E" w:rsidRPr="00001F7B">
        <w:rPr>
          <w:rFonts w:cstheme="minorHAnsi"/>
          <w:color w:val="000000"/>
          <w:shd w:val="clear" w:color="auto" w:fill="FFFFFF"/>
        </w:rPr>
        <w:t xml:space="preserve"> some support for Busby's contention that his international driving permit remained in force until the State of Alaska took some positive action to "withdraw and retain it". On reference to the French text </w:t>
      </w:r>
      <w:r w:rsidR="004D4110" w:rsidRPr="00001F7B">
        <w:rPr>
          <w:rFonts w:cstheme="minorHAnsi"/>
          <w:color w:val="000000"/>
          <w:shd w:val="clear" w:color="auto" w:fill="FFFFFF"/>
        </w:rPr>
        <w:t>the court noted, however, that the French version d</w:t>
      </w:r>
      <w:r w:rsidR="00C01F7C" w:rsidRPr="00001F7B">
        <w:rPr>
          <w:rFonts w:cstheme="minorHAnsi"/>
          <w:color w:val="000000"/>
          <w:shd w:val="clear" w:color="auto" w:fill="FFFFFF"/>
        </w:rPr>
        <w:t>id</w:t>
      </w:r>
      <w:r w:rsidR="004D4110" w:rsidRPr="00001F7B">
        <w:rPr>
          <w:rFonts w:cstheme="minorHAnsi"/>
          <w:color w:val="000000"/>
          <w:shd w:val="clear" w:color="auto" w:fill="FFFFFF"/>
        </w:rPr>
        <w:t xml:space="preserve"> not suffer from the same problem as the English text (</w:t>
      </w:r>
      <w:r w:rsidR="00C01F7C" w:rsidRPr="00001F7B">
        <w:rPr>
          <w:rFonts w:cstheme="minorHAnsi"/>
          <w:color w:val="000000"/>
          <w:shd w:val="clear" w:color="auto" w:fill="FFFFFF"/>
        </w:rPr>
        <w:t xml:space="preserve">i.e., </w:t>
      </w:r>
      <w:r w:rsidR="004D4110" w:rsidRPr="00001F7B">
        <w:rPr>
          <w:rFonts w:cstheme="minorHAnsi"/>
          <w:color w:val="000000"/>
          <w:shd w:val="clear" w:color="auto" w:fill="FFFFFF"/>
        </w:rPr>
        <w:t>the double use of the word "withdraw"). Instead, the second sentence of the French text declares that a country or political subdivision that withdraws a driver's right to use an international driving permit "</w:t>
      </w:r>
      <w:proofErr w:type="spellStart"/>
      <w:r w:rsidR="004D4110" w:rsidRPr="00001F7B">
        <w:rPr>
          <w:rFonts w:cstheme="minorHAnsi"/>
          <w:color w:val="000000"/>
          <w:shd w:val="clear" w:color="auto" w:fill="FFFFFF"/>
        </w:rPr>
        <w:t>pourra</w:t>
      </w:r>
      <w:proofErr w:type="spellEnd"/>
      <w:r w:rsidR="004D4110" w:rsidRPr="00001F7B">
        <w:rPr>
          <w:rFonts w:cstheme="minorHAnsi"/>
          <w:color w:val="000000"/>
          <w:shd w:val="clear" w:color="auto" w:fill="FFFFFF"/>
        </w:rPr>
        <w:t xml:space="preserve"> se faire </w:t>
      </w:r>
      <w:proofErr w:type="spellStart"/>
      <w:r w:rsidR="004D4110" w:rsidRPr="00001F7B">
        <w:rPr>
          <w:rFonts w:cstheme="minorHAnsi"/>
          <w:color w:val="000000"/>
          <w:shd w:val="clear" w:color="auto" w:fill="FFFFFF"/>
        </w:rPr>
        <w:t>remettre</w:t>
      </w:r>
      <w:proofErr w:type="spellEnd"/>
      <w:r w:rsidR="004D4110" w:rsidRPr="00001F7B">
        <w:rPr>
          <w:rFonts w:cstheme="minorHAnsi"/>
          <w:color w:val="000000"/>
          <w:shd w:val="clear" w:color="auto" w:fill="FFFFFF"/>
        </w:rPr>
        <w:t xml:space="preserve"> le </w:t>
      </w:r>
      <w:proofErr w:type="spellStart"/>
      <w:r w:rsidR="004D4110" w:rsidRPr="00001F7B">
        <w:rPr>
          <w:rFonts w:cstheme="minorHAnsi"/>
          <w:color w:val="000000"/>
          <w:shd w:val="clear" w:color="auto" w:fill="FFFFFF"/>
        </w:rPr>
        <w:t>permis</w:t>
      </w:r>
      <w:proofErr w:type="spellEnd"/>
      <w:r w:rsidR="004D4110" w:rsidRPr="00001F7B">
        <w:rPr>
          <w:rFonts w:cstheme="minorHAnsi"/>
          <w:color w:val="000000"/>
          <w:shd w:val="clear" w:color="auto" w:fill="FFFFFF"/>
        </w:rPr>
        <w:t>" i.e., may require surrender or delivery of the permit and may retain the permit until the period of suspension has expired or until the driver leaves the country, if that occurs first. This clarified that a country's act of withdrawing a driver's right to use an international driving permit on its roads is distinct from any action the country or state may take to secure physical custody of the permit. O</w:t>
      </w:r>
      <w:r w:rsidR="00E6586E" w:rsidRPr="00001F7B">
        <w:rPr>
          <w:rFonts w:cstheme="minorHAnsi"/>
          <w:color w:val="000000"/>
          <w:shd w:val="clear" w:color="auto" w:fill="FFFFFF"/>
        </w:rPr>
        <w:t xml:space="preserve">nce </w:t>
      </w:r>
      <w:r w:rsidR="004D4110" w:rsidRPr="00001F7B">
        <w:rPr>
          <w:rFonts w:cstheme="minorHAnsi"/>
          <w:color w:val="000000"/>
          <w:shd w:val="clear" w:color="auto" w:fill="FFFFFF"/>
        </w:rPr>
        <w:t>a driver's right to use the international driving permit</w:t>
      </w:r>
      <w:r w:rsidR="00E6586E" w:rsidRPr="00001F7B">
        <w:rPr>
          <w:rFonts w:cstheme="minorHAnsi"/>
          <w:color w:val="000000"/>
          <w:shd w:val="clear" w:color="auto" w:fill="FFFFFF"/>
        </w:rPr>
        <w:t xml:space="preserve"> was withdrawn</w:t>
      </w:r>
      <w:r w:rsidR="004D4110" w:rsidRPr="00001F7B">
        <w:rPr>
          <w:rFonts w:cstheme="minorHAnsi"/>
          <w:color w:val="000000"/>
          <w:shd w:val="clear" w:color="auto" w:fill="FFFFFF"/>
        </w:rPr>
        <w:t xml:space="preserve">, a </w:t>
      </w:r>
      <w:r w:rsidR="005D5BD5" w:rsidRPr="00001F7B">
        <w:rPr>
          <w:rFonts w:cstheme="minorHAnsi"/>
          <w:color w:val="000000"/>
          <w:shd w:val="clear" w:color="auto" w:fill="FFFFFF"/>
        </w:rPr>
        <w:t>country</w:t>
      </w:r>
      <w:r w:rsidR="004D4110" w:rsidRPr="00001F7B">
        <w:rPr>
          <w:rFonts w:cstheme="minorHAnsi"/>
          <w:color w:val="000000"/>
          <w:shd w:val="clear" w:color="auto" w:fill="FFFFFF"/>
        </w:rPr>
        <w:t xml:space="preserve"> </w:t>
      </w:r>
      <w:r w:rsidR="00E6586E" w:rsidRPr="00001F7B">
        <w:rPr>
          <w:rFonts w:cstheme="minorHAnsi"/>
          <w:color w:val="000000"/>
          <w:shd w:val="clear" w:color="auto" w:fill="FFFFFF"/>
        </w:rPr>
        <w:t>could</w:t>
      </w:r>
      <w:r w:rsidR="004D4110" w:rsidRPr="00001F7B">
        <w:rPr>
          <w:rFonts w:cstheme="minorHAnsi"/>
          <w:color w:val="000000"/>
          <w:shd w:val="clear" w:color="auto" w:fill="FFFFFF"/>
        </w:rPr>
        <w:t xml:space="preserve"> also require the surrender</w:t>
      </w:r>
      <w:r w:rsidR="00E6586E" w:rsidRPr="00001F7B">
        <w:rPr>
          <w:rFonts w:cstheme="minorHAnsi"/>
          <w:color w:val="000000"/>
          <w:shd w:val="clear" w:color="auto" w:fill="FFFFFF"/>
        </w:rPr>
        <w:t xml:space="preserve"> of</w:t>
      </w:r>
      <w:r w:rsidR="004D4110" w:rsidRPr="00001F7B">
        <w:rPr>
          <w:rFonts w:cstheme="minorHAnsi"/>
          <w:color w:val="000000"/>
          <w:shd w:val="clear" w:color="auto" w:fill="FFFFFF"/>
        </w:rPr>
        <w:t xml:space="preserve"> the permit until the driver's right to drive is restored</w:t>
      </w:r>
      <w:r w:rsidR="000B4372">
        <w:rPr>
          <w:rFonts w:cstheme="minorHAnsi"/>
          <w:color w:val="000000"/>
          <w:shd w:val="clear" w:color="auto" w:fill="FFFFFF"/>
        </w:rPr>
        <w:t xml:space="preserve">. </w:t>
      </w:r>
      <w:r w:rsidR="00E6586E" w:rsidRPr="00001F7B">
        <w:rPr>
          <w:rFonts w:cstheme="minorHAnsi"/>
          <w:color w:val="000000"/>
          <w:shd w:val="clear" w:color="auto" w:fill="FFFFFF"/>
        </w:rPr>
        <w:t>S</w:t>
      </w:r>
      <w:r w:rsidR="004D4110" w:rsidRPr="00001F7B">
        <w:rPr>
          <w:rFonts w:cstheme="minorHAnsi"/>
          <w:color w:val="000000"/>
          <w:shd w:val="clear" w:color="auto" w:fill="FFFFFF"/>
        </w:rPr>
        <w:t xml:space="preserve">ecuring </w:t>
      </w:r>
      <w:r w:rsidR="00E6586E" w:rsidRPr="00001F7B">
        <w:rPr>
          <w:rFonts w:cstheme="minorHAnsi"/>
          <w:color w:val="000000"/>
          <w:shd w:val="clear" w:color="auto" w:fill="FFFFFF"/>
        </w:rPr>
        <w:t>the</w:t>
      </w:r>
      <w:r w:rsidR="004D4110" w:rsidRPr="00001F7B">
        <w:rPr>
          <w:rFonts w:cstheme="minorHAnsi"/>
          <w:color w:val="000000"/>
          <w:shd w:val="clear" w:color="auto" w:fill="FFFFFF"/>
        </w:rPr>
        <w:t xml:space="preserve"> physical custody of the permit is an additional remedy available to the </w:t>
      </w:r>
      <w:r w:rsidR="005D5BD5" w:rsidRPr="00001F7B">
        <w:rPr>
          <w:rFonts w:cstheme="minorHAnsi"/>
          <w:color w:val="000000"/>
          <w:shd w:val="clear" w:color="auto" w:fill="FFFFFF"/>
        </w:rPr>
        <w:t>country</w:t>
      </w:r>
      <w:r w:rsidR="004D4110" w:rsidRPr="00001F7B">
        <w:rPr>
          <w:rFonts w:cstheme="minorHAnsi"/>
          <w:color w:val="000000"/>
          <w:shd w:val="clear" w:color="auto" w:fill="FFFFFF"/>
        </w:rPr>
        <w:t xml:space="preserve">. </w:t>
      </w:r>
      <w:r w:rsidR="00E6586E" w:rsidRPr="00001F7B">
        <w:rPr>
          <w:rFonts w:cstheme="minorHAnsi"/>
          <w:color w:val="000000"/>
          <w:shd w:val="clear" w:color="auto" w:fill="FFFFFF"/>
        </w:rPr>
        <w:t>W</w:t>
      </w:r>
      <w:r w:rsidR="004D4110" w:rsidRPr="00001F7B">
        <w:rPr>
          <w:rFonts w:cstheme="minorHAnsi"/>
          <w:color w:val="000000"/>
          <w:shd w:val="clear" w:color="auto" w:fill="FFFFFF"/>
        </w:rPr>
        <w:t>ithdrawing the driver's right to drive within its territory</w:t>
      </w:r>
      <w:r w:rsidR="00E6586E" w:rsidRPr="00001F7B">
        <w:rPr>
          <w:rFonts w:cstheme="minorHAnsi"/>
          <w:color w:val="000000"/>
          <w:shd w:val="clear" w:color="auto" w:fill="FFFFFF"/>
        </w:rPr>
        <w:t xml:space="preserve"> did</w:t>
      </w:r>
      <w:r w:rsidR="004D4110" w:rsidRPr="00001F7B">
        <w:rPr>
          <w:rFonts w:cstheme="minorHAnsi"/>
          <w:color w:val="000000"/>
          <w:shd w:val="clear" w:color="auto" w:fill="FFFFFF"/>
        </w:rPr>
        <w:t xml:space="preserve"> not depend on whether the country forces the driver to surrender physical custody of the international driving permit.</w:t>
      </w:r>
      <w:r w:rsidR="005D5BD5" w:rsidRPr="00001F7B">
        <w:rPr>
          <w:rFonts w:cstheme="minorHAnsi"/>
          <w:color w:val="000000"/>
        </w:rPr>
        <w:t xml:space="preserve"> </w:t>
      </w:r>
    </w:p>
    <w:p w14:paraId="3FA017B0" w14:textId="18CB53CF" w:rsidR="005D5BD5" w:rsidRPr="00001F7B" w:rsidRDefault="00E6586E" w:rsidP="00001F7B">
      <w:pPr>
        <w:pStyle w:val="NormalWeb"/>
        <w:shd w:val="clear" w:color="auto" w:fill="FFFFFF"/>
        <w:rPr>
          <w:rFonts w:asciiTheme="minorHAnsi" w:hAnsiTheme="minorHAnsi" w:cstheme="minorHAnsi"/>
          <w:color w:val="000000"/>
          <w:sz w:val="22"/>
          <w:szCs w:val="22"/>
        </w:rPr>
      </w:pPr>
      <w:r w:rsidRPr="00001F7B">
        <w:rPr>
          <w:rFonts w:asciiTheme="minorHAnsi" w:hAnsiTheme="minorHAnsi" w:cstheme="minorHAnsi"/>
          <w:color w:val="000000"/>
          <w:sz w:val="22"/>
          <w:szCs w:val="22"/>
        </w:rPr>
        <w:t xml:space="preserve">The court considered that </w:t>
      </w:r>
      <w:r w:rsidR="005D5BD5" w:rsidRPr="00001F7B">
        <w:rPr>
          <w:rFonts w:asciiTheme="minorHAnsi" w:hAnsiTheme="minorHAnsi" w:cstheme="minorHAnsi"/>
          <w:color w:val="000000"/>
          <w:sz w:val="22"/>
          <w:szCs w:val="22"/>
        </w:rPr>
        <w:t>Busby's case d</w:t>
      </w:r>
      <w:r w:rsidRPr="00001F7B">
        <w:rPr>
          <w:rFonts w:asciiTheme="minorHAnsi" w:hAnsiTheme="minorHAnsi" w:cstheme="minorHAnsi"/>
          <w:color w:val="000000"/>
          <w:sz w:val="22"/>
          <w:szCs w:val="22"/>
        </w:rPr>
        <w:t>i</w:t>
      </w:r>
      <w:r w:rsidR="00E340D3" w:rsidRPr="00001F7B">
        <w:rPr>
          <w:rFonts w:asciiTheme="minorHAnsi" w:hAnsiTheme="minorHAnsi" w:cstheme="minorHAnsi"/>
          <w:color w:val="000000"/>
          <w:sz w:val="22"/>
          <w:szCs w:val="22"/>
        </w:rPr>
        <w:t>d</w:t>
      </w:r>
      <w:r w:rsidR="005D5BD5" w:rsidRPr="00001F7B">
        <w:rPr>
          <w:rFonts w:asciiTheme="minorHAnsi" w:hAnsiTheme="minorHAnsi" w:cstheme="minorHAnsi"/>
          <w:color w:val="000000"/>
          <w:sz w:val="22"/>
          <w:szCs w:val="22"/>
        </w:rPr>
        <w:t xml:space="preserve"> not involve a direct inconsistency between the English and French versions of Article 24, Section 5. Rather, the probl</w:t>
      </w:r>
      <w:r w:rsidRPr="00001F7B">
        <w:rPr>
          <w:rFonts w:asciiTheme="minorHAnsi" w:hAnsiTheme="minorHAnsi" w:cstheme="minorHAnsi"/>
          <w:color w:val="000000"/>
          <w:sz w:val="22"/>
          <w:szCs w:val="22"/>
        </w:rPr>
        <w:t xml:space="preserve">em </w:t>
      </w:r>
      <w:r w:rsidR="005D5BD5" w:rsidRPr="00001F7B">
        <w:rPr>
          <w:rFonts w:asciiTheme="minorHAnsi" w:hAnsiTheme="minorHAnsi" w:cstheme="minorHAnsi"/>
          <w:color w:val="000000"/>
          <w:sz w:val="22"/>
          <w:szCs w:val="22"/>
        </w:rPr>
        <w:t>stem</w:t>
      </w:r>
      <w:r w:rsidRPr="00001F7B">
        <w:rPr>
          <w:rFonts w:asciiTheme="minorHAnsi" w:hAnsiTheme="minorHAnsi" w:cstheme="minorHAnsi"/>
          <w:color w:val="000000"/>
          <w:sz w:val="22"/>
          <w:szCs w:val="22"/>
        </w:rPr>
        <w:t>med</w:t>
      </w:r>
      <w:r w:rsidR="005D5BD5" w:rsidRPr="00001F7B">
        <w:rPr>
          <w:rFonts w:asciiTheme="minorHAnsi" w:hAnsiTheme="minorHAnsi" w:cstheme="minorHAnsi"/>
          <w:color w:val="000000"/>
          <w:sz w:val="22"/>
          <w:szCs w:val="22"/>
        </w:rPr>
        <w:t xml:space="preserve"> from an ambiguity in the English text (the double use of "withdraw"), an ambiguity that might arguably make the English text inconsistent with the French text. In such instances,</w:t>
      </w:r>
      <w:r w:rsidRPr="00001F7B">
        <w:rPr>
          <w:rFonts w:asciiTheme="minorHAnsi" w:hAnsiTheme="minorHAnsi" w:cstheme="minorHAnsi"/>
          <w:color w:val="000000"/>
          <w:sz w:val="22"/>
          <w:szCs w:val="22"/>
        </w:rPr>
        <w:t xml:space="preserve"> the court considered</w:t>
      </w:r>
      <w:r w:rsidR="000B4372">
        <w:rPr>
          <w:rFonts w:asciiTheme="minorHAnsi" w:hAnsiTheme="minorHAnsi" w:cstheme="minorHAnsi"/>
          <w:color w:val="000000"/>
          <w:sz w:val="22"/>
          <w:szCs w:val="22"/>
        </w:rPr>
        <w:t xml:space="preserve"> that</w:t>
      </w:r>
      <w:r w:rsidRPr="00001F7B">
        <w:rPr>
          <w:rFonts w:asciiTheme="minorHAnsi" w:hAnsiTheme="minorHAnsi" w:cstheme="minorHAnsi"/>
          <w:color w:val="000000"/>
          <w:sz w:val="22"/>
          <w:szCs w:val="22"/>
        </w:rPr>
        <w:t xml:space="preserve"> it was </w:t>
      </w:r>
      <w:r w:rsidR="005D5BD5" w:rsidRPr="00001F7B">
        <w:rPr>
          <w:rFonts w:asciiTheme="minorHAnsi" w:hAnsiTheme="minorHAnsi" w:cstheme="minorHAnsi"/>
          <w:color w:val="000000"/>
          <w:sz w:val="22"/>
          <w:szCs w:val="22"/>
        </w:rPr>
        <w:t>to presume that the two versions of the treaty have the same meaning</w:t>
      </w:r>
      <w:r w:rsidR="00E340D3" w:rsidRPr="00001F7B">
        <w:rPr>
          <w:rFonts w:asciiTheme="minorHAnsi" w:hAnsiTheme="minorHAnsi" w:cstheme="minorHAnsi"/>
          <w:color w:val="000000"/>
          <w:sz w:val="22"/>
          <w:szCs w:val="22"/>
        </w:rPr>
        <w:t>,</w:t>
      </w:r>
      <w:r w:rsidRPr="00001F7B">
        <w:rPr>
          <w:rFonts w:asciiTheme="minorHAnsi" w:hAnsiTheme="minorHAnsi" w:cstheme="minorHAnsi"/>
          <w:color w:val="000000"/>
          <w:sz w:val="22"/>
          <w:szCs w:val="22"/>
        </w:rPr>
        <w:t xml:space="preserve"> which</w:t>
      </w:r>
      <w:r w:rsidR="005D5BD5" w:rsidRPr="00001F7B">
        <w:rPr>
          <w:rFonts w:asciiTheme="minorHAnsi" w:hAnsiTheme="minorHAnsi" w:cstheme="minorHAnsi"/>
          <w:color w:val="000000"/>
          <w:sz w:val="22"/>
          <w:szCs w:val="22"/>
        </w:rPr>
        <w:t xml:space="preserve"> principle </w:t>
      </w:r>
      <w:r w:rsidRPr="00001F7B">
        <w:rPr>
          <w:rFonts w:asciiTheme="minorHAnsi" w:hAnsiTheme="minorHAnsi" w:cstheme="minorHAnsi"/>
          <w:color w:val="000000"/>
          <w:sz w:val="22"/>
          <w:szCs w:val="22"/>
        </w:rPr>
        <w:t xml:space="preserve">they thought </w:t>
      </w:r>
      <w:r w:rsidR="005D5BD5" w:rsidRPr="00001F7B">
        <w:rPr>
          <w:rFonts w:asciiTheme="minorHAnsi" w:hAnsiTheme="minorHAnsi" w:cstheme="minorHAnsi"/>
          <w:color w:val="000000"/>
          <w:sz w:val="22"/>
          <w:szCs w:val="22"/>
        </w:rPr>
        <w:t>direct</w:t>
      </w:r>
      <w:r w:rsidRPr="00001F7B">
        <w:rPr>
          <w:rFonts w:asciiTheme="minorHAnsi" w:hAnsiTheme="minorHAnsi" w:cstheme="minorHAnsi"/>
          <w:color w:val="000000"/>
          <w:sz w:val="22"/>
          <w:szCs w:val="22"/>
        </w:rPr>
        <w:t>ed it</w:t>
      </w:r>
      <w:r w:rsidR="005D5BD5" w:rsidRPr="00001F7B">
        <w:rPr>
          <w:rFonts w:asciiTheme="minorHAnsi" w:hAnsiTheme="minorHAnsi" w:cstheme="minorHAnsi"/>
          <w:color w:val="000000"/>
          <w:sz w:val="22"/>
          <w:szCs w:val="22"/>
        </w:rPr>
        <w:t xml:space="preserve"> to resolve the ambiguity in the English text in </w:t>
      </w:r>
      <w:r w:rsidRPr="00001F7B">
        <w:rPr>
          <w:rFonts w:asciiTheme="minorHAnsi" w:hAnsiTheme="minorHAnsi" w:cstheme="minorHAnsi"/>
          <w:color w:val="000000"/>
          <w:sz w:val="22"/>
          <w:szCs w:val="22"/>
        </w:rPr>
        <w:t>favour</w:t>
      </w:r>
      <w:r w:rsidR="005D5BD5" w:rsidRPr="00001F7B">
        <w:rPr>
          <w:rFonts w:asciiTheme="minorHAnsi" w:hAnsiTheme="minorHAnsi" w:cstheme="minorHAnsi"/>
          <w:color w:val="000000"/>
          <w:sz w:val="22"/>
          <w:szCs w:val="22"/>
        </w:rPr>
        <w:t xml:space="preserve"> of the clear meaning of the French text.</w:t>
      </w:r>
      <w:r w:rsidRPr="00001F7B">
        <w:rPr>
          <w:rFonts w:asciiTheme="minorHAnsi" w:hAnsiTheme="minorHAnsi" w:cstheme="minorHAnsi"/>
          <w:color w:val="000000"/>
          <w:sz w:val="22"/>
          <w:szCs w:val="22"/>
        </w:rPr>
        <w:t xml:space="preserve"> Furthermore</w:t>
      </w:r>
      <w:r w:rsidR="000B4372">
        <w:rPr>
          <w:rFonts w:asciiTheme="minorHAnsi" w:hAnsiTheme="minorHAnsi" w:cstheme="minorHAnsi"/>
          <w:color w:val="000000"/>
          <w:sz w:val="22"/>
          <w:szCs w:val="22"/>
        </w:rPr>
        <w:t>,</w:t>
      </w:r>
      <w:r w:rsidRPr="00001F7B">
        <w:rPr>
          <w:rFonts w:asciiTheme="minorHAnsi" w:hAnsiTheme="minorHAnsi" w:cstheme="minorHAnsi"/>
          <w:color w:val="000000"/>
          <w:sz w:val="22"/>
          <w:szCs w:val="22"/>
        </w:rPr>
        <w:t xml:space="preserve"> the court considered that</w:t>
      </w:r>
      <w:r w:rsidR="005D5BD5" w:rsidRPr="00001F7B">
        <w:rPr>
          <w:rFonts w:asciiTheme="minorHAnsi" w:hAnsiTheme="minorHAnsi" w:cstheme="minorHAnsi"/>
          <w:color w:val="000000"/>
          <w:sz w:val="22"/>
          <w:szCs w:val="22"/>
        </w:rPr>
        <w:t xml:space="preserve"> in ascertaining the presumed unitary meaning of Article 24, Section 5, </w:t>
      </w:r>
      <w:r w:rsidRPr="00001F7B">
        <w:rPr>
          <w:rFonts w:asciiTheme="minorHAnsi" w:hAnsiTheme="minorHAnsi" w:cstheme="minorHAnsi"/>
          <w:color w:val="000000"/>
          <w:sz w:val="22"/>
          <w:szCs w:val="22"/>
        </w:rPr>
        <w:t xml:space="preserve">it was </w:t>
      </w:r>
      <w:r w:rsidR="005D5BD5" w:rsidRPr="00001F7B">
        <w:rPr>
          <w:rFonts w:asciiTheme="minorHAnsi" w:hAnsiTheme="minorHAnsi" w:cstheme="minorHAnsi"/>
          <w:color w:val="000000"/>
          <w:sz w:val="22"/>
          <w:szCs w:val="22"/>
        </w:rPr>
        <w:t>obliged to adopt the interpretation that best reconciles the two versions in light of the Convention's objectives and purpose</w:t>
      </w:r>
      <w:r w:rsidRPr="00001F7B">
        <w:rPr>
          <w:rFonts w:asciiTheme="minorHAnsi" w:hAnsiTheme="minorHAnsi" w:cstheme="minorHAnsi"/>
          <w:color w:val="000000"/>
          <w:sz w:val="22"/>
          <w:szCs w:val="22"/>
        </w:rPr>
        <w:t xml:space="preserve"> and </w:t>
      </w:r>
      <w:r w:rsidR="005D5BD5" w:rsidRPr="00001F7B">
        <w:rPr>
          <w:rFonts w:asciiTheme="minorHAnsi" w:hAnsiTheme="minorHAnsi" w:cstheme="minorHAnsi"/>
          <w:color w:val="000000"/>
          <w:sz w:val="22"/>
          <w:szCs w:val="22"/>
        </w:rPr>
        <w:t>to reject an interpretation that "leads to a result which is manifestly absurd or unreasonable".</w:t>
      </w:r>
      <w:r w:rsidR="005B6E00" w:rsidRPr="00001F7B">
        <w:rPr>
          <w:rFonts w:asciiTheme="minorHAnsi" w:hAnsiTheme="minorHAnsi" w:cstheme="minorHAnsi"/>
          <w:color w:val="000000"/>
          <w:sz w:val="22"/>
          <w:szCs w:val="22"/>
        </w:rPr>
        <w:br/>
      </w:r>
      <w:r w:rsidR="005B6E00" w:rsidRPr="00001F7B">
        <w:rPr>
          <w:rFonts w:asciiTheme="minorHAnsi" w:hAnsiTheme="minorHAnsi" w:cstheme="minorHAnsi"/>
          <w:color w:val="000000"/>
          <w:sz w:val="22"/>
          <w:szCs w:val="22"/>
        </w:rPr>
        <w:br/>
        <w:t xml:space="preserve">The court considered that </w:t>
      </w:r>
      <w:r w:rsidR="005D5BD5" w:rsidRPr="00001F7B">
        <w:rPr>
          <w:rFonts w:asciiTheme="minorHAnsi" w:hAnsiTheme="minorHAnsi" w:cstheme="minorHAnsi"/>
          <w:color w:val="000000"/>
          <w:sz w:val="22"/>
          <w:szCs w:val="22"/>
        </w:rPr>
        <w:t xml:space="preserve">construing Article 24, Section 5 </w:t>
      </w:r>
      <w:r w:rsidR="001B227F" w:rsidRPr="00001F7B">
        <w:rPr>
          <w:rFonts w:asciiTheme="minorHAnsi" w:hAnsiTheme="minorHAnsi" w:cstheme="minorHAnsi"/>
          <w:color w:val="000000"/>
          <w:sz w:val="22"/>
          <w:szCs w:val="22"/>
        </w:rPr>
        <w:t>in</w:t>
      </w:r>
      <w:r w:rsidR="005D5BD5" w:rsidRPr="00001F7B">
        <w:rPr>
          <w:rFonts w:asciiTheme="minorHAnsi" w:hAnsiTheme="minorHAnsi" w:cstheme="minorHAnsi"/>
          <w:color w:val="000000"/>
          <w:sz w:val="22"/>
          <w:szCs w:val="22"/>
        </w:rPr>
        <w:t xml:space="preserve"> Busby</w:t>
      </w:r>
      <w:r w:rsidR="005B6E00" w:rsidRPr="00001F7B">
        <w:rPr>
          <w:rFonts w:asciiTheme="minorHAnsi" w:hAnsiTheme="minorHAnsi" w:cstheme="minorHAnsi"/>
          <w:color w:val="000000"/>
          <w:sz w:val="22"/>
          <w:szCs w:val="22"/>
        </w:rPr>
        <w:t>’s favour</w:t>
      </w:r>
      <w:r w:rsidR="005D5BD5" w:rsidRPr="00001F7B">
        <w:rPr>
          <w:rFonts w:asciiTheme="minorHAnsi" w:hAnsiTheme="minorHAnsi" w:cstheme="minorHAnsi"/>
          <w:color w:val="000000"/>
          <w:sz w:val="22"/>
          <w:szCs w:val="22"/>
        </w:rPr>
        <w:t xml:space="preserve"> would lead to results that are at odds with the objectives and purpose of the Convention on Road Traffic: drivers could obtain new international driving permits and then play a game of "cat and mouse" with countries that had previously suspended their licenses. If the signatory countries had thought that the Convention led to these results, they would not have signed the Convention.</w:t>
      </w:r>
    </w:p>
    <w:p w14:paraId="45655D29" w14:textId="7EF01960" w:rsidR="003141A5" w:rsidRPr="00001F7B" w:rsidRDefault="00D91B02" w:rsidP="00001F7B">
      <w:pPr>
        <w:rPr>
          <w:rFonts w:eastAsia="Arial" w:cstheme="minorHAnsi"/>
          <w:b/>
          <w:bCs/>
          <w:color w:val="000000"/>
        </w:rPr>
      </w:pPr>
      <w:r w:rsidRPr="00001F7B">
        <w:rPr>
          <w:rFonts w:eastAsia="Arial" w:cstheme="minorHAnsi"/>
          <w:b/>
          <w:bCs/>
          <w:color w:val="000000"/>
        </w:rPr>
        <w:t xml:space="preserve">3.4.3 </w:t>
      </w:r>
      <w:r w:rsidR="005B6E00" w:rsidRPr="00001F7B">
        <w:rPr>
          <w:rFonts w:eastAsia="Arial" w:cstheme="minorHAnsi"/>
          <w:b/>
          <w:bCs/>
          <w:color w:val="000000"/>
        </w:rPr>
        <w:t xml:space="preserve">Further </w:t>
      </w:r>
      <w:r w:rsidRPr="00001F7B">
        <w:rPr>
          <w:rFonts w:eastAsia="Arial" w:cstheme="minorHAnsi"/>
          <w:b/>
          <w:bCs/>
          <w:color w:val="000000"/>
        </w:rPr>
        <w:t>P</w:t>
      </w:r>
      <w:r w:rsidR="005B6E00" w:rsidRPr="00001F7B">
        <w:rPr>
          <w:rFonts w:eastAsia="Arial" w:cstheme="minorHAnsi"/>
          <w:b/>
          <w:bCs/>
          <w:color w:val="000000"/>
        </w:rPr>
        <w:t>oints</w:t>
      </w:r>
    </w:p>
    <w:p w14:paraId="16D76AF1" w14:textId="462A8CC8" w:rsidR="00AC42C1" w:rsidRPr="00001F7B" w:rsidRDefault="007E5F78" w:rsidP="00001F7B">
      <w:pPr>
        <w:rPr>
          <w:rFonts w:eastAsia="Arial" w:cstheme="minorHAnsi"/>
          <w:color w:val="000000"/>
        </w:rPr>
      </w:pPr>
      <w:r w:rsidRPr="00001F7B">
        <w:rPr>
          <w:rFonts w:eastAsia="Arial" w:cstheme="minorHAnsi"/>
          <w:color w:val="000000"/>
        </w:rPr>
        <w:t>The</w:t>
      </w:r>
      <w:r w:rsidR="005323EA" w:rsidRPr="00001F7B">
        <w:rPr>
          <w:rFonts w:eastAsia="Arial" w:cstheme="minorHAnsi"/>
          <w:color w:val="000000"/>
        </w:rPr>
        <w:t xml:space="preserve"> ILC</w:t>
      </w:r>
      <w:r w:rsidRPr="00001F7B">
        <w:rPr>
          <w:rFonts w:eastAsia="Arial" w:cstheme="minorHAnsi"/>
          <w:color w:val="000000"/>
        </w:rPr>
        <w:t xml:space="preserve"> did not see</w:t>
      </w:r>
      <w:r w:rsidRPr="00001F7B">
        <w:rPr>
          <w:rStyle w:val="FootnoteReference"/>
          <w:rFonts w:eastAsia="Arial" w:cstheme="minorHAnsi"/>
          <w:color w:val="000000"/>
        </w:rPr>
        <w:footnoteReference w:id="259"/>
      </w:r>
      <w:r w:rsidRPr="00001F7B">
        <w:rPr>
          <w:rFonts w:eastAsia="Arial" w:cstheme="minorHAnsi"/>
          <w:color w:val="000000"/>
        </w:rPr>
        <w:t xml:space="preserve"> that there was any general rule of restrictive interpretation</w:t>
      </w:r>
      <w:r w:rsidR="0048664A" w:rsidRPr="00001F7B">
        <w:rPr>
          <w:rFonts w:eastAsia="Arial" w:cstheme="minorHAnsi"/>
          <w:color w:val="000000"/>
        </w:rPr>
        <w:t>.</w:t>
      </w:r>
      <w:r w:rsidRPr="00001F7B">
        <w:rPr>
          <w:rFonts w:eastAsia="Arial" w:cstheme="minorHAnsi"/>
          <w:color w:val="000000"/>
        </w:rPr>
        <w:t xml:space="preserve"> Rather, </w:t>
      </w:r>
      <w:r w:rsidR="0048664A" w:rsidRPr="00001F7B">
        <w:rPr>
          <w:rFonts w:eastAsia="Arial" w:cstheme="minorHAnsi"/>
          <w:color w:val="000000"/>
        </w:rPr>
        <w:t>it</w:t>
      </w:r>
      <w:r w:rsidRPr="00001F7B">
        <w:rPr>
          <w:rFonts w:eastAsia="Arial" w:cstheme="minorHAnsi"/>
          <w:color w:val="000000"/>
        </w:rPr>
        <w:t xml:space="preserve"> depends on </w:t>
      </w:r>
      <w:r w:rsidR="005D502B" w:rsidRPr="00001F7B">
        <w:rPr>
          <w:rFonts w:eastAsia="Arial" w:cstheme="minorHAnsi"/>
          <w:color w:val="000000"/>
        </w:rPr>
        <w:t xml:space="preserve">whether such an interpretation is appropriate given </w:t>
      </w:r>
      <w:r w:rsidRPr="00001F7B">
        <w:rPr>
          <w:rFonts w:eastAsia="Arial" w:cstheme="minorHAnsi"/>
          <w:color w:val="000000"/>
        </w:rPr>
        <w:t>the nature of the treaty and the particular context in which the ambiguous term appears. The mere fact that the ambiguity arises from a difference of expression in a plurilingual treaty does not alter the principles by which the presumption should or should not be made in favour of a restrictive interpretation.</w:t>
      </w:r>
      <w:r w:rsidR="005D502B" w:rsidRPr="00001F7B">
        <w:rPr>
          <w:rFonts w:eastAsia="Arial" w:cstheme="minorHAnsi"/>
          <w:color w:val="000000"/>
        </w:rPr>
        <w:t xml:space="preserve"> The ILC also rejected</w:t>
      </w:r>
      <w:r w:rsidR="00474393" w:rsidRPr="00001F7B">
        <w:rPr>
          <w:rStyle w:val="FootnoteReference"/>
          <w:rFonts w:eastAsia="Arial" w:cstheme="minorHAnsi"/>
          <w:color w:val="000000"/>
        </w:rPr>
        <w:footnoteReference w:id="260"/>
      </w:r>
      <w:r w:rsidR="005D502B" w:rsidRPr="00001F7B">
        <w:rPr>
          <w:rFonts w:eastAsia="Arial" w:cstheme="minorHAnsi"/>
          <w:color w:val="000000"/>
        </w:rPr>
        <w:t xml:space="preserve"> the idea of specifying that there is a legal presumption in</w:t>
      </w:r>
      <w:r w:rsidR="000E137E" w:rsidRPr="00001F7B">
        <w:rPr>
          <w:rFonts w:eastAsia="Arial" w:cstheme="minorHAnsi"/>
          <w:color w:val="000000"/>
        </w:rPr>
        <w:t xml:space="preserve"> </w:t>
      </w:r>
      <w:r w:rsidR="005D502B" w:rsidRPr="00001F7B">
        <w:rPr>
          <w:rFonts w:eastAsia="Arial" w:cstheme="minorHAnsi"/>
          <w:color w:val="000000"/>
        </w:rPr>
        <w:t>favour of the text with a clear meaning</w:t>
      </w:r>
      <w:r w:rsidR="000E137E" w:rsidRPr="00001F7B">
        <w:rPr>
          <w:rStyle w:val="FootnoteReference"/>
          <w:rFonts w:eastAsia="Arial" w:cstheme="minorHAnsi"/>
          <w:color w:val="000000"/>
        </w:rPr>
        <w:footnoteReference w:id="261"/>
      </w:r>
      <w:r w:rsidR="005D502B" w:rsidRPr="00001F7B">
        <w:rPr>
          <w:rFonts w:eastAsia="Arial" w:cstheme="minorHAnsi"/>
          <w:color w:val="000000"/>
        </w:rPr>
        <w:t xml:space="preserve"> or of the language</w:t>
      </w:r>
      <w:r w:rsidR="000E137E" w:rsidRPr="00001F7B">
        <w:rPr>
          <w:rFonts w:eastAsia="Arial" w:cstheme="minorHAnsi"/>
          <w:color w:val="000000"/>
        </w:rPr>
        <w:t xml:space="preserve"> </w:t>
      </w:r>
      <w:r w:rsidR="005D502B" w:rsidRPr="00001F7B">
        <w:rPr>
          <w:rFonts w:eastAsia="Arial" w:cstheme="minorHAnsi"/>
          <w:color w:val="000000"/>
        </w:rPr>
        <w:t>version in which the treaty was drafte</w:t>
      </w:r>
      <w:r w:rsidR="000E137E" w:rsidRPr="00001F7B">
        <w:rPr>
          <w:rFonts w:eastAsia="Arial" w:cstheme="minorHAnsi"/>
          <w:color w:val="000000"/>
        </w:rPr>
        <w:t xml:space="preserve">d, </w:t>
      </w:r>
      <w:r w:rsidR="005D502B" w:rsidRPr="00001F7B">
        <w:rPr>
          <w:rFonts w:eastAsia="Arial" w:cstheme="minorHAnsi"/>
          <w:color w:val="000000"/>
        </w:rPr>
        <w:t>since much might depend</w:t>
      </w:r>
      <w:r w:rsidR="000E137E" w:rsidRPr="00001F7B">
        <w:rPr>
          <w:rFonts w:eastAsia="Arial" w:cstheme="minorHAnsi"/>
          <w:color w:val="000000"/>
        </w:rPr>
        <w:t xml:space="preserve"> </w:t>
      </w:r>
      <w:r w:rsidR="005D502B" w:rsidRPr="00001F7B">
        <w:rPr>
          <w:rFonts w:eastAsia="Arial" w:cstheme="minorHAnsi"/>
          <w:color w:val="000000"/>
        </w:rPr>
        <w:t>on the circumstances of each case and the evidence of</w:t>
      </w:r>
      <w:r w:rsidR="000E137E" w:rsidRPr="00001F7B">
        <w:rPr>
          <w:rFonts w:eastAsia="Arial" w:cstheme="minorHAnsi"/>
          <w:color w:val="000000"/>
        </w:rPr>
        <w:t xml:space="preserve"> </w:t>
      </w:r>
      <w:r w:rsidR="005D502B" w:rsidRPr="00001F7B">
        <w:rPr>
          <w:rFonts w:eastAsia="Arial" w:cstheme="minorHAnsi"/>
          <w:color w:val="000000"/>
        </w:rPr>
        <w:t>the intention of the parties.</w:t>
      </w:r>
      <w:r w:rsidR="00D07A91" w:rsidRPr="00001F7B">
        <w:rPr>
          <w:rFonts w:eastAsia="Arial" w:cstheme="minorHAnsi"/>
          <w:color w:val="000000"/>
        </w:rPr>
        <w:t xml:space="preserve"> </w:t>
      </w:r>
      <w:r w:rsidR="00203D31" w:rsidRPr="00001F7B">
        <w:rPr>
          <w:rFonts w:eastAsia="Arial" w:cstheme="minorHAnsi"/>
          <w:color w:val="000000"/>
        </w:rPr>
        <w:t>It has been suggested that it is logical to give preference to the language of the negotiating text on the basis of</w:t>
      </w:r>
      <w:r w:rsidR="00F56A98" w:rsidRPr="00001F7B">
        <w:rPr>
          <w:rFonts w:eastAsia="Arial" w:cstheme="minorHAnsi"/>
          <w:color w:val="000000"/>
        </w:rPr>
        <w:t xml:space="preserve"> </w:t>
      </w:r>
      <w:r w:rsidR="00203D31" w:rsidRPr="00001F7B">
        <w:rPr>
          <w:rFonts w:eastAsia="Arial" w:cstheme="minorHAnsi"/>
          <w:color w:val="000000"/>
        </w:rPr>
        <w:t>which agreement was reached, rather than that of subsequent translations.</w:t>
      </w:r>
      <w:r w:rsidR="00203D31" w:rsidRPr="00001F7B">
        <w:rPr>
          <w:rStyle w:val="FootnoteReference"/>
          <w:rFonts w:eastAsia="Arial" w:cstheme="minorHAnsi"/>
          <w:color w:val="000000"/>
        </w:rPr>
        <w:footnoteReference w:id="262"/>
      </w:r>
      <w:r w:rsidR="00F56A98" w:rsidRPr="00001F7B">
        <w:rPr>
          <w:rFonts w:eastAsia="Arial" w:cstheme="minorHAnsi"/>
          <w:color w:val="000000"/>
        </w:rPr>
        <w:t xml:space="preserve"> Gardiner argues</w:t>
      </w:r>
      <w:r w:rsidR="001A3B12" w:rsidRPr="00001F7B">
        <w:rPr>
          <w:rStyle w:val="FootnoteReference"/>
          <w:rFonts w:eastAsia="Arial" w:cstheme="minorHAnsi"/>
          <w:color w:val="000000"/>
        </w:rPr>
        <w:footnoteReference w:id="263"/>
      </w:r>
      <w:r w:rsidR="00F56A98" w:rsidRPr="00001F7B">
        <w:rPr>
          <w:rFonts w:eastAsia="Arial" w:cstheme="minorHAnsi"/>
          <w:color w:val="000000"/>
        </w:rPr>
        <w:t xml:space="preserve"> </w:t>
      </w:r>
      <w:r w:rsidR="001A3B12" w:rsidRPr="00001F7B">
        <w:rPr>
          <w:rFonts w:eastAsia="Arial" w:cstheme="minorHAnsi"/>
          <w:color w:val="000000"/>
        </w:rPr>
        <w:t xml:space="preserve">that if </w:t>
      </w:r>
      <w:r w:rsidR="00E4712C" w:rsidRPr="00001F7B">
        <w:rPr>
          <w:rFonts w:eastAsia="Arial" w:cstheme="minorHAnsi"/>
          <w:color w:val="000000"/>
        </w:rPr>
        <w:t xml:space="preserve">there is </w:t>
      </w:r>
      <w:r w:rsidR="001A3B12" w:rsidRPr="00001F7B">
        <w:rPr>
          <w:rFonts w:eastAsia="Arial" w:cstheme="minorHAnsi"/>
          <w:color w:val="000000"/>
        </w:rPr>
        <w:t>access to the preparatory materials as supplementary means then if they show that a particular language captured a manifestly intended meaning which one or more of the other languages failed to replicate, then that language assumes a significance by that route ra</w:t>
      </w:r>
      <w:r w:rsidR="00E63875" w:rsidRPr="00001F7B">
        <w:rPr>
          <w:rFonts w:eastAsia="Arial" w:cstheme="minorHAnsi"/>
          <w:color w:val="000000"/>
        </w:rPr>
        <w:t>ther</w:t>
      </w:r>
      <w:r w:rsidR="001A3B12" w:rsidRPr="00001F7B">
        <w:rPr>
          <w:rFonts w:eastAsia="Arial" w:cstheme="minorHAnsi"/>
          <w:color w:val="000000"/>
        </w:rPr>
        <w:t xml:space="preserve"> than by an assumption that the language of negotiation, or that in which the text was first drawn up</w:t>
      </w:r>
      <w:r w:rsidR="00E63875" w:rsidRPr="00001F7B">
        <w:rPr>
          <w:rFonts w:eastAsia="Arial" w:cstheme="minorHAnsi"/>
          <w:color w:val="000000"/>
        </w:rPr>
        <w:t xml:space="preserve">, has some inherent priority. </w:t>
      </w:r>
      <w:r w:rsidR="00E4712C" w:rsidRPr="00001F7B">
        <w:rPr>
          <w:rFonts w:eastAsia="Arial" w:cstheme="minorHAnsi"/>
          <w:color w:val="000000"/>
        </w:rPr>
        <w:t>Thus,</w:t>
      </w:r>
      <w:r w:rsidR="00E63875" w:rsidRPr="00001F7B">
        <w:rPr>
          <w:rFonts w:eastAsia="Arial" w:cstheme="minorHAnsi"/>
          <w:color w:val="000000"/>
        </w:rPr>
        <w:t xml:space="preserve"> for CMR, simply knowing that </w:t>
      </w:r>
      <w:r w:rsidR="00A02160" w:rsidRPr="00001F7B">
        <w:rPr>
          <w:rFonts w:eastAsia="Arial" w:cstheme="minorHAnsi"/>
          <w:color w:val="000000"/>
        </w:rPr>
        <w:t>the working language for most provisions was</w:t>
      </w:r>
      <w:r w:rsidR="00E63875" w:rsidRPr="00001F7B">
        <w:rPr>
          <w:rFonts w:eastAsia="Arial" w:cstheme="minorHAnsi"/>
          <w:color w:val="000000"/>
        </w:rPr>
        <w:t xml:space="preserve"> French would not give that language any priority without accepted access to the preparatory materials.</w:t>
      </w:r>
      <w:r w:rsidR="0038272C" w:rsidRPr="00001F7B">
        <w:rPr>
          <w:rFonts w:eastAsia="Arial" w:cstheme="minorHAnsi"/>
          <w:color w:val="000000"/>
        </w:rPr>
        <w:t xml:space="preserve"> It may be, however, that one language may be more suggestive and stronger in reinforcing context.</w:t>
      </w:r>
      <w:r w:rsidR="0038272C" w:rsidRPr="00001F7B">
        <w:rPr>
          <w:rStyle w:val="FootnoteReference"/>
          <w:rFonts w:eastAsia="Arial" w:cstheme="minorHAnsi"/>
          <w:color w:val="000000"/>
        </w:rPr>
        <w:footnoteReference w:id="264"/>
      </w:r>
    </w:p>
    <w:p w14:paraId="6DD94900" w14:textId="14C64350" w:rsidR="00375AA2" w:rsidRPr="00001F7B" w:rsidRDefault="00E340D3" w:rsidP="00001F7B">
      <w:pPr>
        <w:rPr>
          <w:rFonts w:eastAsia="Arial" w:cstheme="minorHAnsi"/>
          <w:color w:val="000000"/>
        </w:rPr>
      </w:pPr>
      <w:r w:rsidRPr="00001F7B">
        <w:rPr>
          <w:rFonts w:eastAsia="Arial" w:cstheme="minorHAnsi"/>
          <w:color w:val="000000"/>
        </w:rPr>
        <w:br/>
      </w:r>
      <w:r w:rsidR="008D1A24" w:rsidRPr="00001F7B">
        <w:rPr>
          <w:rFonts w:eastAsia="Arial" w:cstheme="minorHAnsi"/>
          <w:color w:val="000000"/>
        </w:rPr>
        <w:t>There is</w:t>
      </w:r>
      <w:r w:rsidRPr="00001F7B">
        <w:rPr>
          <w:rFonts w:eastAsia="Arial" w:cstheme="minorHAnsi"/>
          <w:color w:val="000000"/>
        </w:rPr>
        <w:t xml:space="preserve"> another point of special relevan</w:t>
      </w:r>
      <w:r w:rsidR="009E483B" w:rsidRPr="00001F7B">
        <w:rPr>
          <w:rFonts w:eastAsia="Arial" w:cstheme="minorHAnsi"/>
          <w:color w:val="000000"/>
        </w:rPr>
        <w:t>ce</w:t>
      </w:r>
      <w:r w:rsidRPr="00001F7B">
        <w:rPr>
          <w:rFonts w:eastAsia="Arial" w:cstheme="minorHAnsi"/>
          <w:color w:val="000000"/>
        </w:rPr>
        <w:t xml:space="preserve"> to law making treaties. </w:t>
      </w:r>
      <w:r w:rsidR="004640C4" w:rsidRPr="00001F7B">
        <w:rPr>
          <w:rFonts w:eastAsia="Arial" w:cstheme="minorHAnsi"/>
          <w:color w:val="000000"/>
        </w:rPr>
        <w:t>If e.g. a legal term is used</w:t>
      </w:r>
      <w:r w:rsidR="000E7704">
        <w:rPr>
          <w:rFonts w:eastAsia="Arial" w:cstheme="minorHAnsi"/>
          <w:color w:val="000000"/>
        </w:rPr>
        <w:t>,</w:t>
      </w:r>
      <w:r w:rsidR="004640C4" w:rsidRPr="00001F7B">
        <w:rPr>
          <w:rFonts w:eastAsia="Arial" w:cstheme="minorHAnsi"/>
          <w:color w:val="000000"/>
        </w:rPr>
        <w:t xml:space="preserve"> </w:t>
      </w:r>
      <w:r w:rsidR="000E7704">
        <w:rPr>
          <w:rFonts w:eastAsia="Arial" w:cstheme="minorHAnsi"/>
          <w:color w:val="000000"/>
        </w:rPr>
        <w:t xml:space="preserve">is </w:t>
      </w:r>
      <w:r w:rsidR="0048617F">
        <w:rPr>
          <w:rFonts w:eastAsia="Arial" w:cstheme="minorHAnsi"/>
          <w:color w:val="000000"/>
        </w:rPr>
        <w:t xml:space="preserve">its </w:t>
      </w:r>
      <w:r w:rsidR="008D1A24" w:rsidRPr="00001F7B">
        <w:rPr>
          <w:rFonts w:eastAsia="Arial" w:cstheme="minorHAnsi"/>
          <w:color w:val="000000"/>
        </w:rPr>
        <w:t>interpretation</w:t>
      </w:r>
      <w:r w:rsidR="004640C4" w:rsidRPr="00001F7B">
        <w:rPr>
          <w:rFonts w:eastAsia="Arial" w:cstheme="minorHAnsi"/>
          <w:color w:val="000000"/>
        </w:rPr>
        <w:t xml:space="preserve"> simply a question of </w:t>
      </w:r>
      <w:r w:rsidR="008D1A24" w:rsidRPr="00001F7B">
        <w:rPr>
          <w:rFonts w:eastAsia="Arial" w:cstheme="minorHAnsi"/>
          <w:color w:val="000000"/>
        </w:rPr>
        <w:t xml:space="preserve">determining the </w:t>
      </w:r>
      <w:r w:rsidR="004640C4" w:rsidRPr="00001F7B">
        <w:rPr>
          <w:rFonts w:eastAsia="Arial" w:cstheme="minorHAnsi"/>
          <w:color w:val="000000"/>
        </w:rPr>
        <w:t xml:space="preserve">legal meaning </w:t>
      </w:r>
      <w:r w:rsidRPr="00001F7B">
        <w:rPr>
          <w:rFonts w:eastAsia="Arial" w:cstheme="minorHAnsi"/>
          <w:color w:val="000000"/>
        </w:rPr>
        <w:t xml:space="preserve">in general </w:t>
      </w:r>
      <w:r w:rsidR="004640C4" w:rsidRPr="00001F7B">
        <w:rPr>
          <w:rFonts w:eastAsia="Arial" w:cstheme="minorHAnsi"/>
          <w:color w:val="000000"/>
        </w:rPr>
        <w:t xml:space="preserve">or how it would be applied in the legal system </w:t>
      </w:r>
      <w:r w:rsidRPr="00001F7B">
        <w:rPr>
          <w:rFonts w:eastAsia="Arial" w:cstheme="minorHAnsi"/>
          <w:color w:val="000000"/>
        </w:rPr>
        <w:t>to which the language relates</w:t>
      </w:r>
      <w:r w:rsidR="00413EC9" w:rsidRPr="00001F7B">
        <w:rPr>
          <w:rFonts w:eastAsia="Arial" w:cstheme="minorHAnsi"/>
          <w:color w:val="000000"/>
        </w:rPr>
        <w:t>, i.e. how the legal system using the language would handle the problem in issue</w:t>
      </w:r>
      <w:r w:rsidRPr="00001F7B">
        <w:rPr>
          <w:rFonts w:eastAsia="Arial" w:cstheme="minorHAnsi"/>
          <w:color w:val="000000"/>
        </w:rPr>
        <w:t>.</w:t>
      </w:r>
      <w:r w:rsidR="00413EC9" w:rsidRPr="00001F7B">
        <w:rPr>
          <w:rStyle w:val="FootnoteReference"/>
          <w:rFonts w:eastAsia="Arial" w:cstheme="minorHAnsi"/>
          <w:color w:val="000000"/>
        </w:rPr>
        <w:footnoteReference w:id="265"/>
      </w:r>
      <w:r w:rsidR="00413EC9" w:rsidRPr="00001F7B">
        <w:rPr>
          <w:rFonts w:eastAsia="Arial" w:cstheme="minorHAnsi"/>
          <w:color w:val="000000"/>
        </w:rPr>
        <w:t xml:space="preserve"> </w:t>
      </w:r>
      <w:r w:rsidRPr="00001F7B">
        <w:rPr>
          <w:rFonts w:eastAsia="Arial" w:cstheme="minorHAnsi"/>
          <w:color w:val="000000"/>
        </w:rPr>
        <w:t xml:space="preserve"> </w:t>
      </w:r>
      <w:r w:rsidR="00043EE6" w:rsidRPr="00001F7B">
        <w:rPr>
          <w:rFonts w:eastAsia="Arial" w:cstheme="minorHAnsi"/>
          <w:color w:val="000000"/>
        </w:rPr>
        <w:t xml:space="preserve">The latter approach was taken by the US case of </w:t>
      </w:r>
      <w:r w:rsidR="00043EE6" w:rsidRPr="00001F7B">
        <w:rPr>
          <w:rFonts w:eastAsia="Arial" w:cstheme="minorHAnsi"/>
          <w:i/>
          <w:iCs/>
          <w:color w:val="000000"/>
        </w:rPr>
        <w:t>Eastern Airline v Floyd</w:t>
      </w:r>
      <w:r w:rsidR="00043EE6" w:rsidRPr="00001F7B">
        <w:rPr>
          <w:rFonts w:eastAsia="Arial" w:cstheme="minorHAnsi"/>
          <w:color w:val="000000"/>
        </w:rPr>
        <w:t>,</w:t>
      </w:r>
      <w:r w:rsidR="00043EE6" w:rsidRPr="00001F7B">
        <w:rPr>
          <w:rStyle w:val="FootnoteReference"/>
          <w:rFonts w:eastAsia="Arial" w:cstheme="minorHAnsi"/>
          <w:color w:val="000000"/>
        </w:rPr>
        <w:footnoteReference w:id="266"/>
      </w:r>
      <w:r w:rsidR="00043EE6" w:rsidRPr="00001F7B">
        <w:rPr>
          <w:rFonts w:eastAsia="Arial" w:cstheme="minorHAnsi"/>
          <w:color w:val="000000"/>
        </w:rPr>
        <w:t xml:space="preserve"> where in respect of whether the Warsaw Convention on carriage by air, the phrase ‘bodily injury’ i.e., ‘</w:t>
      </w:r>
      <w:proofErr w:type="spellStart"/>
      <w:r w:rsidR="00043EE6" w:rsidRPr="00001F7B">
        <w:rPr>
          <w:rFonts w:eastAsia="Arial" w:cstheme="minorHAnsi"/>
          <w:i/>
          <w:iCs/>
          <w:color w:val="000000"/>
        </w:rPr>
        <w:t>l</w:t>
      </w:r>
      <w:r w:rsidR="003C0483" w:rsidRPr="00001F7B">
        <w:rPr>
          <w:rFonts w:eastAsia="Arial" w:cstheme="minorHAnsi"/>
          <w:i/>
          <w:iCs/>
          <w:color w:val="000000"/>
        </w:rPr>
        <w:t>é</w:t>
      </w:r>
      <w:r w:rsidR="00043EE6" w:rsidRPr="00001F7B">
        <w:rPr>
          <w:rFonts w:eastAsia="Arial" w:cstheme="minorHAnsi"/>
          <w:i/>
          <w:iCs/>
          <w:color w:val="000000"/>
        </w:rPr>
        <w:t>sion</w:t>
      </w:r>
      <w:proofErr w:type="spellEnd"/>
      <w:r w:rsidR="003C0483" w:rsidRPr="00001F7B">
        <w:rPr>
          <w:rFonts w:eastAsia="Arial" w:cstheme="minorHAnsi"/>
          <w:i/>
          <w:iCs/>
          <w:color w:val="000000"/>
        </w:rPr>
        <w:t xml:space="preserve"> </w:t>
      </w:r>
      <w:proofErr w:type="spellStart"/>
      <w:r w:rsidR="003C0483" w:rsidRPr="00001F7B">
        <w:rPr>
          <w:rFonts w:eastAsia="Arial" w:cstheme="minorHAnsi"/>
          <w:i/>
          <w:iCs/>
          <w:color w:val="000000"/>
        </w:rPr>
        <w:t>corporelle</w:t>
      </w:r>
      <w:proofErr w:type="spellEnd"/>
      <w:r w:rsidR="003C0483" w:rsidRPr="00001F7B">
        <w:rPr>
          <w:rFonts w:eastAsia="Arial" w:cstheme="minorHAnsi"/>
          <w:i/>
          <w:iCs/>
          <w:color w:val="000000"/>
        </w:rPr>
        <w:t>’</w:t>
      </w:r>
      <w:r w:rsidR="003C0483" w:rsidRPr="00001F7B">
        <w:rPr>
          <w:rFonts w:eastAsia="Arial" w:cstheme="minorHAnsi"/>
          <w:color w:val="000000"/>
        </w:rPr>
        <w:t xml:space="preserve"> in French, could cover pure mental </w:t>
      </w:r>
      <w:r w:rsidR="00C34B29" w:rsidRPr="00001F7B">
        <w:rPr>
          <w:rFonts w:eastAsia="Arial" w:cstheme="minorHAnsi"/>
          <w:color w:val="000000"/>
        </w:rPr>
        <w:t>harm</w:t>
      </w:r>
      <w:r w:rsidR="003C0483" w:rsidRPr="00001F7B">
        <w:rPr>
          <w:rFonts w:eastAsia="Arial" w:cstheme="minorHAnsi"/>
          <w:color w:val="000000"/>
        </w:rPr>
        <w:t>, the Supreme</w:t>
      </w:r>
      <w:r w:rsidR="00043EE6" w:rsidRPr="00001F7B">
        <w:rPr>
          <w:rFonts w:eastAsia="Arial" w:cstheme="minorHAnsi"/>
          <w:color w:val="000000"/>
        </w:rPr>
        <w:t xml:space="preserve"> </w:t>
      </w:r>
      <w:r w:rsidR="003C0483" w:rsidRPr="00001F7B">
        <w:rPr>
          <w:rFonts w:eastAsia="Arial" w:cstheme="minorHAnsi"/>
          <w:color w:val="000000"/>
        </w:rPr>
        <w:t xml:space="preserve">Court examined French law and concluded that French law did not demonstrate that the specific phrase chosen by the negotiators </w:t>
      </w:r>
      <w:r w:rsidR="00D94643" w:rsidRPr="00001F7B">
        <w:rPr>
          <w:rFonts w:eastAsia="Arial" w:cstheme="minorHAnsi"/>
          <w:color w:val="000000"/>
        </w:rPr>
        <w:t>covered purely psychic injury.</w:t>
      </w:r>
      <w:r w:rsidR="00D94643" w:rsidRPr="00001F7B">
        <w:rPr>
          <w:rStyle w:val="FootnoteReference"/>
          <w:rFonts w:eastAsia="Arial" w:cstheme="minorHAnsi"/>
          <w:color w:val="000000"/>
        </w:rPr>
        <w:footnoteReference w:id="267"/>
      </w:r>
      <w:r w:rsidR="00D94643" w:rsidRPr="00001F7B">
        <w:rPr>
          <w:rFonts w:eastAsia="Arial" w:cstheme="minorHAnsi"/>
          <w:color w:val="000000"/>
        </w:rPr>
        <w:t xml:space="preserve"> </w:t>
      </w:r>
      <w:r w:rsidR="00C31412" w:rsidRPr="00001F7B">
        <w:rPr>
          <w:rFonts w:eastAsia="Arial" w:cstheme="minorHAnsi"/>
          <w:color w:val="000000"/>
        </w:rPr>
        <w:t>Taking such an approach produces difficulty if, in fact,</w:t>
      </w:r>
      <w:r w:rsidRPr="00001F7B">
        <w:rPr>
          <w:rFonts w:eastAsia="Arial" w:cstheme="minorHAnsi"/>
          <w:color w:val="000000"/>
        </w:rPr>
        <w:t xml:space="preserve"> a language </w:t>
      </w:r>
      <w:r w:rsidR="00C31412" w:rsidRPr="00001F7B">
        <w:rPr>
          <w:rFonts w:eastAsia="Arial" w:cstheme="minorHAnsi"/>
          <w:color w:val="000000"/>
        </w:rPr>
        <w:t>can be related to</w:t>
      </w:r>
      <w:r w:rsidR="008D1A24" w:rsidRPr="00001F7B">
        <w:rPr>
          <w:rFonts w:eastAsia="Arial" w:cstheme="minorHAnsi"/>
          <w:color w:val="000000"/>
        </w:rPr>
        <w:t xml:space="preserve"> more than one legal system (e.g. France and Belgium).</w:t>
      </w:r>
      <w:r w:rsidR="00C31412" w:rsidRPr="00001F7B">
        <w:rPr>
          <w:rFonts w:eastAsia="Arial" w:cstheme="minorHAnsi"/>
          <w:color w:val="000000"/>
        </w:rPr>
        <w:t xml:space="preserve"> Furthermore, i</w:t>
      </w:r>
      <w:r w:rsidR="008D1A24" w:rsidRPr="00001F7B">
        <w:rPr>
          <w:rFonts w:eastAsia="Arial" w:cstheme="minorHAnsi"/>
          <w:color w:val="000000"/>
        </w:rPr>
        <w:t xml:space="preserve">n the case of CMR a court might have to examine the meaning of a legal term as it was understood </w:t>
      </w:r>
      <w:r w:rsidR="00C31412" w:rsidRPr="00001F7B">
        <w:rPr>
          <w:rFonts w:eastAsia="Arial" w:cstheme="minorHAnsi"/>
          <w:color w:val="000000"/>
        </w:rPr>
        <w:t xml:space="preserve">and would have been applied </w:t>
      </w:r>
      <w:r w:rsidR="008D1A24" w:rsidRPr="00001F7B">
        <w:rPr>
          <w:rFonts w:eastAsia="Arial" w:cstheme="minorHAnsi"/>
          <w:color w:val="000000"/>
        </w:rPr>
        <w:t xml:space="preserve">in 1956 which would be </w:t>
      </w:r>
      <w:r w:rsidR="00C31412" w:rsidRPr="00001F7B">
        <w:rPr>
          <w:rFonts w:eastAsia="Arial" w:cstheme="minorHAnsi"/>
          <w:color w:val="000000"/>
        </w:rPr>
        <w:t xml:space="preserve">even </w:t>
      </w:r>
      <w:r w:rsidR="008D1A24" w:rsidRPr="00001F7B">
        <w:rPr>
          <w:rFonts w:eastAsia="Arial" w:cstheme="minorHAnsi"/>
          <w:color w:val="000000"/>
        </w:rPr>
        <w:t xml:space="preserve">more of a challenge. </w:t>
      </w:r>
      <w:r w:rsidR="00A01135" w:rsidRPr="00001F7B">
        <w:rPr>
          <w:rFonts w:eastAsia="Arial" w:cstheme="minorHAnsi"/>
          <w:color w:val="000000"/>
        </w:rPr>
        <w:t xml:space="preserve">The better general approach is to keep to a search for an autonomous meaning which was the view of Lord Steyn in </w:t>
      </w:r>
      <w:r w:rsidR="00A01135" w:rsidRPr="00001F7B">
        <w:rPr>
          <w:rFonts w:eastAsia="Arial" w:cstheme="minorHAnsi"/>
          <w:i/>
          <w:iCs/>
          <w:color w:val="000000"/>
        </w:rPr>
        <w:t>King v Bristow Helicopters</w:t>
      </w:r>
      <w:r w:rsidR="00A01135" w:rsidRPr="00001F7B">
        <w:rPr>
          <w:rFonts w:eastAsia="Arial" w:cstheme="minorHAnsi"/>
          <w:color w:val="000000"/>
        </w:rPr>
        <w:t xml:space="preserve">, </w:t>
      </w:r>
      <w:r w:rsidR="00A01135" w:rsidRPr="00001F7B">
        <w:rPr>
          <w:rFonts w:eastAsia="Arial" w:cstheme="minorHAnsi"/>
          <w:i/>
          <w:iCs/>
          <w:color w:val="000000"/>
        </w:rPr>
        <w:t xml:space="preserve">Morris v </w:t>
      </w:r>
      <w:r w:rsidR="00EC0CF2" w:rsidRPr="00001F7B">
        <w:rPr>
          <w:rFonts w:eastAsia="Arial" w:cstheme="minorHAnsi"/>
          <w:i/>
          <w:iCs/>
          <w:color w:val="000000"/>
        </w:rPr>
        <w:t>KLM Royal Dutch Airlines</w:t>
      </w:r>
      <w:r w:rsidR="00EC0CF2" w:rsidRPr="00001F7B">
        <w:rPr>
          <w:rFonts w:eastAsia="Arial" w:cstheme="minorHAnsi"/>
          <w:color w:val="000000"/>
        </w:rPr>
        <w:t>,</w:t>
      </w:r>
      <w:r w:rsidR="00A01135" w:rsidRPr="00001F7B">
        <w:rPr>
          <w:rStyle w:val="FootnoteReference"/>
          <w:rFonts w:eastAsia="Arial" w:cstheme="minorHAnsi"/>
          <w:color w:val="000000"/>
        </w:rPr>
        <w:footnoteReference w:id="268"/>
      </w:r>
      <w:r w:rsidR="00A01135" w:rsidRPr="00001F7B">
        <w:rPr>
          <w:rFonts w:eastAsia="Arial" w:cstheme="minorHAnsi"/>
          <w:color w:val="000000"/>
        </w:rPr>
        <w:t xml:space="preserve"> </w:t>
      </w:r>
      <w:r w:rsidR="00FF0776" w:rsidRPr="00001F7B">
        <w:rPr>
          <w:rFonts w:eastAsia="Arial" w:cstheme="minorHAnsi"/>
          <w:color w:val="000000"/>
        </w:rPr>
        <w:t xml:space="preserve">another case on whether the terms ‘bodily injury’ in the Warsaw Convention could cover pure mental </w:t>
      </w:r>
      <w:r w:rsidR="00C34B29" w:rsidRPr="00001F7B">
        <w:rPr>
          <w:rFonts w:eastAsia="Arial" w:cstheme="minorHAnsi"/>
          <w:color w:val="000000"/>
        </w:rPr>
        <w:t>harm</w:t>
      </w:r>
      <w:r w:rsidR="009D3337" w:rsidRPr="00001F7B">
        <w:rPr>
          <w:rFonts w:eastAsia="Arial" w:cstheme="minorHAnsi"/>
          <w:color w:val="000000"/>
        </w:rPr>
        <w:t>.</w:t>
      </w:r>
      <w:r w:rsidR="00FF0776" w:rsidRPr="00001F7B">
        <w:rPr>
          <w:rFonts w:eastAsia="Arial" w:cstheme="minorHAnsi"/>
          <w:color w:val="000000"/>
        </w:rPr>
        <w:t xml:space="preserve"> </w:t>
      </w:r>
      <w:r w:rsidR="009D3337" w:rsidRPr="00001F7B">
        <w:rPr>
          <w:rFonts w:eastAsia="Arial" w:cstheme="minorHAnsi"/>
          <w:color w:val="000000"/>
        </w:rPr>
        <w:t>H</w:t>
      </w:r>
      <w:r w:rsidR="00EC0CF2" w:rsidRPr="00001F7B">
        <w:rPr>
          <w:rFonts w:eastAsia="Arial" w:cstheme="minorHAnsi"/>
          <w:color w:val="000000"/>
        </w:rPr>
        <w:t>ere the court was able to draw on modifications over time in respect of the International Carriage of Passengers by Rail Convention (CI</w:t>
      </w:r>
      <w:r w:rsidR="00C34B29" w:rsidRPr="00001F7B">
        <w:rPr>
          <w:rFonts w:eastAsia="Arial" w:cstheme="minorHAnsi"/>
          <w:color w:val="000000"/>
        </w:rPr>
        <w:t>V</w:t>
      </w:r>
      <w:r w:rsidR="00EC0CF2" w:rsidRPr="00001F7B">
        <w:rPr>
          <w:rFonts w:eastAsia="Arial" w:cstheme="minorHAnsi"/>
          <w:color w:val="000000"/>
        </w:rPr>
        <w:t>)</w:t>
      </w:r>
      <w:r w:rsidR="00A01135" w:rsidRPr="00001F7B">
        <w:rPr>
          <w:rFonts w:eastAsia="Arial" w:cstheme="minorHAnsi"/>
          <w:color w:val="000000"/>
        </w:rPr>
        <w:t xml:space="preserve"> </w:t>
      </w:r>
      <w:r w:rsidR="00FF0776" w:rsidRPr="00001F7B">
        <w:rPr>
          <w:rFonts w:eastAsia="Arial" w:cstheme="minorHAnsi"/>
          <w:color w:val="000000"/>
        </w:rPr>
        <w:t>to show that ‘</w:t>
      </w:r>
      <w:proofErr w:type="spellStart"/>
      <w:r w:rsidR="00FF0776" w:rsidRPr="00001F7B">
        <w:rPr>
          <w:rFonts w:eastAsia="Arial" w:cstheme="minorHAnsi"/>
          <w:i/>
          <w:iCs/>
          <w:color w:val="000000"/>
        </w:rPr>
        <w:t>corporelle</w:t>
      </w:r>
      <w:proofErr w:type="spellEnd"/>
      <w:r w:rsidR="00FF0776" w:rsidRPr="00001F7B">
        <w:rPr>
          <w:rFonts w:eastAsia="Arial" w:cstheme="minorHAnsi"/>
          <w:color w:val="000000"/>
        </w:rPr>
        <w:t>’</w:t>
      </w:r>
      <w:r w:rsidR="00C34B29" w:rsidRPr="00001F7B">
        <w:rPr>
          <w:rFonts w:eastAsia="Arial" w:cstheme="minorHAnsi"/>
          <w:color w:val="000000"/>
        </w:rPr>
        <w:t xml:space="preserve"> may not have been regarded by the French draftsmen as sufficient to include mental harm.</w:t>
      </w:r>
      <w:r w:rsidR="00C34B29" w:rsidRPr="00001F7B">
        <w:rPr>
          <w:rStyle w:val="FootnoteReference"/>
          <w:rFonts w:eastAsia="Arial" w:cstheme="minorHAnsi"/>
          <w:color w:val="000000"/>
        </w:rPr>
        <w:footnoteReference w:id="269"/>
      </w:r>
      <w:r w:rsidR="00A01135" w:rsidRPr="00001F7B">
        <w:rPr>
          <w:rFonts w:eastAsia="Arial" w:cstheme="minorHAnsi"/>
          <w:color w:val="000000"/>
        </w:rPr>
        <w:t xml:space="preserve"> </w:t>
      </w:r>
      <w:r w:rsidR="00C34B29" w:rsidRPr="00001F7B">
        <w:rPr>
          <w:rFonts w:eastAsia="Arial" w:cstheme="minorHAnsi"/>
          <w:color w:val="000000"/>
        </w:rPr>
        <w:t>Gardiner concludes that there is no hard and fast rule as to how far an interpreter should pursue terms into the legal systems which a particular language leads them</w:t>
      </w:r>
      <w:r w:rsidR="00A03D51" w:rsidRPr="00001F7B">
        <w:rPr>
          <w:rFonts w:eastAsia="Arial" w:cstheme="minorHAnsi"/>
          <w:color w:val="000000"/>
        </w:rPr>
        <w:t>, but the best guide will probably be the context, supported if appropriate by the preparatory work.</w:t>
      </w:r>
      <w:r w:rsidR="00A03D51" w:rsidRPr="00001F7B">
        <w:rPr>
          <w:rStyle w:val="FootnoteReference"/>
          <w:rFonts w:eastAsia="Arial" w:cstheme="minorHAnsi"/>
          <w:color w:val="000000"/>
        </w:rPr>
        <w:footnoteReference w:id="270"/>
      </w:r>
      <w:r w:rsidR="00A01135" w:rsidRPr="00001F7B">
        <w:rPr>
          <w:rFonts w:eastAsia="Arial" w:cstheme="minorHAnsi"/>
          <w:color w:val="000000"/>
        </w:rPr>
        <w:t xml:space="preserve"> </w:t>
      </w:r>
      <w:r w:rsidR="00A03D51" w:rsidRPr="00001F7B">
        <w:rPr>
          <w:rFonts w:eastAsia="Arial" w:cstheme="minorHAnsi"/>
          <w:color w:val="000000"/>
        </w:rPr>
        <w:t xml:space="preserve"> He also notes that courts may have to consider whether they are being asked to give a special meaning to a term w</w:t>
      </w:r>
      <w:r w:rsidR="00B86E50" w:rsidRPr="00001F7B">
        <w:rPr>
          <w:rFonts w:eastAsia="Arial" w:cstheme="minorHAnsi"/>
          <w:color w:val="000000"/>
        </w:rPr>
        <w:t>hen applying art</w:t>
      </w:r>
      <w:r w:rsidR="009D3337" w:rsidRPr="00001F7B">
        <w:rPr>
          <w:rFonts w:eastAsia="Arial" w:cstheme="minorHAnsi"/>
          <w:color w:val="000000"/>
        </w:rPr>
        <w:t xml:space="preserve"> </w:t>
      </w:r>
      <w:r w:rsidR="00B86E50" w:rsidRPr="00001F7B">
        <w:rPr>
          <w:rFonts w:eastAsia="Arial" w:cstheme="minorHAnsi"/>
          <w:color w:val="000000"/>
        </w:rPr>
        <w:t xml:space="preserve">33.4. In accordance with art 31 it is necessary to find a clear intent to attach such a meaning. It may be that, especially for CMR the choice is really between finding an autonomous </w:t>
      </w:r>
      <w:r w:rsidR="00375AA2" w:rsidRPr="00001F7B">
        <w:rPr>
          <w:rFonts w:eastAsia="Arial" w:cstheme="minorHAnsi"/>
          <w:color w:val="000000"/>
        </w:rPr>
        <w:t xml:space="preserve">meaning based on both the English and French versions </w:t>
      </w:r>
      <w:r w:rsidR="000B4372">
        <w:rPr>
          <w:rFonts w:eastAsia="Arial" w:cstheme="minorHAnsi"/>
          <w:color w:val="000000"/>
        </w:rPr>
        <w:t>or, if</w:t>
      </w:r>
      <w:r w:rsidR="00375AA2" w:rsidRPr="00001F7B">
        <w:rPr>
          <w:rFonts w:eastAsia="Arial" w:cstheme="minorHAnsi"/>
          <w:color w:val="000000"/>
        </w:rPr>
        <w:t xml:space="preserve"> </w:t>
      </w:r>
      <w:r w:rsidR="000B4372">
        <w:rPr>
          <w:rFonts w:eastAsia="Arial" w:cstheme="minorHAnsi"/>
          <w:color w:val="000000"/>
        </w:rPr>
        <w:t xml:space="preserve">the </w:t>
      </w:r>
      <w:r w:rsidR="00375AA2" w:rsidRPr="00001F7B">
        <w:rPr>
          <w:rFonts w:eastAsia="Arial" w:cstheme="minorHAnsi"/>
          <w:color w:val="000000"/>
        </w:rPr>
        <w:t xml:space="preserve">use of the </w:t>
      </w:r>
      <w:r w:rsidR="00375AA2" w:rsidRPr="00001F7B">
        <w:rPr>
          <w:rFonts w:eastAsia="Arial" w:cstheme="minorHAnsi"/>
          <w:i/>
          <w:iCs/>
          <w:color w:val="000000"/>
        </w:rPr>
        <w:t>travaux</w:t>
      </w:r>
      <w:r w:rsidR="00375AA2" w:rsidRPr="00001F7B">
        <w:rPr>
          <w:rFonts w:eastAsia="Arial" w:cstheme="minorHAnsi"/>
          <w:color w:val="000000"/>
        </w:rPr>
        <w:t xml:space="preserve"> comes to be accepted</w:t>
      </w:r>
      <w:r w:rsidR="000B4372">
        <w:rPr>
          <w:rFonts w:eastAsia="Arial" w:cstheme="minorHAnsi"/>
          <w:color w:val="000000"/>
        </w:rPr>
        <w:t>,</w:t>
      </w:r>
      <w:r w:rsidR="00375AA2" w:rsidRPr="00001F7B">
        <w:rPr>
          <w:rFonts w:eastAsia="Arial" w:cstheme="minorHAnsi"/>
          <w:color w:val="000000"/>
        </w:rPr>
        <w:t xml:space="preserve"> a meaning derived from a particular legal system can be seen to have been intended. </w:t>
      </w:r>
    </w:p>
    <w:p w14:paraId="40798255" w14:textId="50FFE93D" w:rsidR="00574213" w:rsidRPr="00E35B47" w:rsidRDefault="009D3337" w:rsidP="00001F7B">
      <w:pPr>
        <w:rPr>
          <w:rFonts w:eastAsia="Arial" w:cstheme="minorHAnsi"/>
          <w:b/>
          <w:bCs/>
          <w:color w:val="000000"/>
          <w:sz w:val="24"/>
          <w:szCs w:val="24"/>
        </w:rPr>
      </w:pPr>
      <w:r w:rsidRPr="00E35B47">
        <w:rPr>
          <w:rFonts w:eastAsia="Arial" w:cstheme="minorHAnsi"/>
          <w:b/>
          <w:bCs/>
          <w:color w:val="000000"/>
          <w:sz w:val="24"/>
          <w:szCs w:val="24"/>
        </w:rPr>
        <w:t xml:space="preserve">4 </w:t>
      </w:r>
      <w:r w:rsidR="00574213" w:rsidRPr="00E35B47">
        <w:rPr>
          <w:rFonts w:eastAsia="Arial" w:cstheme="minorHAnsi"/>
          <w:b/>
          <w:bCs/>
          <w:color w:val="000000"/>
          <w:sz w:val="24"/>
          <w:szCs w:val="24"/>
        </w:rPr>
        <w:t>Flexibility</w:t>
      </w:r>
      <w:r w:rsidR="00634B9B" w:rsidRPr="00E35B47">
        <w:rPr>
          <w:rFonts w:eastAsia="Arial" w:cstheme="minorHAnsi"/>
          <w:b/>
          <w:bCs/>
          <w:color w:val="000000"/>
          <w:sz w:val="24"/>
          <w:szCs w:val="24"/>
        </w:rPr>
        <w:t xml:space="preserve"> </w:t>
      </w:r>
      <w:r w:rsidR="00574213" w:rsidRPr="00E35B47">
        <w:rPr>
          <w:rFonts w:eastAsia="Arial" w:cstheme="minorHAnsi"/>
          <w:b/>
          <w:bCs/>
          <w:color w:val="000000"/>
          <w:sz w:val="24"/>
          <w:szCs w:val="24"/>
        </w:rPr>
        <w:t>and emerging CIL</w:t>
      </w:r>
    </w:p>
    <w:p w14:paraId="3428BB10" w14:textId="27F86023" w:rsidR="00A935A0" w:rsidRPr="00001F7B" w:rsidRDefault="006721D2" w:rsidP="00001F7B">
      <w:pPr>
        <w:rPr>
          <w:rFonts w:eastAsia="Arial" w:cstheme="minorHAnsi"/>
          <w:color w:val="000000"/>
        </w:rPr>
      </w:pPr>
      <w:r w:rsidRPr="00001F7B">
        <w:rPr>
          <w:rFonts w:eastAsia="Arial" w:cstheme="minorHAnsi"/>
          <w:color w:val="000000"/>
        </w:rPr>
        <w:t xml:space="preserve">Many statements can be found which suggest </w:t>
      </w:r>
      <w:r w:rsidR="001340BF" w:rsidRPr="00001F7B">
        <w:rPr>
          <w:rFonts w:eastAsia="Arial" w:cstheme="minorHAnsi"/>
          <w:color w:val="000000"/>
        </w:rPr>
        <w:t>that there is an inbuilt flexibility in the Vienna Rules which operate more as principles rather than strict rules. For Nolte, this is a matter of weight and emphasis.</w:t>
      </w:r>
      <w:r w:rsidR="00831D29" w:rsidRPr="00001F7B">
        <w:rPr>
          <w:rStyle w:val="FootnoteReference"/>
          <w:rFonts w:eastAsia="Arial" w:cstheme="minorHAnsi"/>
          <w:color w:val="000000"/>
        </w:rPr>
        <w:footnoteReference w:id="271"/>
      </w:r>
      <w:r w:rsidR="001340BF" w:rsidRPr="00001F7B">
        <w:rPr>
          <w:rFonts w:eastAsia="Arial" w:cstheme="minorHAnsi"/>
          <w:color w:val="000000"/>
        </w:rPr>
        <w:t xml:space="preserve">  </w:t>
      </w:r>
      <w:proofErr w:type="spellStart"/>
      <w:r w:rsidR="00AE1CB5" w:rsidRPr="00001F7B">
        <w:rPr>
          <w:rFonts w:eastAsia="Arial" w:cstheme="minorHAnsi"/>
          <w:color w:val="000000"/>
        </w:rPr>
        <w:t>Aust</w:t>
      </w:r>
      <w:proofErr w:type="spellEnd"/>
      <w:r w:rsidR="00AE1CB5" w:rsidRPr="00001F7B">
        <w:rPr>
          <w:rFonts w:eastAsia="Arial" w:cstheme="minorHAnsi"/>
          <w:color w:val="000000"/>
        </w:rPr>
        <w:t xml:space="preserve"> makes the point that how the object and purpose of a given treaty provision is construed, how the relationship of a rule with other applicable international rules is determined, how subsequent practice is identified and assessed are all questions where there is substantial room for manoeuvre and for taking into account the subjective inclinations of the respective interpreter.</w:t>
      </w:r>
      <w:r w:rsidR="00AE1CB5" w:rsidRPr="00001F7B">
        <w:rPr>
          <w:rStyle w:val="FootnoteReference"/>
          <w:rFonts w:eastAsia="Arial" w:cstheme="minorHAnsi"/>
          <w:color w:val="000000"/>
        </w:rPr>
        <w:footnoteReference w:id="272"/>
      </w:r>
      <w:r w:rsidR="0093392B" w:rsidRPr="00001F7B">
        <w:rPr>
          <w:rFonts w:eastAsia="Arial" w:cstheme="minorHAnsi"/>
          <w:color w:val="000000"/>
        </w:rPr>
        <w:t xml:space="preserve"> He also notes</w:t>
      </w:r>
      <w:r w:rsidR="0093392B" w:rsidRPr="00001F7B">
        <w:rPr>
          <w:rStyle w:val="FootnoteReference"/>
          <w:rFonts w:eastAsia="Arial" w:cstheme="minorHAnsi"/>
          <w:color w:val="000000"/>
        </w:rPr>
        <w:footnoteReference w:id="273"/>
      </w:r>
      <w:r w:rsidR="0093392B" w:rsidRPr="00001F7B">
        <w:rPr>
          <w:rFonts w:eastAsia="Arial" w:cstheme="minorHAnsi"/>
          <w:color w:val="000000"/>
        </w:rPr>
        <w:t xml:space="preserve"> that the crucible approach itself leads to considerable uncertainty since absence of hierarchy between the different means of interpretation, their malleability, and the multiple ways of combining them, leave the door open to countless variations in this complex operation that constitutes treaty interpretation.</w:t>
      </w:r>
      <w:r w:rsidR="00AE1CB5" w:rsidRPr="00001F7B">
        <w:rPr>
          <w:rFonts w:eastAsia="Arial" w:cstheme="minorHAnsi"/>
          <w:color w:val="000000"/>
        </w:rPr>
        <w:t xml:space="preserve"> </w:t>
      </w:r>
      <w:r w:rsidR="00890E6B" w:rsidRPr="00001F7B">
        <w:rPr>
          <w:rFonts w:eastAsia="Arial" w:cstheme="minorHAnsi"/>
          <w:color w:val="000000"/>
        </w:rPr>
        <w:t>There is no doubt that the Rules give a wide discretionary margin to the individual judge.</w:t>
      </w:r>
      <w:r w:rsidR="00890E6B" w:rsidRPr="00001F7B">
        <w:rPr>
          <w:rStyle w:val="FootnoteReference"/>
          <w:rFonts w:eastAsia="Arial" w:cstheme="minorHAnsi"/>
          <w:color w:val="000000"/>
        </w:rPr>
        <w:footnoteReference w:id="274"/>
      </w:r>
    </w:p>
    <w:p w14:paraId="6AAA4AF0" w14:textId="27C7AFDB" w:rsidR="007B3D1A" w:rsidRPr="00001F7B" w:rsidRDefault="005145E2" w:rsidP="00001F7B">
      <w:pPr>
        <w:rPr>
          <w:rFonts w:eastAsia="Arial" w:cstheme="minorHAnsi"/>
          <w:color w:val="000000"/>
        </w:rPr>
      </w:pPr>
      <w:r w:rsidRPr="00001F7B">
        <w:rPr>
          <w:rFonts w:eastAsia="Arial" w:cstheme="minorHAnsi"/>
          <w:color w:val="000000"/>
        </w:rPr>
        <w:t xml:space="preserve">However, </w:t>
      </w:r>
      <w:r w:rsidR="007B3D1A" w:rsidRPr="00001F7B">
        <w:rPr>
          <w:rFonts w:eastAsia="Arial" w:cstheme="minorHAnsi"/>
          <w:color w:val="000000"/>
        </w:rPr>
        <w:t>as Waibel suggests,</w:t>
      </w:r>
      <w:r w:rsidR="007B3D1A" w:rsidRPr="00001F7B">
        <w:rPr>
          <w:rStyle w:val="FootnoteReference"/>
          <w:rFonts w:eastAsia="Arial" w:cstheme="minorHAnsi"/>
          <w:color w:val="000000"/>
        </w:rPr>
        <w:footnoteReference w:id="275"/>
      </w:r>
      <w:r w:rsidR="007B3D1A" w:rsidRPr="00001F7B">
        <w:rPr>
          <w:rFonts w:eastAsia="Arial" w:cstheme="minorHAnsi"/>
          <w:color w:val="000000"/>
        </w:rPr>
        <w:t xml:space="preserve"> even if the VCLT does not typically lead to a single interpretive outcome, it plays an important role by setting outer limits to what counts as acceptable interpretation in international law. For him, this function is particularly valuable for national courts</w:t>
      </w:r>
      <w:r w:rsidR="00B91EB9">
        <w:rPr>
          <w:rFonts w:eastAsia="Arial" w:cstheme="minorHAnsi"/>
          <w:color w:val="000000"/>
        </w:rPr>
        <w:t xml:space="preserve"> </w:t>
      </w:r>
      <w:r w:rsidR="007B3D1A" w:rsidRPr="00001F7B">
        <w:rPr>
          <w:rFonts w:eastAsia="Arial" w:cstheme="minorHAnsi"/>
          <w:color w:val="000000"/>
        </w:rPr>
        <w:t>given the diverse perspectives and participants that populate the international legal system, as compared to the far greater homogeneity of law interpreters in any given national legal system.</w:t>
      </w:r>
      <w:r w:rsidR="00A935A0" w:rsidRPr="00001F7B">
        <w:rPr>
          <w:rFonts w:eastAsia="Arial" w:cstheme="minorHAnsi"/>
          <w:color w:val="000000"/>
        </w:rPr>
        <w:t xml:space="preserve"> Similarly for Mola and </w:t>
      </w:r>
      <w:proofErr w:type="spellStart"/>
      <w:r w:rsidR="00A935A0" w:rsidRPr="00001F7B">
        <w:rPr>
          <w:rFonts w:eastAsia="Arial" w:cstheme="minorHAnsi"/>
          <w:color w:val="000000"/>
        </w:rPr>
        <w:t>Poncibò</w:t>
      </w:r>
      <w:proofErr w:type="spellEnd"/>
      <w:r w:rsidR="00A935A0" w:rsidRPr="00001F7B">
        <w:rPr>
          <w:rFonts w:eastAsia="Arial" w:cstheme="minorHAnsi"/>
          <w:color w:val="000000"/>
        </w:rPr>
        <w:t>,</w:t>
      </w:r>
      <w:r w:rsidR="00A935A0" w:rsidRPr="00001F7B">
        <w:rPr>
          <w:rStyle w:val="FootnoteReference"/>
          <w:rFonts w:eastAsia="Arial" w:cstheme="minorHAnsi"/>
          <w:color w:val="000000"/>
        </w:rPr>
        <w:footnoteReference w:id="276"/>
      </w:r>
      <w:r w:rsidR="00A935A0" w:rsidRPr="00001F7B">
        <w:rPr>
          <w:rFonts w:eastAsia="Arial" w:cstheme="minorHAnsi"/>
          <w:color w:val="000000"/>
        </w:rPr>
        <w:t xml:space="preserve"> the Rules provide for domestic</w:t>
      </w:r>
      <w:r w:rsidR="0076276D" w:rsidRPr="00001F7B">
        <w:rPr>
          <w:rFonts w:eastAsia="Arial" w:cstheme="minorHAnsi"/>
          <w:color w:val="000000"/>
        </w:rPr>
        <w:t xml:space="preserve"> </w:t>
      </w:r>
      <w:r w:rsidR="00A935A0" w:rsidRPr="00001F7B">
        <w:rPr>
          <w:rFonts w:eastAsia="Arial" w:cstheme="minorHAnsi"/>
          <w:color w:val="000000"/>
        </w:rPr>
        <w:t>courts a ‘common framework of interpretation’ of uniform private law. They may just serve the purpose of contributing to a common foundation for judicial dialogue in interpreting uniform private law conventions.</w:t>
      </w:r>
      <w:r w:rsidR="0076276D" w:rsidRPr="00001F7B">
        <w:rPr>
          <w:rFonts w:eastAsia="Arial" w:cstheme="minorHAnsi"/>
          <w:color w:val="000000"/>
        </w:rPr>
        <w:t xml:space="preserve"> </w:t>
      </w:r>
      <w:r w:rsidR="007A3A1A">
        <w:rPr>
          <w:rFonts w:eastAsia="Arial" w:cstheme="minorHAnsi"/>
          <w:color w:val="000000"/>
        </w:rPr>
        <w:t>I</w:t>
      </w:r>
      <w:r w:rsidR="0076276D" w:rsidRPr="00001F7B">
        <w:rPr>
          <w:rFonts w:eastAsia="Arial" w:cstheme="minorHAnsi"/>
          <w:color w:val="000000"/>
        </w:rPr>
        <w:t xml:space="preserve">t is not just a case of making judges aware </w:t>
      </w:r>
      <w:r w:rsidR="00A935A0" w:rsidRPr="00001F7B">
        <w:rPr>
          <w:rFonts w:eastAsia="Arial" w:cstheme="minorHAnsi"/>
          <w:color w:val="000000"/>
        </w:rPr>
        <w:t xml:space="preserve">of the interpretative methods that can be applied when interpreting uniform private law conventions. </w:t>
      </w:r>
      <w:r w:rsidR="0076276D" w:rsidRPr="00001F7B">
        <w:rPr>
          <w:rFonts w:eastAsia="Arial" w:cstheme="minorHAnsi"/>
          <w:color w:val="000000"/>
        </w:rPr>
        <w:t xml:space="preserve">Rather, </w:t>
      </w:r>
      <w:r w:rsidR="00A935A0" w:rsidRPr="00001F7B">
        <w:rPr>
          <w:rFonts w:eastAsia="Arial" w:cstheme="minorHAnsi"/>
          <w:color w:val="000000"/>
        </w:rPr>
        <w:t>it is also vital for the interpreters to be aware that the VCLT rules offer a structured set of interpretative methods,</w:t>
      </w:r>
      <w:r w:rsidR="0076276D" w:rsidRPr="00001F7B">
        <w:rPr>
          <w:rFonts w:eastAsia="Arial" w:cstheme="minorHAnsi"/>
          <w:color w:val="000000"/>
        </w:rPr>
        <w:t xml:space="preserve"> </w:t>
      </w:r>
      <w:r w:rsidR="00A935A0" w:rsidRPr="00001F7B">
        <w:rPr>
          <w:rFonts w:eastAsia="Arial" w:cstheme="minorHAnsi"/>
          <w:color w:val="000000"/>
        </w:rPr>
        <w:t>in particular by specifying what are to be considered ‘supplementary’ means with respect to the general rule of interpretation. At the same time, the rules of interpretation themselves are open-textured. So, what could be deemed as a deﬁcit of these rules may turn into a particular strength: they leave room for assimilation by national courts, which is often required by domestic audiences, while, at the same time, they provide for important clariﬁcations, which facilitate the convergence in interpreting uniform private law instruments</w:t>
      </w:r>
      <w:r w:rsidR="0076276D" w:rsidRPr="00001F7B">
        <w:rPr>
          <w:rFonts w:eastAsia="Arial" w:cstheme="minorHAnsi"/>
          <w:color w:val="000000"/>
        </w:rPr>
        <w:t xml:space="preserve">. </w:t>
      </w:r>
      <w:r w:rsidR="00DB582E" w:rsidRPr="00001F7B">
        <w:rPr>
          <w:rFonts w:eastAsia="Arial" w:cstheme="minorHAnsi"/>
          <w:color w:val="000000"/>
        </w:rPr>
        <w:t xml:space="preserve">This assessment seems correct. The Rules provide a structured framework which if applied systematically and within its parameters can assist a court in coming to a reasonably sound and internationally acceptable interpretation of uniform law which can </w:t>
      </w:r>
      <w:r w:rsidR="00F32882" w:rsidRPr="00001F7B">
        <w:rPr>
          <w:rFonts w:eastAsia="Arial" w:cstheme="minorHAnsi"/>
          <w:color w:val="000000"/>
        </w:rPr>
        <w:t xml:space="preserve">then </w:t>
      </w:r>
      <w:r w:rsidR="00DB582E" w:rsidRPr="00001F7B">
        <w:rPr>
          <w:rFonts w:eastAsia="Arial" w:cstheme="minorHAnsi"/>
          <w:color w:val="000000"/>
        </w:rPr>
        <w:t>be assessed in the same terms by other courts producing a dialogue that might ultimately lead to a sound and accepted solution to issues of interpretation.</w:t>
      </w:r>
    </w:p>
    <w:p w14:paraId="185B123D" w14:textId="222B5F0A" w:rsidR="005E515B" w:rsidRPr="00001F7B" w:rsidRDefault="005E515B" w:rsidP="00001F7B">
      <w:pPr>
        <w:rPr>
          <w:rFonts w:cstheme="minorHAnsi"/>
        </w:rPr>
      </w:pPr>
      <w:r w:rsidRPr="00001F7B">
        <w:rPr>
          <w:rFonts w:eastAsia="Arial" w:cstheme="minorHAnsi"/>
          <w:color w:val="000000"/>
        </w:rPr>
        <w:t xml:space="preserve">Given the flexibility of the Rules it seems to be possible to identity the coalescence of approaches or technique around </w:t>
      </w:r>
      <w:r w:rsidR="00765E86" w:rsidRPr="00001F7B">
        <w:rPr>
          <w:rFonts w:eastAsia="Arial" w:cstheme="minorHAnsi"/>
          <w:color w:val="000000"/>
        </w:rPr>
        <w:t xml:space="preserve">specific </w:t>
      </w:r>
      <w:r w:rsidRPr="00001F7B">
        <w:rPr>
          <w:rFonts w:eastAsia="Arial" w:cstheme="minorHAnsi"/>
          <w:color w:val="000000"/>
        </w:rPr>
        <w:t>sub-</w:t>
      </w:r>
      <w:r w:rsidR="00765E86" w:rsidRPr="00001F7B">
        <w:rPr>
          <w:rFonts w:eastAsia="Arial" w:cstheme="minorHAnsi"/>
          <w:color w:val="000000"/>
        </w:rPr>
        <w:t xml:space="preserve">sets </w:t>
      </w:r>
      <w:r w:rsidRPr="00001F7B">
        <w:rPr>
          <w:rFonts w:eastAsia="Arial" w:cstheme="minorHAnsi"/>
          <w:color w:val="000000"/>
        </w:rPr>
        <w:t xml:space="preserve">of </w:t>
      </w:r>
      <w:r w:rsidR="00765E86" w:rsidRPr="00001F7B">
        <w:rPr>
          <w:rFonts w:eastAsia="Arial" w:cstheme="minorHAnsi"/>
          <w:color w:val="000000"/>
        </w:rPr>
        <w:t>treaty</w:t>
      </w:r>
      <w:r w:rsidRPr="00001F7B">
        <w:rPr>
          <w:rFonts w:eastAsia="Arial" w:cstheme="minorHAnsi"/>
          <w:color w:val="000000"/>
        </w:rPr>
        <w:t xml:space="preserve"> </w:t>
      </w:r>
      <w:r w:rsidR="00765E86" w:rsidRPr="00001F7B">
        <w:rPr>
          <w:rFonts w:eastAsia="Arial" w:cstheme="minorHAnsi"/>
          <w:color w:val="000000"/>
        </w:rPr>
        <w:t>or self-contained regimes, of international law.</w:t>
      </w:r>
      <w:r w:rsidR="00765E86" w:rsidRPr="00001F7B">
        <w:rPr>
          <w:rStyle w:val="FootnoteReference"/>
          <w:rFonts w:eastAsia="Arial" w:cstheme="minorHAnsi"/>
          <w:color w:val="000000"/>
        </w:rPr>
        <w:footnoteReference w:id="277"/>
      </w:r>
      <w:r w:rsidR="00765E86" w:rsidRPr="00001F7B">
        <w:rPr>
          <w:rFonts w:eastAsia="Arial" w:cstheme="minorHAnsi"/>
          <w:color w:val="000000"/>
        </w:rPr>
        <w:t xml:space="preserve">  </w:t>
      </w:r>
      <w:r w:rsidR="005D1049" w:rsidRPr="00001F7B">
        <w:rPr>
          <w:rFonts w:cstheme="minorHAnsi"/>
        </w:rPr>
        <w:t xml:space="preserve">Mola and </w:t>
      </w:r>
      <w:proofErr w:type="spellStart"/>
      <w:r w:rsidR="005D1049" w:rsidRPr="00001F7B">
        <w:rPr>
          <w:rFonts w:cstheme="minorHAnsi"/>
        </w:rPr>
        <w:t>Poncibò</w:t>
      </w:r>
      <w:proofErr w:type="spellEnd"/>
      <w:r w:rsidR="005D1049" w:rsidRPr="00001F7B">
        <w:rPr>
          <w:rFonts w:eastAsia="Arial" w:cstheme="minorHAnsi"/>
          <w:color w:val="000000"/>
        </w:rPr>
        <w:t xml:space="preserve"> go on to </w:t>
      </w:r>
      <w:r w:rsidR="00765E86" w:rsidRPr="00001F7B">
        <w:rPr>
          <w:rFonts w:eastAsia="Arial" w:cstheme="minorHAnsi"/>
          <w:color w:val="000000"/>
        </w:rPr>
        <w:t>note</w:t>
      </w:r>
      <w:r w:rsidR="00765E86" w:rsidRPr="00001F7B">
        <w:rPr>
          <w:rStyle w:val="FootnoteReference"/>
          <w:rFonts w:eastAsia="Arial" w:cstheme="minorHAnsi"/>
          <w:color w:val="000000"/>
        </w:rPr>
        <w:footnoteReference w:id="278"/>
      </w:r>
      <w:r w:rsidR="001C3050" w:rsidRPr="00001F7B">
        <w:rPr>
          <w:rFonts w:eastAsia="Arial" w:cstheme="minorHAnsi"/>
          <w:color w:val="000000"/>
        </w:rPr>
        <w:t xml:space="preserve"> </w:t>
      </w:r>
      <w:r w:rsidR="005D1049" w:rsidRPr="00001F7B">
        <w:rPr>
          <w:rFonts w:eastAsia="Arial" w:cstheme="minorHAnsi"/>
          <w:color w:val="000000"/>
        </w:rPr>
        <w:t>that i</w:t>
      </w:r>
      <w:r w:rsidR="001C3050" w:rsidRPr="00001F7B">
        <w:rPr>
          <w:rFonts w:eastAsia="Arial" w:cstheme="minorHAnsi"/>
          <w:color w:val="000000"/>
        </w:rPr>
        <w:t>n the ﬁeld of human rights treaty law, emphasis has been put on the element of the purpose of the treaties (i.e. the protection of individuals’ rights) in favour of a teleological interpretation. At the same time, human rights treaty terms have been given meaning taking into account societal changes over time (‘evolutive’ or ‘evolutionary’ interpretation).</w:t>
      </w:r>
      <w:r w:rsidR="001C3050" w:rsidRPr="00001F7B">
        <w:rPr>
          <w:rStyle w:val="FootnoteReference"/>
          <w:rFonts w:eastAsia="Arial" w:cstheme="minorHAnsi"/>
          <w:color w:val="000000"/>
        </w:rPr>
        <w:footnoteReference w:id="279"/>
      </w:r>
      <w:r w:rsidR="004E0343" w:rsidRPr="00001F7B">
        <w:rPr>
          <w:rFonts w:eastAsia="Arial" w:cstheme="minorHAnsi"/>
          <w:color w:val="000000"/>
        </w:rPr>
        <w:t xml:space="preserve"> As noted by Ammann, a further claim is that </w:t>
      </w:r>
      <w:r w:rsidR="005D1049" w:rsidRPr="00001F7B">
        <w:rPr>
          <w:rFonts w:eastAsia="Arial" w:cstheme="minorHAnsi"/>
          <w:color w:val="000000"/>
        </w:rPr>
        <w:t>it</w:t>
      </w:r>
      <w:r w:rsidR="004E0343" w:rsidRPr="00001F7B">
        <w:rPr>
          <w:rFonts w:eastAsia="Arial" w:cstheme="minorHAnsi"/>
          <w:color w:val="000000"/>
        </w:rPr>
        <w:t xml:space="preserve"> may be </w:t>
      </w:r>
      <w:r w:rsidR="004E0343" w:rsidRPr="00001F7B">
        <w:rPr>
          <w:rFonts w:cstheme="minorHAnsi"/>
        </w:rPr>
        <w:t>that selected substantive regimes of international law are governed by ‘special’ or ‘specialized’ methods that depart from the ‘general’ interpretative methods.</w:t>
      </w:r>
      <w:r w:rsidR="004E0343" w:rsidRPr="00001F7B">
        <w:rPr>
          <w:rStyle w:val="FootnoteReference"/>
          <w:rFonts w:cstheme="minorHAnsi"/>
        </w:rPr>
        <w:footnoteReference w:id="280"/>
      </w:r>
      <w:r w:rsidR="004E0343" w:rsidRPr="00001F7B">
        <w:rPr>
          <w:rFonts w:cstheme="minorHAnsi"/>
        </w:rPr>
        <w:t xml:space="preserve"> However, she argues that what varies between these so-called ‘general’ versus ‘special’ methods is not the method per se, but the type of interpretative material that is available in different regimes of international law.</w:t>
      </w:r>
    </w:p>
    <w:p w14:paraId="6FE17423" w14:textId="7775EA3D" w:rsidR="003B6CB0" w:rsidRPr="00001F7B" w:rsidRDefault="003B6CB0" w:rsidP="00001F7B">
      <w:pPr>
        <w:rPr>
          <w:rFonts w:cstheme="minorHAnsi"/>
        </w:rPr>
      </w:pPr>
      <w:r w:rsidRPr="00001F7B">
        <w:rPr>
          <w:rFonts w:cstheme="minorHAnsi"/>
        </w:rPr>
        <w:t>A more worrying possibility was alluded to above</w:t>
      </w:r>
      <w:r w:rsidR="00421B91" w:rsidRPr="00001F7B">
        <w:rPr>
          <w:rFonts w:cstheme="minorHAnsi"/>
        </w:rPr>
        <w:t>.</w:t>
      </w:r>
      <w:r w:rsidR="00421B91" w:rsidRPr="00001F7B">
        <w:rPr>
          <w:rStyle w:val="FootnoteReference"/>
          <w:rFonts w:cstheme="minorHAnsi"/>
        </w:rPr>
        <w:footnoteReference w:id="281"/>
      </w:r>
      <w:r w:rsidRPr="00001F7B">
        <w:rPr>
          <w:rFonts w:cstheme="minorHAnsi"/>
        </w:rPr>
        <w:t xml:space="preserve"> </w:t>
      </w:r>
      <w:r w:rsidR="00421B91" w:rsidRPr="00001F7B">
        <w:rPr>
          <w:rFonts w:cstheme="minorHAnsi"/>
        </w:rPr>
        <w:t xml:space="preserve">Villager </w:t>
      </w:r>
      <w:r w:rsidR="00DB1699" w:rsidRPr="00001F7B">
        <w:rPr>
          <w:rFonts w:cstheme="minorHAnsi"/>
        </w:rPr>
        <w:t>in reference to the Vienna Rules as CIL suggests</w:t>
      </w:r>
      <w:r w:rsidR="00227DB6" w:rsidRPr="00001F7B">
        <w:rPr>
          <w:rStyle w:val="FootnoteReference"/>
          <w:rFonts w:cstheme="minorHAnsi"/>
        </w:rPr>
        <w:footnoteReference w:id="282"/>
      </w:r>
      <w:r w:rsidR="00DB1699" w:rsidRPr="00001F7B">
        <w:rPr>
          <w:rFonts w:cstheme="minorHAnsi"/>
        </w:rPr>
        <w:t xml:space="preserve"> that a diﬀerent conclusion may be drawn in respect of the customary nature of the structure of the ‘General Rule’. The ILC intended the ‘General Rule’ to be a ‘crucible’ in which the text served as a starting point, and all means were of equal value and had to be equally employed. </w:t>
      </w:r>
      <w:r w:rsidR="007A3A1A">
        <w:rPr>
          <w:rFonts w:cstheme="minorHAnsi"/>
        </w:rPr>
        <w:t>T</w:t>
      </w:r>
      <w:r w:rsidR="00DB1699" w:rsidRPr="00001F7B">
        <w:rPr>
          <w:rFonts w:cstheme="minorHAnsi"/>
        </w:rPr>
        <w:t xml:space="preserve">he ILC envisaged automatic resort to the supplementary means. </w:t>
      </w:r>
      <w:r w:rsidR="00697319" w:rsidRPr="00001F7B">
        <w:rPr>
          <w:rFonts w:cstheme="minorHAnsi"/>
        </w:rPr>
        <w:t>He suggest</w:t>
      </w:r>
      <w:r w:rsidR="0048617F">
        <w:rPr>
          <w:rFonts w:cstheme="minorHAnsi"/>
        </w:rPr>
        <w:t>s</w:t>
      </w:r>
      <w:r w:rsidR="00697319" w:rsidRPr="00001F7B">
        <w:rPr>
          <w:rFonts w:cstheme="minorHAnsi"/>
        </w:rPr>
        <w:t xml:space="preserve"> that in</w:t>
      </w:r>
      <w:r w:rsidR="00DB1699" w:rsidRPr="00001F7B">
        <w:rPr>
          <w:rFonts w:cstheme="minorHAnsi"/>
        </w:rPr>
        <w:t xml:space="preserve"> fact, states and courts have at times come to see Article 31 as entrenching a predominance of the text and a relatively subsidiary position of other</w:t>
      </w:r>
      <w:r w:rsidR="00227DB6" w:rsidRPr="00001F7B">
        <w:rPr>
          <w:rFonts w:cstheme="minorHAnsi"/>
        </w:rPr>
        <w:t xml:space="preserve"> </w:t>
      </w:r>
      <w:r w:rsidR="00DB1699" w:rsidRPr="00001F7B">
        <w:rPr>
          <w:rFonts w:cstheme="minorHAnsi"/>
        </w:rPr>
        <w:t>means; and Article 32</w:t>
      </w:r>
      <w:r w:rsidR="00227DB6" w:rsidRPr="00001F7B">
        <w:rPr>
          <w:rFonts w:cstheme="minorHAnsi"/>
        </w:rPr>
        <w:t xml:space="preserve"> </w:t>
      </w:r>
      <w:r w:rsidR="00DB1699" w:rsidRPr="00001F7B">
        <w:rPr>
          <w:rFonts w:cstheme="minorHAnsi"/>
        </w:rPr>
        <w:t>as providing only limited recourse to its means. Hence, the important qualiﬁcation is that the emerging customary rule does not appear to conform to the text of</w:t>
      </w:r>
      <w:r w:rsidR="00227DB6" w:rsidRPr="00001F7B">
        <w:rPr>
          <w:rFonts w:cstheme="minorHAnsi"/>
        </w:rPr>
        <w:t xml:space="preserve"> </w:t>
      </w:r>
      <w:r w:rsidR="00DB1699" w:rsidRPr="00001F7B">
        <w:rPr>
          <w:rFonts w:cstheme="minorHAnsi"/>
        </w:rPr>
        <w:t>Articles 31 and 32. If and when such a customary rule will have developed, there</w:t>
      </w:r>
      <w:r w:rsidR="00227DB6" w:rsidRPr="00001F7B">
        <w:rPr>
          <w:rFonts w:cstheme="minorHAnsi"/>
        </w:rPr>
        <w:t xml:space="preserve"> </w:t>
      </w:r>
      <w:r w:rsidR="00DB1699" w:rsidRPr="00001F7B">
        <w:rPr>
          <w:rFonts w:cstheme="minorHAnsi"/>
        </w:rPr>
        <w:t>is even the possibility that it may actually have modiﬁed the original provision.</w:t>
      </w:r>
      <w:r w:rsidR="006C2D12" w:rsidRPr="00001F7B">
        <w:rPr>
          <w:rFonts w:cstheme="minorHAnsi"/>
        </w:rPr>
        <w:t xml:space="preserve"> A degree of discrepancy in practice is noted</w:t>
      </w:r>
      <w:r w:rsidR="006C2D12" w:rsidRPr="00001F7B">
        <w:rPr>
          <w:rStyle w:val="FootnoteReference"/>
          <w:rFonts w:cstheme="minorHAnsi"/>
        </w:rPr>
        <w:footnoteReference w:id="283"/>
      </w:r>
      <w:r w:rsidR="006C2D12" w:rsidRPr="00001F7B">
        <w:rPr>
          <w:rFonts w:cstheme="minorHAnsi"/>
        </w:rPr>
        <w:t xml:space="preserve"> within the I</w:t>
      </w:r>
      <w:r w:rsidR="009D3456" w:rsidRPr="00001F7B">
        <w:rPr>
          <w:rFonts w:cstheme="minorHAnsi"/>
        </w:rPr>
        <w:t>CJ</w:t>
      </w:r>
      <w:r w:rsidR="006C2D12" w:rsidRPr="00001F7B">
        <w:rPr>
          <w:rFonts w:cstheme="minorHAnsi"/>
        </w:rPr>
        <w:t xml:space="preserve"> and as between it and bodies such as the</w:t>
      </w:r>
      <w:r w:rsidR="008D5A9D" w:rsidRPr="00001F7B">
        <w:rPr>
          <w:rFonts w:cstheme="minorHAnsi"/>
        </w:rPr>
        <w:t xml:space="preserve"> European Court of Human Rights and the Inter-American Human Rights Court. State practice </w:t>
      </w:r>
      <w:r w:rsidR="004570F7" w:rsidRPr="00001F7B">
        <w:rPr>
          <w:rFonts w:cstheme="minorHAnsi"/>
        </w:rPr>
        <w:t xml:space="preserve">(in respect of domestic courts) </w:t>
      </w:r>
      <w:r w:rsidR="008D5A9D" w:rsidRPr="00001F7B">
        <w:rPr>
          <w:rFonts w:cstheme="minorHAnsi"/>
        </w:rPr>
        <w:t>is also said to be inconsistent but nevertheless he considers the predominance of the treaty text would appear to be conﬁrmed by</w:t>
      </w:r>
      <w:r w:rsidR="00D63CAA" w:rsidRPr="00001F7B">
        <w:rPr>
          <w:rFonts w:cstheme="minorHAnsi"/>
        </w:rPr>
        <w:t xml:space="preserve"> </w:t>
      </w:r>
      <w:r w:rsidR="008D5A9D" w:rsidRPr="00001F7B">
        <w:rPr>
          <w:rFonts w:cstheme="minorHAnsi"/>
        </w:rPr>
        <w:t>the comparatively small number of cases on interpretation reported in the compilations of domestic practice. Since every treaty application presupposes treaty</w:t>
      </w:r>
      <w:r w:rsidR="00D63CAA" w:rsidRPr="00001F7B">
        <w:rPr>
          <w:rFonts w:cstheme="minorHAnsi"/>
        </w:rPr>
        <w:t xml:space="preserve"> interpretation, reported cases should actually be abundant. The fact that they are not suggests that, in most cases, courts view the treaty terms as ‘clear’ and, in the light of the clear (</w:t>
      </w:r>
      <w:r w:rsidR="000D34D0" w:rsidRPr="00001F7B">
        <w:rPr>
          <w:rFonts w:cstheme="minorHAnsi"/>
        </w:rPr>
        <w:t>i.e.,</w:t>
      </w:r>
      <w:r w:rsidR="00D63CAA" w:rsidRPr="00001F7B">
        <w:rPr>
          <w:rFonts w:cstheme="minorHAnsi"/>
        </w:rPr>
        <w:t xml:space="preserve"> ordinary) meaning rule, do not consider that the case in question calls for interpretation.</w:t>
      </w:r>
    </w:p>
    <w:p w14:paraId="17E51546" w14:textId="4A441B8C" w:rsidR="000D34D0" w:rsidRPr="00001F7B" w:rsidRDefault="000D34D0" w:rsidP="00001F7B">
      <w:pPr>
        <w:rPr>
          <w:rFonts w:cstheme="minorHAnsi"/>
        </w:rPr>
      </w:pPr>
      <w:r w:rsidRPr="00001F7B">
        <w:rPr>
          <w:rFonts w:cstheme="minorHAnsi"/>
        </w:rPr>
        <w:t xml:space="preserve">To what extent this is a serious threat to the intended operation of the Vienna Rules is unclear. It </w:t>
      </w:r>
      <w:r w:rsidR="00E87F7A" w:rsidRPr="00001F7B">
        <w:rPr>
          <w:rFonts w:cstheme="minorHAnsi"/>
        </w:rPr>
        <w:t xml:space="preserve">seems odd </w:t>
      </w:r>
      <w:r w:rsidRPr="00001F7B">
        <w:rPr>
          <w:rFonts w:cstheme="minorHAnsi"/>
        </w:rPr>
        <w:t>that one can postulate limited use of the rules simply because certain courts have found a text clear</w:t>
      </w:r>
      <w:r w:rsidR="00E87F7A" w:rsidRPr="00001F7B">
        <w:rPr>
          <w:rFonts w:cstheme="minorHAnsi"/>
        </w:rPr>
        <w:t>, especially without full evidence of the reasoning adopted by the courts</w:t>
      </w:r>
      <w:r w:rsidR="00144692" w:rsidRPr="00001F7B">
        <w:rPr>
          <w:rFonts w:cstheme="minorHAnsi"/>
        </w:rPr>
        <w:t>, particularly as regards whether they see themselves under an obligation to disregard the other aspects of the Rules</w:t>
      </w:r>
      <w:r w:rsidR="00E87F7A" w:rsidRPr="00001F7B">
        <w:rPr>
          <w:rFonts w:cstheme="minorHAnsi"/>
        </w:rPr>
        <w:t xml:space="preserve">. </w:t>
      </w:r>
      <w:r w:rsidR="004570F7" w:rsidRPr="00001F7B">
        <w:rPr>
          <w:rFonts w:cstheme="minorHAnsi"/>
        </w:rPr>
        <w:t>Also,</w:t>
      </w:r>
      <w:r w:rsidR="00E87F7A" w:rsidRPr="00001F7B">
        <w:rPr>
          <w:rFonts w:cstheme="minorHAnsi"/>
        </w:rPr>
        <w:t xml:space="preserve"> the evidence </w:t>
      </w:r>
      <w:r w:rsidR="004570F7" w:rsidRPr="00001F7B">
        <w:rPr>
          <w:rFonts w:cstheme="minorHAnsi"/>
        </w:rPr>
        <w:t>does not appear to be derived from court decisions in respect of uniform</w:t>
      </w:r>
      <w:r w:rsidR="00C94881">
        <w:rPr>
          <w:rFonts w:cstheme="minorHAnsi"/>
        </w:rPr>
        <w:t xml:space="preserve"> </w:t>
      </w:r>
      <w:r w:rsidR="004570F7" w:rsidRPr="00001F7B">
        <w:rPr>
          <w:rFonts w:cstheme="minorHAnsi"/>
        </w:rPr>
        <w:t>private law</w:t>
      </w:r>
      <w:r w:rsidRPr="00001F7B">
        <w:rPr>
          <w:rFonts w:cstheme="minorHAnsi"/>
        </w:rPr>
        <w:t xml:space="preserve">. </w:t>
      </w:r>
      <w:r w:rsidR="004570F7" w:rsidRPr="00001F7B">
        <w:rPr>
          <w:rFonts w:cstheme="minorHAnsi"/>
        </w:rPr>
        <w:t xml:space="preserve">Hopefully this is an evolution </w:t>
      </w:r>
      <w:r w:rsidR="003D207D" w:rsidRPr="00001F7B">
        <w:rPr>
          <w:rFonts w:cstheme="minorHAnsi"/>
        </w:rPr>
        <w:t xml:space="preserve">(if existing) </w:t>
      </w:r>
      <w:r w:rsidR="004570F7" w:rsidRPr="00001F7B">
        <w:rPr>
          <w:rFonts w:cstheme="minorHAnsi"/>
        </w:rPr>
        <w:t xml:space="preserve">that will pass uniform law conventions by.  Furthermore, the whole area of subsequent practice </w:t>
      </w:r>
      <w:r w:rsidR="003D207D" w:rsidRPr="00001F7B">
        <w:rPr>
          <w:rFonts w:cstheme="minorHAnsi"/>
        </w:rPr>
        <w:t xml:space="preserve">of </w:t>
      </w:r>
      <w:r w:rsidR="004570F7" w:rsidRPr="00001F7B">
        <w:rPr>
          <w:rFonts w:cstheme="minorHAnsi"/>
        </w:rPr>
        <w:t>modifying treaties</w:t>
      </w:r>
      <w:r w:rsidR="0051006C" w:rsidRPr="00001F7B">
        <w:rPr>
          <w:rStyle w:val="FootnoteReference"/>
          <w:rFonts w:cstheme="minorHAnsi"/>
        </w:rPr>
        <w:footnoteReference w:id="284"/>
      </w:r>
      <w:r w:rsidR="0051006C" w:rsidRPr="00001F7B">
        <w:rPr>
          <w:rFonts w:cstheme="minorHAnsi"/>
        </w:rPr>
        <w:t xml:space="preserve"> seems fraught with uncertainty and one imagines the same is true of modification of CIL. </w:t>
      </w:r>
      <w:r w:rsidR="00A0702A" w:rsidRPr="00001F7B">
        <w:rPr>
          <w:rFonts w:cstheme="minorHAnsi"/>
        </w:rPr>
        <w:t xml:space="preserve">For states which have ratified the </w:t>
      </w:r>
      <w:r w:rsidR="0051006C" w:rsidRPr="00001F7B">
        <w:rPr>
          <w:rFonts w:cstheme="minorHAnsi"/>
        </w:rPr>
        <w:t>VCLT</w:t>
      </w:r>
      <w:r w:rsidR="00A0702A" w:rsidRPr="00001F7B">
        <w:rPr>
          <w:rFonts w:cstheme="minorHAnsi"/>
        </w:rPr>
        <w:t xml:space="preserve">, especially where it has entered directly into </w:t>
      </w:r>
      <w:r w:rsidR="00697319" w:rsidRPr="00001F7B">
        <w:rPr>
          <w:rFonts w:cstheme="minorHAnsi"/>
        </w:rPr>
        <w:t xml:space="preserve">their </w:t>
      </w:r>
      <w:r w:rsidR="00A0702A" w:rsidRPr="00001F7B">
        <w:rPr>
          <w:rFonts w:cstheme="minorHAnsi"/>
        </w:rPr>
        <w:t>law</w:t>
      </w:r>
      <w:r w:rsidR="00697319" w:rsidRPr="00001F7B">
        <w:rPr>
          <w:rFonts w:cstheme="minorHAnsi"/>
        </w:rPr>
        <w:t>,</w:t>
      </w:r>
      <w:r w:rsidR="0051006C" w:rsidRPr="00001F7B">
        <w:rPr>
          <w:rFonts w:cstheme="minorHAnsi"/>
        </w:rPr>
        <w:t xml:space="preserve"> there would seem to be constitutional difficulties in permitting a new CI</w:t>
      </w:r>
      <w:r w:rsidR="004C7718" w:rsidRPr="00001F7B">
        <w:rPr>
          <w:rFonts w:cstheme="minorHAnsi"/>
        </w:rPr>
        <w:t>L</w:t>
      </w:r>
      <w:r w:rsidR="0051006C" w:rsidRPr="00001F7B">
        <w:rPr>
          <w:rFonts w:cstheme="minorHAnsi"/>
        </w:rPr>
        <w:t xml:space="preserve"> to disrupt the framework and core working </w:t>
      </w:r>
      <w:r w:rsidR="004C7718" w:rsidRPr="00001F7B">
        <w:rPr>
          <w:rFonts w:cstheme="minorHAnsi"/>
        </w:rPr>
        <w:t>of the Vienna Rules.</w:t>
      </w:r>
      <w:r w:rsidR="003D207D" w:rsidRPr="00001F7B">
        <w:rPr>
          <w:rStyle w:val="FootnoteReference"/>
          <w:rFonts w:cstheme="minorHAnsi"/>
        </w:rPr>
        <w:footnoteReference w:id="285"/>
      </w:r>
      <w:r w:rsidR="0051006C" w:rsidRPr="00001F7B">
        <w:rPr>
          <w:rFonts w:cstheme="minorHAnsi"/>
        </w:rPr>
        <w:t xml:space="preserve">  </w:t>
      </w:r>
    </w:p>
    <w:p w14:paraId="0505033E" w14:textId="228111B9" w:rsidR="009E0C1C" w:rsidRPr="00E35B47" w:rsidRDefault="00697319" w:rsidP="00001F7B">
      <w:pPr>
        <w:pStyle w:val="FootnoteText"/>
        <w:rPr>
          <w:rFonts w:eastAsia="Arial" w:cstheme="minorHAnsi"/>
          <w:b/>
          <w:bCs/>
          <w:color w:val="000000"/>
          <w:sz w:val="24"/>
          <w:szCs w:val="24"/>
        </w:rPr>
      </w:pPr>
      <w:r w:rsidRPr="00E35B47">
        <w:rPr>
          <w:rFonts w:eastAsia="Arial" w:cstheme="minorHAnsi"/>
          <w:b/>
          <w:bCs/>
          <w:color w:val="000000"/>
          <w:sz w:val="24"/>
          <w:szCs w:val="24"/>
        </w:rPr>
        <w:t xml:space="preserve">5 </w:t>
      </w:r>
      <w:r w:rsidR="002061E8" w:rsidRPr="00E35B47">
        <w:rPr>
          <w:rFonts w:eastAsia="Arial" w:cstheme="minorHAnsi"/>
          <w:b/>
          <w:bCs/>
          <w:color w:val="000000"/>
          <w:sz w:val="24"/>
          <w:szCs w:val="24"/>
        </w:rPr>
        <w:t>Autonomy and gaps</w:t>
      </w:r>
    </w:p>
    <w:p w14:paraId="50BF1F93" w14:textId="085A2333" w:rsidR="00BE7692" w:rsidRPr="00001F7B" w:rsidRDefault="002061E8" w:rsidP="00001F7B">
      <w:pPr>
        <w:pStyle w:val="FootnoteText"/>
        <w:rPr>
          <w:rFonts w:eastAsia="Arial" w:cstheme="minorHAnsi"/>
          <w:color w:val="000000"/>
          <w:sz w:val="22"/>
          <w:szCs w:val="22"/>
        </w:rPr>
      </w:pPr>
      <w:r w:rsidRPr="00001F7B">
        <w:rPr>
          <w:rFonts w:eastAsia="Arial" w:cstheme="minorHAnsi"/>
          <w:color w:val="000000"/>
          <w:sz w:val="22"/>
          <w:szCs w:val="22"/>
        </w:rPr>
        <w:t xml:space="preserve"> </w:t>
      </w:r>
    </w:p>
    <w:p w14:paraId="2CB18237" w14:textId="4C91B3E8" w:rsidR="00634B9B" w:rsidRPr="00001F7B" w:rsidRDefault="00634B9B" w:rsidP="00001F7B">
      <w:pPr>
        <w:pStyle w:val="FootnoteText"/>
        <w:rPr>
          <w:rFonts w:eastAsia="Arial" w:cstheme="minorHAnsi"/>
          <w:color w:val="000000"/>
          <w:sz w:val="22"/>
          <w:szCs w:val="22"/>
        </w:rPr>
      </w:pPr>
      <w:r w:rsidRPr="00001F7B">
        <w:rPr>
          <w:rFonts w:eastAsia="Arial" w:cstheme="minorHAnsi"/>
          <w:color w:val="000000"/>
          <w:sz w:val="22"/>
          <w:szCs w:val="22"/>
        </w:rPr>
        <w:t>It has been said that gaps are unavoidable in any legislation and the more so in uniform laws.</w:t>
      </w:r>
      <w:r w:rsidR="00CE2720" w:rsidRPr="00001F7B">
        <w:rPr>
          <w:rStyle w:val="FootnoteReference"/>
          <w:rFonts w:eastAsia="Arial" w:cstheme="minorHAnsi"/>
          <w:color w:val="000000"/>
          <w:sz w:val="22"/>
          <w:szCs w:val="22"/>
        </w:rPr>
        <w:footnoteReference w:id="286"/>
      </w:r>
      <w:r w:rsidR="00B571F0" w:rsidRPr="00001F7B">
        <w:rPr>
          <w:rFonts w:eastAsia="Arial" w:cstheme="minorHAnsi"/>
          <w:color w:val="000000"/>
          <w:sz w:val="22"/>
          <w:szCs w:val="22"/>
        </w:rPr>
        <w:t xml:space="preserve"> Although stress has been placed on the autonomous approach it has to be queried how far it is able to produce a solution in all cases. </w:t>
      </w:r>
      <w:r w:rsidR="00AF21CA" w:rsidRPr="00001F7B">
        <w:rPr>
          <w:rFonts w:eastAsia="Arial" w:cstheme="minorHAnsi"/>
          <w:color w:val="000000"/>
          <w:sz w:val="22"/>
          <w:szCs w:val="22"/>
        </w:rPr>
        <w:t xml:space="preserve">The autonomous approach works to ensure that the words </w:t>
      </w:r>
      <w:r w:rsidR="001B50FD" w:rsidRPr="00001F7B">
        <w:rPr>
          <w:rFonts w:eastAsia="Arial" w:cstheme="minorHAnsi"/>
          <w:color w:val="000000"/>
          <w:sz w:val="22"/>
          <w:szCs w:val="22"/>
        </w:rPr>
        <w:t>use</w:t>
      </w:r>
      <w:r w:rsidR="00697319" w:rsidRPr="00001F7B">
        <w:rPr>
          <w:rFonts w:eastAsia="Arial" w:cstheme="minorHAnsi"/>
          <w:color w:val="000000"/>
          <w:sz w:val="22"/>
          <w:szCs w:val="22"/>
        </w:rPr>
        <w:t>d</w:t>
      </w:r>
      <w:r w:rsidR="001B50FD" w:rsidRPr="00001F7B">
        <w:rPr>
          <w:rFonts w:eastAsia="Arial" w:cstheme="minorHAnsi"/>
          <w:color w:val="000000"/>
          <w:sz w:val="22"/>
          <w:szCs w:val="22"/>
        </w:rPr>
        <w:t xml:space="preserve"> in the text of a convention such as CMR </w:t>
      </w:r>
      <w:r w:rsidR="00BE1D31" w:rsidRPr="00001F7B">
        <w:rPr>
          <w:rFonts w:eastAsia="Arial" w:cstheme="minorHAnsi"/>
          <w:color w:val="000000"/>
          <w:sz w:val="22"/>
          <w:szCs w:val="22"/>
        </w:rPr>
        <w:t>are not interpreted solely by reference to a particular national law</w:t>
      </w:r>
      <w:r w:rsidR="00AF21CA" w:rsidRPr="00001F7B">
        <w:rPr>
          <w:rFonts w:eastAsia="Arial" w:cstheme="minorHAnsi"/>
          <w:color w:val="000000"/>
          <w:sz w:val="22"/>
          <w:szCs w:val="22"/>
        </w:rPr>
        <w:t>.</w:t>
      </w:r>
      <w:r w:rsidR="00BE1D31" w:rsidRPr="00001F7B">
        <w:rPr>
          <w:rFonts w:eastAsia="Arial" w:cstheme="minorHAnsi"/>
          <w:color w:val="000000"/>
          <w:sz w:val="22"/>
          <w:szCs w:val="22"/>
        </w:rPr>
        <w:t xml:space="preserve"> This does not mean that domestic law is irrelevant. </w:t>
      </w:r>
      <w:r w:rsidR="00C00167" w:rsidRPr="00001F7B">
        <w:rPr>
          <w:rFonts w:eastAsia="Arial" w:cstheme="minorHAnsi"/>
          <w:color w:val="000000"/>
          <w:sz w:val="22"/>
          <w:szCs w:val="22"/>
        </w:rPr>
        <w:t xml:space="preserve">On the one hand there may be words which have no counterpart in domestic law </w:t>
      </w:r>
      <w:r w:rsidR="005A4D71" w:rsidRPr="00001F7B">
        <w:rPr>
          <w:rFonts w:eastAsia="Arial" w:cstheme="minorHAnsi"/>
          <w:color w:val="000000"/>
          <w:sz w:val="22"/>
          <w:szCs w:val="22"/>
        </w:rPr>
        <w:t>and must necessarily have an autonomous meaning. On the other hand</w:t>
      </w:r>
      <w:r w:rsidR="009E0C1C" w:rsidRPr="00001F7B">
        <w:rPr>
          <w:rFonts w:eastAsia="Arial" w:cstheme="minorHAnsi"/>
          <w:color w:val="000000"/>
          <w:sz w:val="22"/>
          <w:szCs w:val="22"/>
        </w:rPr>
        <w:t>,</w:t>
      </w:r>
      <w:r w:rsidR="00C00167" w:rsidRPr="00001F7B">
        <w:rPr>
          <w:rFonts w:eastAsia="Arial" w:cstheme="minorHAnsi"/>
          <w:color w:val="000000"/>
          <w:sz w:val="22"/>
          <w:szCs w:val="22"/>
        </w:rPr>
        <w:t xml:space="preserve"> many if not most of the words will have resonance in a domestic legal context.</w:t>
      </w:r>
      <w:r w:rsidR="00C00167" w:rsidRPr="00001F7B">
        <w:rPr>
          <w:rStyle w:val="FootnoteReference"/>
          <w:rFonts w:eastAsia="Arial" w:cstheme="minorHAnsi"/>
          <w:color w:val="000000"/>
          <w:sz w:val="22"/>
          <w:szCs w:val="22"/>
        </w:rPr>
        <w:footnoteReference w:id="287"/>
      </w:r>
      <w:r w:rsidR="00C00167" w:rsidRPr="00001F7B">
        <w:rPr>
          <w:rFonts w:eastAsia="Arial" w:cstheme="minorHAnsi"/>
          <w:color w:val="000000"/>
          <w:sz w:val="22"/>
          <w:szCs w:val="22"/>
        </w:rPr>
        <w:t xml:space="preserve"> </w:t>
      </w:r>
      <w:r w:rsidR="005A4D71" w:rsidRPr="00001F7B">
        <w:rPr>
          <w:rFonts w:eastAsia="Arial" w:cstheme="minorHAnsi"/>
          <w:color w:val="000000"/>
          <w:sz w:val="22"/>
          <w:szCs w:val="22"/>
        </w:rPr>
        <w:t>Some</w:t>
      </w:r>
      <w:r w:rsidR="001B50FD" w:rsidRPr="00001F7B">
        <w:rPr>
          <w:rFonts w:eastAsia="Arial" w:cstheme="minorHAnsi"/>
          <w:color w:val="000000"/>
          <w:sz w:val="22"/>
          <w:szCs w:val="22"/>
        </w:rPr>
        <w:t xml:space="preserve"> words that do may need to be interpreted in the light of context of the scheme of the convention in order to determine their exact meaning e.g., successive carrier. </w:t>
      </w:r>
      <w:r w:rsidR="005A4D71" w:rsidRPr="00001F7B">
        <w:rPr>
          <w:rFonts w:eastAsia="Arial" w:cstheme="minorHAnsi"/>
          <w:color w:val="000000"/>
          <w:sz w:val="22"/>
          <w:szCs w:val="22"/>
        </w:rPr>
        <w:t>Other</w:t>
      </w:r>
      <w:r w:rsidR="001B50FD" w:rsidRPr="00001F7B">
        <w:rPr>
          <w:rFonts w:eastAsia="Arial" w:cstheme="minorHAnsi"/>
          <w:color w:val="000000"/>
          <w:sz w:val="22"/>
          <w:szCs w:val="22"/>
        </w:rPr>
        <w:t xml:space="preserve"> words may have a simple common legal meaning which may be taken as the ordinary meaning.</w:t>
      </w:r>
      <w:r w:rsidR="009E0C1C" w:rsidRPr="00001F7B">
        <w:rPr>
          <w:rStyle w:val="FootnoteReference"/>
          <w:rFonts w:eastAsia="Arial" w:cstheme="minorHAnsi"/>
          <w:color w:val="000000"/>
          <w:sz w:val="22"/>
          <w:szCs w:val="22"/>
        </w:rPr>
        <w:footnoteReference w:id="288"/>
      </w:r>
      <w:r w:rsidR="001B50FD" w:rsidRPr="00001F7B">
        <w:rPr>
          <w:rFonts w:eastAsia="Arial" w:cstheme="minorHAnsi"/>
          <w:color w:val="000000"/>
          <w:sz w:val="22"/>
          <w:szCs w:val="22"/>
        </w:rPr>
        <w:t xml:space="preserve"> A word such as contract can be gleaned from </w:t>
      </w:r>
      <w:r w:rsidR="003A3B08" w:rsidRPr="00001F7B">
        <w:rPr>
          <w:rFonts w:eastAsia="Arial" w:cstheme="minorHAnsi"/>
          <w:color w:val="000000"/>
          <w:sz w:val="22"/>
          <w:szCs w:val="22"/>
        </w:rPr>
        <w:t>what</w:t>
      </w:r>
      <w:r w:rsidR="001B50FD" w:rsidRPr="00001F7B">
        <w:rPr>
          <w:rFonts w:eastAsia="Arial" w:cstheme="minorHAnsi"/>
          <w:color w:val="000000"/>
          <w:sz w:val="22"/>
          <w:szCs w:val="22"/>
        </w:rPr>
        <w:t xml:space="preserve"> is normally understood across those </w:t>
      </w:r>
      <w:r w:rsidR="003A3B08" w:rsidRPr="00001F7B">
        <w:rPr>
          <w:rFonts w:eastAsia="Arial" w:cstheme="minorHAnsi"/>
          <w:color w:val="000000"/>
          <w:sz w:val="22"/>
          <w:szCs w:val="22"/>
        </w:rPr>
        <w:t xml:space="preserve">countries which have adopted the convention. A </w:t>
      </w:r>
      <w:r w:rsidR="00800460" w:rsidRPr="00001F7B">
        <w:rPr>
          <w:rFonts w:eastAsia="Arial" w:cstheme="minorHAnsi"/>
          <w:color w:val="000000"/>
          <w:sz w:val="22"/>
          <w:szCs w:val="22"/>
        </w:rPr>
        <w:t>court might</w:t>
      </w:r>
      <w:r w:rsidR="003A3B08" w:rsidRPr="00001F7B">
        <w:rPr>
          <w:rFonts w:eastAsia="Arial" w:cstheme="minorHAnsi"/>
          <w:color w:val="000000"/>
          <w:sz w:val="22"/>
          <w:szCs w:val="22"/>
        </w:rPr>
        <w:t xml:space="preserve"> appl</w:t>
      </w:r>
      <w:r w:rsidR="00800460" w:rsidRPr="00001F7B">
        <w:rPr>
          <w:rFonts w:eastAsia="Arial" w:cstheme="minorHAnsi"/>
          <w:color w:val="000000"/>
          <w:sz w:val="22"/>
          <w:szCs w:val="22"/>
        </w:rPr>
        <w:t>y</w:t>
      </w:r>
      <w:r w:rsidR="003A3B08" w:rsidRPr="00001F7B">
        <w:rPr>
          <w:rFonts w:eastAsia="Arial" w:cstheme="minorHAnsi"/>
          <w:color w:val="000000"/>
          <w:sz w:val="22"/>
          <w:szCs w:val="22"/>
        </w:rPr>
        <w:t xml:space="preserve"> a domestic rule that was completely out of line with this, </w:t>
      </w:r>
      <w:r w:rsidR="009C1A49" w:rsidRPr="00001F7B">
        <w:rPr>
          <w:rFonts w:eastAsia="Arial" w:cstheme="minorHAnsi"/>
          <w:color w:val="000000"/>
          <w:sz w:val="22"/>
          <w:szCs w:val="22"/>
        </w:rPr>
        <w:t>e.g.,</w:t>
      </w:r>
      <w:r w:rsidR="003A3B08" w:rsidRPr="00001F7B">
        <w:rPr>
          <w:rFonts w:eastAsia="Arial" w:cstheme="minorHAnsi"/>
          <w:color w:val="000000"/>
          <w:sz w:val="22"/>
          <w:szCs w:val="22"/>
        </w:rPr>
        <w:t xml:space="preserve"> if, in its domestic law only contracts in writing above 10 Euros were enforceable</w:t>
      </w:r>
      <w:r w:rsidR="00800460" w:rsidRPr="00001F7B">
        <w:rPr>
          <w:rFonts w:eastAsia="Arial" w:cstheme="minorHAnsi"/>
          <w:color w:val="000000"/>
          <w:sz w:val="22"/>
          <w:szCs w:val="22"/>
        </w:rPr>
        <w:t xml:space="preserve">. </w:t>
      </w:r>
      <w:r w:rsidR="00BD350E" w:rsidRPr="00001F7B">
        <w:rPr>
          <w:rFonts w:eastAsia="Arial" w:cstheme="minorHAnsi"/>
          <w:color w:val="000000"/>
          <w:sz w:val="22"/>
          <w:szCs w:val="22"/>
        </w:rPr>
        <w:t>A</w:t>
      </w:r>
      <w:r w:rsidR="009C1A49" w:rsidRPr="00001F7B">
        <w:rPr>
          <w:rFonts w:eastAsia="Arial" w:cstheme="minorHAnsi"/>
          <w:color w:val="000000"/>
          <w:sz w:val="22"/>
          <w:szCs w:val="22"/>
        </w:rPr>
        <w:t>pplying</w:t>
      </w:r>
      <w:r w:rsidR="00BD350E" w:rsidRPr="00001F7B">
        <w:rPr>
          <w:rFonts w:eastAsia="Arial" w:cstheme="minorHAnsi"/>
          <w:color w:val="000000"/>
          <w:sz w:val="22"/>
          <w:szCs w:val="22"/>
        </w:rPr>
        <w:t xml:space="preserve"> this rule</w:t>
      </w:r>
      <w:r w:rsidR="009C1A49" w:rsidRPr="00001F7B">
        <w:rPr>
          <w:rFonts w:eastAsia="Arial" w:cstheme="minorHAnsi"/>
          <w:color w:val="000000"/>
          <w:sz w:val="22"/>
          <w:szCs w:val="22"/>
        </w:rPr>
        <w:t xml:space="preserve"> </w:t>
      </w:r>
      <w:r w:rsidR="00BD350E" w:rsidRPr="00001F7B">
        <w:rPr>
          <w:rFonts w:eastAsia="Arial" w:cstheme="minorHAnsi"/>
          <w:color w:val="000000"/>
          <w:sz w:val="22"/>
          <w:szCs w:val="22"/>
        </w:rPr>
        <w:t>to CMR</w:t>
      </w:r>
      <w:r w:rsidR="009C1A49" w:rsidRPr="00001F7B">
        <w:rPr>
          <w:rFonts w:eastAsia="Arial" w:cstheme="minorHAnsi"/>
          <w:color w:val="000000"/>
          <w:sz w:val="22"/>
          <w:szCs w:val="22"/>
        </w:rPr>
        <w:t xml:space="preserve"> </w:t>
      </w:r>
      <w:r w:rsidR="00BD350E" w:rsidRPr="00001F7B">
        <w:rPr>
          <w:rFonts w:eastAsia="Arial" w:cstheme="minorHAnsi"/>
          <w:color w:val="000000"/>
          <w:sz w:val="22"/>
          <w:szCs w:val="22"/>
        </w:rPr>
        <w:t xml:space="preserve">could be seen as </w:t>
      </w:r>
      <w:r w:rsidR="009C1A49" w:rsidRPr="00001F7B">
        <w:rPr>
          <w:rFonts w:eastAsia="Arial" w:cstheme="minorHAnsi"/>
          <w:color w:val="000000"/>
          <w:sz w:val="22"/>
          <w:szCs w:val="22"/>
        </w:rPr>
        <w:t>distort</w:t>
      </w:r>
      <w:r w:rsidR="00BD350E" w:rsidRPr="00001F7B">
        <w:rPr>
          <w:rFonts w:eastAsia="Arial" w:cstheme="minorHAnsi"/>
          <w:color w:val="000000"/>
          <w:sz w:val="22"/>
          <w:szCs w:val="22"/>
        </w:rPr>
        <w:t>ing</w:t>
      </w:r>
      <w:r w:rsidR="009C1A49" w:rsidRPr="00001F7B">
        <w:rPr>
          <w:rFonts w:eastAsia="Arial" w:cstheme="minorHAnsi"/>
          <w:color w:val="000000"/>
          <w:sz w:val="22"/>
          <w:szCs w:val="22"/>
        </w:rPr>
        <w:t xml:space="preserve"> the operation of the </w:t>
      </w:r>
      <w:r w:rsidR="00BD350E" w:rsidRPr="00001F7B">
        <w:rPr>
          <w:rFonts w:eastAsia="Arial" w:cstheme="minorHAnsi"/>
          <w:color w:val="000000"/>
          <w:sz w:val="22"/>
          <w:szCs w:val="22"/>
        </w:rPr>
        <w:t>Convention from</w:t>
      </w:r>
      <w:r w:rsidR="009C1A49" w:rsidRPr="00001F7B">
        <w:rPr>
          <w:rFonts w:eastAsia="Arial" w:cstheme="minorHAnsi"/>
          <w:color w:val="000000"/>
          <w:sz w:val="22"/>
          <w:szCs w:val="22"/>
        </w:rPr>
        <w:t xml:space="preserve"> the way it was intended to apply since the drafters could be taken to have meant the word </w:t>
      </w:r>
      <w:r w:rsidR="00800460" w:rsidRPr="00001F7B">
        <w:rPr>
          <w:rFonts w:eastAsia="Arial" w:cstheme="minorHAnsi"/>
          <w:color w:val="000000"/>
          <w:sz w:val="22"/>
          <w:szCs w:val="22"/>
        </w:rPr>
        <w:t>‘</w:t>
      </w:r>
      <w:r w:rsidR="009C1A49" w:rsidRPr="00001F7B">
        <w:rPr>
          <w:rFonts w:eastAsia="Arial" w:cstheme="minorHAnsi"/>
          <w:color w:val="000000"/>
          <w:sz w:val="22"/>
          <w:szCs w:val="22"/>
        </w:rPr>
        <w:t>contract</w:t>
      </w:r>
      <w:r w:rsidR="00800460" w:rsidRPr="00001F7B">
        <w:rPr>
          <w:rFonts w:eastAsia="Arial" w:cstheme="minorHAnsi"/>
          <w:color w:val="000000"/>
          <w:sz w:val="22"/>
          <w:szCs w:val="22"/>
        </w:rPr>
        <w:t>’</w:t>
      </w:r>
      <w:r w:rsidR="009C1A49" w:rsidRPr="00001F7B">
        <w:rPr>
          <w:rFonts w:eastAsia="Arial" w:cstheme="minorHAnsi"/>
          <w:color w:val="000000"/>
          <w:sz w:val="22"/>
          <w:szCs w:val="22"/>
        </w:rPr>
        <w:t xml:space="preserve"> in the way that it is normally understood and </w:t>
      </w:r>
      <w:r w:rsidR="00F44EDE" w:rsidRPr="00001F7B">
        <w:rPr>
          <w:rFonts w:eastAsia="Arial" w:cstheme="minorHAnsi"/>
          <w:color w:val="000000"/>
          <w:sz w:val="22"/>
          <w:szCs w:val="22"/>
        </w:rPr>
        <w:t xml:space="preserve">had </w:t>
      </w:r>
      <w:r w:rsidR="009C1A49" w:rsidRPr="00001F7B">
        <w:rPr>
          <w:rFonts w:eastAsia="Arial" w:cstheme="minorHAnsi"/>
          <w:color w:val="000000"/>
          <w:sz w:val="22"/>
          <w:szCs w:val="22"/>
        </w:rPr>
        <w:t>imposed only one qualification of direct relevance to that word alone, that the contract should be for reward.</w:t>
      </w:r>
      <w:r w:rsidR="00800460" w:rsidRPr="00001F7B">
        <w:rPr>
          <w:rFonts w:eastAsia="Arial" w:cstheme="minorHAnsi"/>
          <w:color w:val="000000"/>
          <w:sz w:val="22"/>
          <w:szCs w:val="22"/>
        </w:rPr>
        <w:t xml:space="preserve"> </w:t>
      </w:r>
      <w:r w:rsidR="00F44EDE" w:rsidRPr="00001F7B">
        <w:rPr>
          <w:rFonts w:eastAsia="Arial" w:cstheme="minorHAnsi"/>
          <w:color w:val="000000"/>
          <w:sz w:val="22"/>
          <w:szCs w:val="22"/>
        </w:rPr>
        <w:t>T</w:t>
      </w:r>
      <w:r w:rsidR="00800460" w:rsidRPr="00001F7B">
        <w:rPr>
          <w:rFonts w:eastAsia="Arial" w:cstheme="minorHAnsi"/>
          <w:color w:val="000000"/>
          <w:sz w:val="22"/>
          <w:szCs w:val="22"/>
        </w:rPr>
        <w:t xml:space="preserve">he logic of autonomy is arguably that uniform laws are designed to fit into a national legal system, not necessarily to </w:t>
      </w:r>
      <w:r w:rsidR="00CC65EE" w:rsidRPr="00001F7B">
        <w:rPr>
          <w:rFonts w:eastAsia="Arial" w:cstheme="minorHAnsi"/>
          <w:color w:val="000000"/>
          <w:sz w:val="22"/>
          <w:szCs w:val="22"/>
        </w:rPr>
        <w:t>‘</w:t>
      </w:r>
      <w:r w:rsidR="00800460" w:rsidRPr="00001F7B">
        <w:rPr>
          <w:rFonts w:eastAsia="Arial" w:cstheme="minorHAnsi"/>
          <w:color w:val="000000"/>
          <w:sz w:val="22"/>
          <w:szCs w:val="22"/>
        </w:rPr>
        <w:t>fit in</w:t>
      </w:r>
      <w:r w:rsidR="00CC65EE" w:rsidRPr="00001F7B">
        <w:rPr>
          <w:rFonts w:eastAsia="Arial" w:cstheme="minorHAnsi"/>
          <w:color w:val="000000"/>
          <w:sz w:val="22"/>
          <w:szCs w:val="22"/>
        </w:rPr>
        <w:t>’</w:t>
      </w:r>
      <w:r w:rsidR="00800460" w:rsidRPr="00001F7B">
        <w:rPr>
          <w:rFonts w:eastAsia="Arial" w:cstheme="minorHAnsi"/>
          <w:color w:val="000000"/>
          <w:sz w:val="22"/>
          <w:szCs w:val="22"/>
        </w:rPr>
        <w:t xml:space="preserve"> with it.</w:t>
      </w:r>
      <w:r w:rsidR="00ED28CB" w:rsidRPr="00001F7B">
        <w:rPr>
          <w:rFonts w:eastAsia="Arial" w:cstheme="minorHAnsi"/>
          <w:color w:val="000000"/>
          <w:sz w:val="22"/>
          <w:szCs w:val="22"/>
        </w:rPr>
        <w:t xml:space="preserve"> By ratifying a convention, a state’s international obligation is to enable it to operate effectively within its national legal system.</w:t>
      </w:r>
    </w:p>
    <w:p w14:paraId="06226A38" w14:textId="7151A548" w:rsidR="00800460" w:rsidRPr="00001F7B" w:rsidRDefault="00800460" w:rsidP="00001F7B">
      <w:pPr>
        <w:pStyle w:val="FootnoteText"/>
        <w:rPr>
          <w:rFonts w:eastAsia="Arial" w:cstheme="minorHAnsi"/>
          <w:color w:val="000000"/>
          <w:sz w:val="22"/>
          <w:szCs w:val="22"/>
        </w:rPr>
      </w:pPr>
    </w:p>
    <w:p w14:paraId="04EB8F76" w14:textId="360224AC" w:rsidR="00C21F74" w:rsidRPr="00001F7B" w:rsidRDefault="009149BB" w:rsidP="00001F7B">
      <w:pPr>
        <w:pStyle w:val="FootnoteText"/>
        <w:rPr>
          <w:rFonts w:eastAsia="Arial" w:cstheme="minorHAnsi"/>
          <w:color w:val="000000"/>
          <w:sz w:val="22"/>
          <w:szCs w:val="22"/>
        </w:rPr>
      </w:pPr>
      <w:r w:rsidRPr="00001F7B">
        <w:rPr>
          <w:rFonts w:eastAsia="Arial" w:cstheme="minorHAnsi"/>
          <w:color w:val="000000"/>
          <w:sz w:val="22"/>
          <w:szCs w:val="22"/>
        </w:rPr>
        <w:t>A useful article in this context</w:t>
      </w:r>
      <w:r w:rsidR="00BE0E43" w:rsidRPr="00001F7B">
        <w:rPr>
          <w:rStyle w:val="FootnoteReference"/>
          <w:rFonts w:eastAsia="Arial" w:cstheme="minorHAnsi"/>
          <w:color w:val="000000"/>
          <w:sz w:val="22"/>
          <w:szCs w:val="22"/>
        </w:rPr>
        <w:footnoteReference w:id="289"/>
      </w:r>
      <w:r w:rsidR="00800460" w:rsidRPr="00001F7B">
        <w:rPr>
          <w:rFonts w:eastAsia="Arial" w:cstheme="minorHAnsi"/>
          <w:color w:val="000000"/>
          <w:sz w:val="22"/>
          <w:szCs w:val="22"/>
        </w:rPr>
        <w:t xml:space="preserve"> </w:t>
      </w:r>
      <w:r w:rsidRPr="00001F7B">
        <w:rPr>
          <w:rFonts w:eastAsia="Arial" w:cstheme="minorHAnsi"/>
          <w:color w:val="000000"/>
          <w:sz w:val="22"/>
          <w:szCs w:val="22"/>
        </w:rPr>
        <w:t>helps in developing these points further. T</w:t>
      </w:r>
      <w:r w:rsidR="00800460" w:rsidRPr="00001F7B">
        <w:rPr>
          <w:rFonts w:eastAsia="Arial" w:cstheme="minorHAnsi"/>
          <w:color w:val="000000"/>
          <w:sz w:val="22"/>
          <w:szCs w:val="22"/>
        </w:rPr>
        <w:t xml:space="preserve">he </w:t>
      </w:r>
      <w:r w:rsidR="00ED28CB" w:rsidRPr="00001F7B">
        <w:rPr>
          <w:rFonts w:eastAsia="Arial" w:cstheme="minorHAnsi"/>
          <w:color w:val="000000"/>
          <w:sz w:val="22"/>
          <w:szCs w:val="22"/>
        </w:rPr>
        <w:t>words in art 1 of CMR</w:t>
      </w:r>
      <w:r w:rsidRPr="00001F7B">
        <w:rPr>
          <w:rFonts w:eastAsia="Arial" w:cstheme="minorHAnsi"/>
          <w:color w:val="000000"/>
          <w:sz w:val="22"/>
          <w:szCs w:val="22"/>
        </w:rPr>
        <w:t xml:space="preserve"> are considered</w:t>
      </w:r>
      <w:r w:rsidR="00ED28CB" w:rsidRPr="00001F7B">
        <w:rPr>
          <w:rFonts w:eastAsia="Arial" w:cstheme="minorHAnsi"/>
          <w:color w:val="000000"/>
          <w:sz w:val="22"/>
          <w:szCs w:val="22"/>
        </w:rPr>
        <w:t xml:space="preserve">. With some there is an absence of uniform </w:t>
      </w:r>
      <w:r w:rsidR="006075BA" w:rsidRPr="00001F7B">
        <w:rPr>
          <w:rFonts w:eastAsia="Arial" w:cstheme="minorHAnsi"/>
          <w:color w:val="000000"/>
          <w:sz w:val="22"/>
          <w:szCs w:val="22"/>
        </w:rPr>
        <w:t xml:space="preserve">rules </w:t>
      </w:r>
      <w:r w:rsidR="00ED28CB" w:rsidRPr="00001F7B">
        <w:rPr>
          <w:rFonts w:eastAsia="Arial" w:cstheme="minorHAnsi"/>
          <w:color w:val="000000"/>
          <w:sz w:val="22"/>
          <w:szCs w:val="22"/>
        </w:rPr>
        <w:t xml:space="preserve">e.g. </w:t>
      </w:r>
      <w:r w:rsidR="00687E05" w:rsidRPr="00001F7B">
        <w:rPr>
          <w:rFonts w:eastAsia="Arial" w:cstheme="minorHAnsi"/>
          <w:color w:val="000000"/>
          <w:sz w:val="22"/>
          <w:szCs w:val="22"/>
        </w:rPr>
        <w:t xml:space="preserve">whether there is a valid contract Since the validity of a contract is not governed by CMR it is </w:t>
      </w:r>
      <w:r w:rsidR="00A8599C" w:rsidRPr="00001F7B">
        <w:rPr>
          <w:rFonts w:eastAsia="Arial" w:cstheme="minorHAnsi"/>
          <w:color w:val="000000"/>
          <w:sz w:val="22"/>
          <w:szCs w:val="22"/>
        </w:rPr>
        <w:t>subject to national law.</w:t>
      </w:r>
      <w:r w:rsidR="00BE0E43" w:rsidRPr="00001F7B">
        <w:rPr>
          <w:rStyle w:val="FootnoteReference"/>
          <w:rFonts w:eastAsia="Arial" w:cstheme="minorHAnsi"/>
          <w:color w:val="000000"/>
          <w:sz w:val="22"/>
          <w:szCs w:val="22"/>
        </w:rPr>
        <w:footnoteReference w:id="290"/>
      </w:r>
      <w:r w:rsidR="00A8599C" w:rsidRPr="00001F7B">
        <w:rPr>
          <w:rFonts w:eastAsia="Arial" w:cstheme="minorHAnsi"/>
          <w:color w:val="000000"/>
          <w:sz w:val="22"/>
          <w:szCs w:val="22"/>
        </w:rPr>
        <w:t xml:space="preserve"> </w:t>
      </w:r>
      <w:r w:rsidR="00F44EDE" w:rsidRPr="00001F7B">
        <w:rPr>
          <w:rFonts w:eastAsia="Arial" w:cstheme="minorHAnsi"/>
          <w:color w:val="000000"/>
          <w:sz w:val="22"/>
          <w:szCs w:val="22"/>
        </w:rPr>
        <w:t>There is a policy issue</w:t>
      </w:r>
      <w:r w:rsidR="00935BEB" w:rsidRPr="00001F7B">
        <w:rPr>
          <w:rFonts w:eastAsia="Arial" w:cstheme="minorHAnsi"/>
          <w:color w:val="000000"/>
          <w:sz w:val="22"/>
          <w:szCs w:val="22"/>
        </w:rPr>
        <w:t xml:space="preserve"> involved </w:t>
      </w:r>
      <w:r w:rsidR="00F44EDE" w:rsidRPr="00001F7B">
        <w:rPr>
          <w:rFonts w:eastAsia="Arial" w:cstheme="minorHAnsi"/>
          <w:color w:val="000000"/>
          <w:sz w:val="22"/>
          <w:szCs w:val="22"/>
        </w:rPr>
        <w:t xml:space="preserve">here since national courts may be keen to preserve </w:t>
      </w:r>
      <w:r w:rsidRPr="00001F7B">
        <w:rPr>
          <w:rFonts w:eastAsia="Arial" w:cstheme="minorHAnsi"/>
          <w:color w:val="000000"/>
          <w:sz w:val="22"/>
          <w:szCs w:val="22"/>
        </w:rPr>
        <w:t>what they may see as</w:t>
      </w:r>
      <w:r w:rsidR="00B24037" w:rsidRPr="00001F7B">
        <w:rPr>
          <w:rFonts w:eastAsia="Arial" w:cstheme="minorHAnsi"/>
          <w:color w:val="000000"/>
          <w:sz w:val="22"/>
          <w:szCs w:val="22"/>
        </w:rPr>
        <w:t xml:space="preserve"> valuable policy </w:t>
      </w:r>
      <w:r w:rsidR="00B76235" w:rsidRPr="00001F7B">
        <w:rPr>
          <w:rFonts w:eastAsia="Arial" w:cstheme="minorHAnsi"/>
          <w:color w:val="000000"/>
          <w:sz w:val="22"/>
          <w:szCs w:val="22"/>
        </w:rPr>
        <w:t xml:space="preserve">interests </w:t>
      </w:r>
      <w:r w:rsidR="00B24037" w:rsidRPr="00001F7B">
        <w:rPr>
          <w:rFonts w:eastAsia="Arial" w:cstheme="minorHAnsi"/>
          <w:color w:val="000000"/>
          <w:sz w:val="22"/>
          <w:szCs w:val="22"/>
        </w:rPr>
        <w:t xml:space="preserve">in a national context but </w:t>
      </w:r>
      <w:r w:rsidR="00B76235" w:rsidRPr="00001F7B">
        <w:rPr>
          <w:rFonts w:eastAsia="Arial" w:cstheme="minorHAnsi"/>
          <w:color w:val="000000"/>
          <w:sz w:val="22"/>
          <w:szCs w:val="22"/>
        </w:rPr>
        <w:t>this</w:t>
      </w:r>
      <w:r w:rsidR="00B24037" w:rsidRPr="00001F7B">
        <w:rPr>
          <w:rFonts w:eastAsia="Arial" w:cstheme="minorHAnsi"/>
          <w:color w:val="000000"/>
          <w:sz w:val="22"/>
          <w:szCs w:val="22"/>
        </w:rPr>
        <w:t xml:space="preserve"> may be in conflict with the obligation to apply the Convention if this restriction is</w:t>
      </w:r>
      <w:r w:rsidR="00564BD5" w:rsidRPr="00001F7B">
        <w:rPr>
          <w:rFonts w:eastAsia="Arial" w:cstheme="minorHAnsi"/>
          <w:color w:val="000000"/>
          <w:sz w:val="22"/>
          <w:szCs w:val="22"/>
        </w:rPr>
        <w:t xml:space="preserve"> not shared by the other contracting states</w:t>
      </w:r>
      <w:r w:rsidR="00B24037" w:rsidRPr="00001F7B">
        <w:rPr>
          <w:rFonts w:eastAsia="Arial" w:cstheme="minorHAnsi"/>
          <w:color w:val="000000"/>
          <w:sz w:val="22"/>
          <w:szCs w:val="22"/>
        </w:rPr>
        <w:t>.</w:t>
      </w:r>
      <w:r w:rsidR="008141DF" w:rsidRPr="00001F7B">
        <w:rPr>
          <w:rStyle w:val="FootnoteReference"/>
          <w:rFonts w:eastAsia="Arial" w:cstheme="minorHAnsi"/>
          <w:color w:val="000000"/>
          <w:sz w:val="22"/>
          <w:szCs w:val="22"/>
        </w:rPr>
        <w:footnoteReference w:id="291"/>
      </w:r>
      <w:r w:rsidRPr="00001F7B">
        <w:rPr>
          <w:rFonts w:eastAsia="Arial" w:cstheme="minorHAnsi"/>
          <w:color w:val="000000"/>
          <w:sz w:val="22"/>
          <w:szCs w:val="22"/>
        </w:rPr>
        <w:t xml:space="preserve"> </w:t>
      </w:r>
      <w:r w:rsidR="00A8599C" w:rsidRPr="00001F7B">
        <w:rPr>
          <w:rFonts w:eastAsia="Arial" w:cstheme="minorHAnsi"/>
          <w:color w:val="000000"/>
          <w:sz w:val="22"/>
          <w:szCs w:val="22"/>
        </w:rPr>
        <w:t xml:space="preserve">Other words in art 1 are considered to involve decisions </w:t>
      </w:r>
      <w:r w:rsidR="00935BEB" w:rsidRPr="00001F7B">
        <w:rPr>
          <w:rFonts w:eastAsia="Arial" w:cstheme="minorHAnsi"/>
          <w:color w:val="000000"/>
          <w:sz w:val="22"/>
          <w:szCs w:val="22"/>
        </w:rPr>
        <w:t>‘</w:t>
      </w:r>
      <w:r w:rsidR="00A8599C" w:rsidRPr="00001F7B">
        <w:rPr>
          <w:rFonts w:eastAsia="Arial" w:cstheme="minorHAnsi"/>
          <w:color w:val="000000"/>
          <w:sz w:val="22"/>
          <w:szCs w:val="22"/>
        </w:rPr>
        <w:t>before the gate</w:t>
      </w:r>
      <w:r w:rsidR="00B24037" w:rsidRPr="00001F7B">
        <w:rPr>
          <w:rFonts w:eastAsia="Arial" w:cstheme="minorHAnsi"/>
          <w:color w:val="000000"/>
          <w:sz w:val="22"/>
          <w:szCs w:val="22"/>
        </w:rPr>
        <w:t>,</w:t>
      </w:r>
      <w:r w:rsidR="00935BEB" w:rsidRPr="00001F7B">
        <w:rPr>
          <w:rFonts w:eastAsia="Arial" w:cstheme="minorHAnsi"/>
          <w:color w:val="000000"/>
          <w:sz w:val="22"/>
          <w:szCs w:val="22"/>
        </w:rPr>
        <w:t>’</w:t>
      </w:r>
      <w:r w:rsidR="00CC7983" w:rsidRPr="00001F7B">
        <w:rPr>
          <w:rStyle w:val="FootnoteReference"/>
          <w:rFonts w:eastAsia="Arial" w:cstheme="minorHAnsi"/>
          <w:color w:val="000000"/>
          <w:sz w:val="22"/>
          <w:szCs w:val="22"/>
        </w:rPr>
        <w:footnoteReference w:id="292"/>
      </w:r>
      <w:r w:rsidR="00BD2A99" w:rsidRPr="00001F7B">
        <w:rPr>
          <w:rFonts w:eastAsia="Arial" w:cstheme="minorHAnsi"/>
          <w:color w:val="000000"/>
          <w:sz w:val="22"/>
          <w:szCs w:val="22"/>
        </w:rPr>
        <w:t xml:space="preserve"> </w:t>
      </w:r>
      <w:r w:rsidR="00B24037" w:rsidRPr="00001F7B">
        <w:rPr>
          <w:rFonts w:eastAsia="Arial" w:cstheme="minorHAnsi"/>
          <w:color w:val="000000"/>
          <w:sz w:val="22"/>
          <w:szCs w:val="22"/>
        </w:rPr>
        <w:t xml:space="preserve">i.e., </w:t>
      </w:r>
      <w:r w:rsidR="00A8599C" w:rsidRPr="00001F7B">
        <w:rPr>
          <w:rFonts w:eastAsia="Arial" w:cstheme="minorHAnsi"/>
          <w:color w:val="000000"/>
          <w:sz w:val="22"/>
          <w:szCs w:val="22"/>
        </w:rPr>
        <w:t>question</w:t>
      </w:r>
      <w:r w:rsidR="00935BEB" w:rsidRPr="00001F7B">
        <w:rPr>
          <w:rFonts w:eastAsia="Arial" w:cstheme="minorHAnsi"/>
          <w:color w:val="000000"/>
          <w:sz w:val="22"/>
          <w:szCs w:val="22"/>
        </w:rPr>
        <w:t>s</w:t>
      </w:r>
      <w:r w:rsidR="00A8599C" w:rsidRPr="00001F7B">
        <w:rPr>
          <w:rFonts w:eastAsia="Arial" w:cstheme="minorHAnsi"/>
          <w:color w:val="000000"/>
          <w:sz w:val="22"/>
          <w:szCs w:val="22"/>
        </w:rPr>
        <w:t xml:space="preserve"> to be answered </w:t>
      </w:r>
      <w:r w:rsidR="006075BA" w:rsidRPr="00001F7B">
        <w:rPr>
          <w:rFonts w:eastAsia="Arial" w:cstheme="minorHAnsi"/>
          <w:color w:val="000000"/>
          <w:sz w:val="22"/>
          <w:szCs w:val="22"/>
        </w:rPr>
        <w:t>before looking into the potential application of the convention</w:t>
      </w:r>
      <w:r w:rsidR="00564BD5" w:rsidRPr="00001F7B">
        <w:rPr>
          <w:rFonts w:eastAsia="Arial" w:cstheme="minorHAnsi"/>
          <w:color w:val="000000"/>
          <w:sz w:val="22"/>
          <w:szCs w:val="22"/>
        </w:rPr>
        <w:t>.</w:t>
      </w:r>
      <w:r w:rsidR="00571604" w:rsidRPr="00001F7B">
        <w:rPr>
          <w:rFonts w:eastAsia="Arial" w:cstheme="minorHAnsi"/>
          <w:color w:val="000000"/>
          <w:sz w:val="22"/>
          <w:szCs w:val="22"/>
        </w:rPr>
        <w:t xml:space="preserve"> </w:t>
      </w:r>
      <w:r w:rsidR="00564BD5" w:rsidRPr="00001F7B">
        <w:rPr>
          <w:rFonts w:eastAsia="Arial" w:cstheme="minorHAnsi"/>
          <w:color w:val="000000"/>
          <w:sz w:val="22"/>
          <w:szCs w:val="22"/>
        </w:rPr>
        <w:t>This</w:t>
      </w:r>
      <w:r w:rsidR="00571604" w:rsidRPr="00001F7B">
        <w:rPr>
          <w:rFonts w:eastAsia="Arial" w:cstheme="minorHAnsi"/>
          <w:color w:val="000000"/>
          <w:sz w:val="22"/>
          <w:szCs w:val="22"/>
        </w:rPr>
        <w:t xml:space="preserve"> tends to produce the reaction of turning back to national law rather than considering a uniform meaning</w:t>
      </w:r>
      <w:r w:rsidR="00BD350E" w:rsidRPr="00001F7B">
        <w:rPr>
          <w:rFonts w:eastAsia="Arial" w:cstheme="minorHAnsi"/>
          <w:color w:val="000000"/>
          <w:sz w:val="22"/>
          <w:szCs w:val="22"/>
        </w:rPr>
        <w:t>, in effect treating these as external gaps</w:t>
      </w:r>
      <w:r w:rsidR="006075BA" w:rsidRPr="00001F7B">
        <w:rPr>
          <w:rFonts w:eastAsia="Arial" w:cstheme="minorHAnsi"/>
          <w:color w:val="000000"/>
          <w:sz w:val="22"/>
          <w:szCs w:val="22"/>
        </w:rPr>
        <w:t>.</w:t>
      </w:r>
      <w:r w:rsidR="00A8599C" w:rsidRPr="00001F7B">
        <w:rPr>
          <w:rFonts w:eastAsia="Arial" w:cstheme="minorHAnsi"/>
          <w:color w:val="000000"/>
          <w:sz w:val="22"/>
          <w:szCs w:val="22"/>
        </w:rPr>
        <w:t xml:space="preserve"> </w:t>
      </w:r>
      <w:r w:rsidR="00571604" w:rsidRPr="00001F7B">
        <w:rPr>
          <w:rFonts w:eastAsia="Arial" w:cstheme="minorHAnsi"/>
          <w:color w:val="000000"/>
          <w:sz w:val="22"/>
          <w:szCs w:val="22"/>
        </w:rPr>
        <w:t xml:space="preserve">A classic example is determining the meaning of </w:t>
      </w:r>
      <w:r w:rsidR="00564BD5" w:rsidRPr="00001F7B">
        <w:rPr>
          <w:rFonts w:eastAsia="Arial" w:cstheme="minorHAnsi"/>
          <w:color w:val="000000"/>
          <w:sz w:val="22"/>
          <w:szCs w:val="22"/>
        </w:rPr>
        <w:t>‘</w:t>
      </w:r>
      <w:r w:rsidR="00571604" w:rsidRPr="00001F7B">
        <w:rPr>
          <w:rFonts w:eastAsia="Arial" w:cstheme="minorHAnsi"/>
          <w:color w:val="000000"/>
          <w:sz w:val="22"/>
          <w:szCs w:val="22"/>
        </w:rPr>
        <w:t>contract of carriage</w:t>
      </w:r>
      <w:r w:rsidR="00564BD5" w:rsidRPr="00001F7B">
        <w:rPr>
          <w:rFonts w:eastAsia="Arial" w:cstheme="minorHAnsi"/>
          <w:color w:val="000000"/>
          <w:sz w:val="22"/>
          <w:szCs w:val="22"/>
        </w:rPr>
        <w:t>’</w:t>
      </w:r>
      <w:r w:rsidR="00571604" w:rsidRPr="00001F7B">
        <w:rPr>
          <w:rFonts w:eastAsia="Arial" w:cstheme="minorHAnsi"/>
          <w:color w:val="000000"/>
          <w:sz w:val="22"/>
          <w:szCs w:val="22"/>
        </w:rPr>
        <w:t xml:space="preserve"> where </w:t>
      </w:r>
      <w:r w:rsidR="00564BD5" w:rsidRPr="00001F7B">
        <w:rPr>
          <w:rFonts w:eastAsia="Arial" w:cstheme="minorHAnsi"/>
          <w:color w:val="000000"/>
          <w:sz w:val="22"/>
          <w:szCs w:val="22"/>
        </w:rPr>
        <w:t>referring</w:t>
      </w:r>
      <w:r w:rsidR="00571604" w:rsidRPr="00001F7B">
        <w:rPr>
          <w:rFonts w:eastAsia="Arial" w:cstheme="minorHAnsi"/>
          <w:color w:val="000000"/>
          <w:sz w:val="22"/>
          <w:szCs w:val="22"/>
        </w:rPr>
        <w:t xml:space="preserve"> back to national law is commonly used to determine the classification of a contract as </w:t>
      </w:r>
      <w:r w:rsidR="00564BD5" w:rsidRPr="00001F7B">
        <w:rPr>
          <w:rFonts w:eastAsia="Arial" w:cstheme="minorHAnsi"/>
          <w:color w:val="000000"/>
          <w:sz w:val="22"/>
          <w:szCs w:val="22"/>
        </w:rPr>
        <w:t xml:space="preserve">being </w:t>
      </w:r>
      <w:r w:rsidR="00571604" w:rsidRPr="00001F7B">
        <w:rPr>
          <w:rFonts w:eastAsia="Arial" w:cstheme="minorHAnsi"/>
          <w:color w:val="000000"/>
          <w:sz w:val="22"/>
          <w:szCs w:val="22"/>
        </w:rPr>
        <w:t>for carriage or for forwarding or as a charter contract.</w:t>
      </w:r>
      <w:r w:rsidR="00B129AF" w:rsidRPr="00001F7B">
        <w:rPr>
          <w:rFonts w:eastAsia="Arial" w:cstheme="minorHAnsi"/>
          <w:color w:val="000000"/>
          <w:sz w:val="22"/>
          <w:szCs w:val="22"/>
        </w:rPr>
        <w:t xml:space="preserve"> For </w:t>
      </w:r>
      <w:proofErr w:type="spellStart"/>
      <w:r w:rsidR="00B129AF" w:rsidRPr="00001F7B">
        <w:rPr>
          <w:rFonts w:eastAsia="Arial" w:cstheme="minorHAnsi"/>
          <w:color w:val="000000"/>
          <w:sz w:val="22"/>
          <w:szCs w:val="22"/>
        </w:rPr>
        <w:t>Verheyen</w:t>
      </w:r>
      <w:proofErr w:type="spellEnd"/>
      <w:r w:rsidR="00B129AF" w:rsidRPr="00001F7B">
        <w:rPr>
          <w:rFonts w:eastAsia="Arial" w:cstheme="minorHAnsi"/>
          <w:color w:val="000000"/>
          <w:sz w:val="22"/>
          <w:szCs w:val="22"/>
        </w:rPr>
        <w:t>,</w:t>
      </w:r>
      <w:r w:rsidR="00CC7983" w:rsidRPr="00001F7B">
        <w:rPr>
          <w:rStyle w:val="FootnoteReference"/>
          <w:rFonts w:eastAsia="Arial" w:cstheme="minorHAnsi"/>
          <w:color w:val="000000"/>
          <w:sz w:val="22"/>
          <w:szCs w:val="22"/>
        </w:rPr>
        <w:footnoteReference w:id="293"/>
      </w:r>
      <w:r w:rsidR="00B129AF" w:rsidRPr="00001F7B">
        <w:rPr>
          <w:rFonts w:eastAsia="Arial" w:cstheme="minorHAnsi"/>
          <w:color w:val="000000"/>
          <w:sz w:val="22"/>
          <w:szCs w:val="22"/>
        </w:rPr>
        <w:t xml:space="preserve"> this could be a sign that international uniformity on the definition of a carriage contract is lacking</w:t>
      </w:r>
      <w:r w:rsidR="00564BD5" w:rsidRPr="00001F7B">
        <w:rPr>
          <w:rFonts w:eastAsia="Arial" w:cstheme="minorHAnsi"/>
          <w:color w:val="000000"/>
          <w:sz w:val="22"/>
          <w:szCs w:val="22"/>
        </w:rPr>
        <w:t xml:space="preserve"> and</w:t>
      </w:r>
      <w:r w:rsidR="0056475B" w:rsidRPr="00001F7B">
        <w:rPr>
          <w:rFonts w:eastAsia="Arial" w:cstheme="minorHAnsi"/>
          <w:color w:val="000000"/>
          <w:sz w:val="22"/>
          <w:szCs w:val="22"/>
        </w:rPr>
        <w:t xml:space="preserve"> he</w:t>
      </w:r>
      <w:r w:rsidR="00564BD5" w:rsidRPr="00001F7B">
        <w:rPr>
          <w:rFonts w:eastAsia="Arial" w:cstheme="minorHAnsi"/>
          <w:color w:val="000000"/>
          <w:sz w:val="22"/>
          <w:szCs w:val="22"/>
        </w:rPr>
        <w:t xml:space="preserve"> sees t</w:t>
      </w:r>
      <w:r w:rsidR="00BD2A99" w:rsidRPr="00001F7B">
        <w:rPr>
          <w:rFonts w:eastAsia="Arial" w:cstheme="minorHAnsi"/>
          <w:color w:val="000000"/>
          <w:sz w:val="22"/>
          <w:szCs w:val="22"/>
        </w:rPr>
        <w:t>he irony that the application of national law in this context has often led to the application of CMR</w:t>
      </w:r>
      <w:r w:rsidR="00564BD5" w:rsidRPr="00001F7B">
        <w:rPr>
          <w:rFonts w:eastAsia="Arial" w:cstheme="minorHAnsi"/>
          <w:color w:val="000000"/>
          <w:sz w:val="22"/>
          <w:szCs w:val="22"/>
        </w:rPr>
        <w:t>.</w:t>
      </w:r>
      <w:r w:rsidR="00BE0E43" w:rsidRPr="00001F7B">
        <w:rPr>
          <w:rFonts w:eastAsia="Arial" w:cstheme="minorHAnsi"/>
          <w:color w:val="000000"/>
          <w:sz w:val="22"/>
          <w:szCs w:val="22"/>
        </w:rPr>
        <w:t xml:space="preserve"> </w:t>
      </w:r>
      <w:r w:rsidR="00564BD5" w:rsidRPr="00001F7B">
        <w:rPr>
          <w:rFonts w:eastAsia="Arial" w:cstheme="minorHAnsi"/>
          <w:color w:val="000000"/>
          <w:sz w:val="22"/>
          <w:szCs w:val="22"/>
        </w:rPr>
        <w:t>G</w:t>
      </w:r>
      <w:r w:rsidR="00BE0E43" w:rsidRPr="00001F7B">
        <w:rPr>
          <w:rFonts w:eastAsia="Arial" w:cstheme="minorHAnsi"/>
          <w:color w:val="000000"/>
          <w:sz w:val="22"/>
          <w:szCs w:val="22"/>
        </w:rPr>
        <w:t>iven the lack of guidance from CMR</w:t>
      </w:r>
      <w:r w:rsidR="00564BD5" w:rsidRPr="00001F7B">
        <w:rPr>
          <w:rFonts w:eastAsia="Arial" w:cstheme="minorHAnsi"/>
          <w:color w:val="000000"/>
          <w:sz w:val="22"/>
          <w:szCs w:val="22"/>
        </w:rPr>
        <w:t>,</w:t>
      </w:r>
      <w:r w:rsidR="00BE0E43" w:rsidRPr="00001F7B">
        <w:rPr>
          <w:rFonts w:eastAsia="Arial" w:cstheme="minorHAnsi"/>
          <w:color w:val="000000"/>
          <w:sz w:val="22"/>
          <w:szCs w:val="22"/>
        </w:rPr>
        <w:t xml:space="preserve"> </w:t>
      </w:r>
      <w:r w:rsidR="00ED4362" w:rsidRPr="00001F7B">
        <w:rPr>
          <w:rFonts w:eastAsia="Arial" w:cstheme="minorHAnsi"/>
          <w:color w:val="000000"/>
          <w:sz w:val="22"/>
          <w:szCs w:val="22"/>
        </w:rPr>
        <w:t xml:space="preserve">adopting an </w:t>
      </w:r>
      <w:r w:rsidR="00BE0E43" w:rsidRPr="00001F7B">
        <w:rPr>
          <w:rFonts w:eastAsia="Arial" w:cstheme="minorHAnsi"/>
          <w:color w:val="000000"/>
          <w:sz w:val="22"/>
          <w:szCs w:val="22"/>
        </w:rPr>
        <w:t>autonom</w:t>
      </w:r>
      <w:r w:rsidR="00ED4362" w:rsidRPr="00001F7B">
        <w:rPr>
          <w:rFonts w:eastAsia="Arial" w:cstheme="minorHAnsi"/>
          <w:color w:val="000000"/>
          <w:sz w:val="22"/>
          <w:szCs w:val="22"/>
        </w:rPr>
        <w:t>ous approach</w:t>
      </w:r>
      <w:r w:rsidR="00BE0E43" w:rsidRPr="00001F7B">
        <w:rPr>
          <w:rFonts w:eastAsia="Arial" w:cstheme="minorHAnsi"/>
          <w:color w:val="000000"/>
          <w:sz w:val="22"/>
          <w:szCs w:val="22"/>
        </w:rPr>
        <w:t xml:space="preserve"> might give a wider </w:t>
      </w:r>
      <w:r w:rsidR="00D225CA" w:rsidRPr="00001F7B">
        <w:rPr>
          <w:rFonts w:eastAsia="Arial" w:cstheme="minorHAnsi"/>
          <w:color w:val="000000"/>
          <w:sz w:val="22"/>
          <w:szCs w:val="22"/>
        </w:rPr>
        <w:t xml:space="preserve">discretion to a court to depart from </w:t>
      </w:r>
      <w:r w:rsidR="00564BD5" w:rsidRPr="00001F7B">
        <w:rPr>
          <w:rFonts w:eastAsia="Arial" w:cstheme="minorHAnsi"/>
          <w:color w:val="000000"/>
          <w:sz w:val="22"/>
          <w:szCs w:val="22"/>
        </w:rPr>
        <w:t xml:space="preserve">such </w:t>
      </w:r>
      <w:r w:rsidR="00D225CA" w:rsidRPr="00001F7B">
        <w:rPr>
          <w:rFonts w:eastAsia="Arial" w:cstheme="minorHAnsi"/>
          <w:color w:val="000000"/>
          <w:sz w:val="22"/>
          <w:szCs w:val="22"/>
        </w:rPr>
        <w:t xml:space="preserve">a national law approach </w:t>
      </w:r>
      <w:r w:rsidR="00ED4362" w:rsidRPr="00001F7B">
        <w:rPr>
          <w:rFonts w:eastAsia="Arial" w:cstheme="minorHAnsi"/>
          <w:color w:val="000000"/>
          <w:sz w:val="22"/>
          <w:szCs w:val="22"/>
        </w:rPr>
        <w:t>potentially resulting in</w:t>
      </w:r>
      <w:r w:rsidR="00BE0E43" w:rsidRPr="00001F7B">
        <w:rPr>
          <w:rFonts w:eastAsia="Arial" w:cstheme="minorHAnsi"/>
          <w:color w:val="000000"/>
          <w:sz w:val="22"/>
          <w:szCs w:val="22"/>
        </w:rPr>
        <w:t xml:space="preserve"> less uniformity.</w:t>
      </w:r>
      <w:r w:rsidR="00CC7983" w:rsidRPr="00001F7B">
        <w:rPr>
          <w:rStyle w:val="FootnoteReference"/>
          <w:rFonts w:eastAsia="Arial" w:cstheme="minorHAnsi"/>
          <w:color w:val="000000"/>
          <w:sz w:val="22"/>
          <w:szCs w:val="22"/>
        </w:rPr>
        <w:footnoteReference w:id="294"/>
      </w:r>
      <w:r w:rsidR="00BE0E43" w:rsidRPr="00001F7B">
        <w:rPr>
          <w:rFonts w:eastAsia="Arial" w:cstheme="minorHAnsi"/>
          <w:color w:val="000000"/>
          <w:sz w:val="22"/>
          <w:szCs w:val="22"/>
        </w:rPr>
        <w:t xml:space="preserve"> </w:t>
      </w:r>
    </w:p>
    <w:p w14:paraId="6BFF9C1E" w14:textId="77777777" w:rsidR="00C21F74" w:rsidRPr="00001F7B" w:rsidRDefault="00C21F74" w:rsidP="00001F7B">
      <w:pPr>
        <w:pStyle w:val="FootnoteText"/>
        <w:rPr>
          <w:rFonts w:eastAsia="Arial" w:cstheme="minorHAnsi"/>
          <w:color w:val="000000"/>
          <w:sz w:val="22"/>
          <w:szCs w:val="22"/>
        </w:rPr>
      </w:pPr>
    </w:p>
    <w:p w14:paraId="65D962F4" w14:textId="4835077B" w:rsidR="00A84AA9" w:rsidRPr="00001F7B" w:rsidRDefault="003D3379" w:rsidP="00001F7B">
      <w:pPr>
        <w:pStyle w:val="FootnoteText"/>
        <w:rPr>
          <w:rFonts w:eastAsia="Arial" w:cstheme="minorHAnsi"/>
          <w:color w:val="000000"/>
          <w:sz w:val="22"/>
          <w:szCs w:val="22"/>
        </w:rPr>
      </w:pPr>
      <w:r w:rsidRPr="00001F7B">
        <w:rPr>
          <w:rFonts w:eastAsia="Arial" w:cstheme="minorHAnsi"/>
          <w:color w:val="000000"/>
          <w:sz w:val="22"/>
          <w:szCs w:val="22"/>
        </w:rPr>
        <w:t xml:space="preserve">Not all cases </w:t>
      </w:r>
      <w:r w:rsidR="00564BD5" w:rsidRPr="00001F7B">
        <w:rPr>
          <w:rFonts w:eastAsia="Arial" w:cstheme="minorHAnsi"/>
          <w:color w:val="000000"/>
          <w:sz w:val="22"/>
          <w:szCs w:val="22"/>
        </w:rPr>
        <w:t>on this issue</w:t>
      </w:r>
      <w:r w:rsidRPr="00001F7B">
        <w:rPr>
          <w:rFonts w:eastAsia="Arial" w:cstheme="minorHAnsi"/>
          <w:color w:val="000000"/>
          <w:sz w:val="22"/>
          <w:szCs w:val="22"/>
        </w:rPr>
        <w:t xml:space="preserve"> have applied national law</w:t>
      </w:r>
      <w:r w:rsidR="0031446D" w:rsidRPr="00001F7B">
        <w:rPr>
          <w:rFonts w:eastAsia="Arial" w:cstheme="minorHAnsi"/>
          <w:color w:val="000000"/>
          <w:sz w:val="22"/>
          <w:szCs w:val="22"/>
        </w:rPr>
        <w:t>.</w:t>
      </w:r>
      <w:r w:rsidRPr="00001F7B">
        <w:rPr>
          <w:rFonts w:eastAsia="Arial" w:cstheme="minorHAnsi"/>
          <w:color w:val="000000"/>
          <w:sz w:val="22"/>
          <w:szCs w:val="22"/>
        </w:rPr>
        <w:t xml:space="preserve"> The German</w:t>
      </w:r>
      <w:r w:rsidR="005B5724" w:rsidRPr="00001F7B">
        <w:rPr>
          <w:rFonts w:eastAsia="Arial" w:cstheme="minorHAnsi"/>
          <w:color w:val="000000"/>
          <w:sz w:val="22"/>
          <w:szCs w:val="22"/>
        </w:rPr>
        <w:t xml:space="preserve"> Supreme Court</w:t>
      </w:r>
      <w:r w:rsidRPr="00001F7B">
        <w:rPr>
          <w:rFonts w:eastAsia="Arial" w:cstheme="minorHAnsi"/>
          <w:color w:val="000000"/>
          <w:sz w:val="22"/>
          <w:szCs w:val="22"/>
        </w:rPr>
        <w:t xml:space="preserve"> has held that the issue of classification of</w:t>
      </w:r>
      <w:r w:rsidR="005B5724" w:rsidRPr="00001F7B">
        <w:rPr>
          <w:rFonts w:eastAsia="Arial" w:cstheme="minorHAnsi"/>
          <w:color w:val="000000"/>
          <w:sz w:val="22"/>
          <w:szCs w:val="22"/>
        </w:rPr>
        <w:t xml:space="preserve"> a</w:t>
      </w:r>
      <w:r w:rsidRPr="00001F7B">
        <w:rPr>
          <w:rFonts w:eastAsia="Arial" w:cstheme="minorHAnsi"/>
          <w:color w:val="000000"/>
          <w:sz w:val="22"/>
          <w:szCs w:val="22"/>
        </w:rPr>
        <w:t xml:space="preserve"> forwarder’s contract is a matter for the autonomous interpretation of CMR.</w:t>
      </w:r>
      <w:r w:rsidRPr="00001F7B">
        <w:rPr>
          <w:rStyle w:val="FootnoteReference"/>
          <w:rFonts w:eastAsia="Arial" w:cstheme="minorHAnsi"/>
          <w:color w:val="000000"/>
          <w:sz w:val="22"/>
          <w:szCs w:val="22"/>
        </w:rPr>
        <w:footnoteReference w:id="295"/>
      </w:r>
      <w:r w:rsidR="00394123" w:rsidRPr="00001F7B">
        <w:rPr>
          <w:rFonts w:eastAsia="Arial" w:cstheme="minorHAnsi"/>
          <w:color w:val="000000"/>
          <w:sz w:val="22"/>
          <w:szCs w:val="22"/>
        </w:rPr>
        <w:t xml:space="preserve"> </w:t>
      </w:r>
      <w:r w:rsidR="005B5724" w:rsidRPr="00001F7B">
        <w:rPr>
          <w:rFonts w:eastAsia="Arial" w:cstheme="minorHAnsi"/>
          <w:color w:val="000000"/>
          <w:sz w:val="22"/>
          <w:szCs w:val="22"/>
        </w:rPr>
        <w:t>T</w:t>
      </w:r>
      <w:r w:rsidR="00D225CA" w:rsidRPr="00001F7B">
        <w:rPr>
          <w:rFonts w:eastAsia="Arial" w:cstheme="minorHAnsi"/>
          <w:color w:val="000000"/>
          <w:sz w:val="22"/>
          <w:szCs w:val="22"/>
        </w:rPr>
        <w:t xml:space="preserve">he factor of fixed cost forwarding </w:t>
      </w:r>
      <w:r w:rsidR="00AD459B" w:rsidRPr="00001F7B">
        <w:rPr>
          <w:rFonts w:eastAsia="Arial" w:cstheme="minorHAnsi"/>
          <w:color w:val="000000"/>
          <w:sz w:val="22"/>
          <w:szCs w:val="22"/>
        </w:rPr>
        <w:t xml:space="preserve">emphasised by the court </w:t>
      </w:r>
      <w:r w:rsidR="00D225CA" w:rsidRPr="00001F7B">
        <w:rPr>
          <w:rFonts w:eastAsia="Arial" w:cstheme="minorHAnsi"/>
          <w:color w:val="000000"/>
          <w:sz w:val="22"/>
          <w:szCs w:val="22"/>
        </w:rPr>
        <w:t xml:space="preserve">is a </w:t>
      </w:r>
      <w:r w:rsidR="00ED4362" w:rsidRPr="00001F7B">
        <w:rPr>
          <w:rFonts w:eastAsia="Arial" w:cstheme="minorHAnsi"/>
          <w:color w:val="000000"/>
          <w:sz w:val="22"/>
          <w:szCs w:val="22"/>
        </w:rPr>
        <w:t xml:space="preserve">common factor used by </w:t>
      </w:r>
      <w:r w:rsidR="00F44EDE" w:rsidRPr="00001F7B">
        <w:rPr>
          <w:rFonts w:eastAsia="Arial" w:cstheme="minorHAnsi"/>
          <w:color w:val="000000"/>
          <w:sz w:val="22"/>
          <w:szCs w:val="22"/>
        </w:rPr>
        <w:t>CMR</w:t>
      </w:r>
      <w:r w:rsidR="001C3805" w:rsidRPr="00001F7B">
        <w:rPr>
          <w:rFonts w:eastAsia="Arial" w:cstheme="minorHAnsi"/>
          <w:color w:val="000000"/>
          <w:sz w:val="22"/>
          <w:szCs w:val="22"/>
        </w:rPr>
        <w:t xml:space="preserve"> </w:t>
      </w:r>
      <w:r w:rsidR="00ED4362" w:rsidRPr="00001F7B">
        <w:rPr>
          <w:rFonts w:eastAsia="Arial" w:cstheme="minorHAnsi"/>
          <w:color w:val="000000"/>
          <w:sz w:val="22"/>
          <w:szCs w:val="22"/>
        </w:rPr>
        <w:t>courts</w:t>
      </w:r>
      <w:r w:rsidR="001C3805" w:rsidRPr="00001F7B">
        <w:rPr>
          <w:rFonts w:eastAsia="Arial" w:cstheme="minorHAnsi"/>
          <w:color w:val="000000"/>
          <w:sz w:val="22"/>
          <w:szCs w:val="22"/>
        </w:rPr>
        <w:t xml:space="preserve">. </w:t>
      </w:r>
      <w:r w:rsidR="0048617F">
        <w:rPr>
          <w:rFonts w:eastAsia="Arial" w:cstheme="minorHAnsi"/>
          <w:color w:val="000000"/>
          <w:sz w:val="22"/>
          <w:szCs w:val="22"/>
        </w:rPr>
        <w:t>Where the e</w:t>
      </w:r>
      <w:r w:rsidR="00BD4D45" w:rsidRPr="00001F7B">
        <w:rPr>
          <w:rFonts w:eastAsia="Arial" w:cstheme="minorHAnsi"/>
          <w:color w:val="000000"/>
          <w:sz w:val="22"/>
          <w:szCs w:val="22"/>
        </w:rPr>
        <w:t>ffort</w:t>
      </w:r>
      <w:r w:rsidR="0048617F">
        <w:rPr>
          <w:rFonts w:eastAsia="Arial" w:cstheme="minorHAnsi"/>
          <w:color w:val="000000"/>
          <w:sz w:val="22"/>
          <w:szCs w:val="22"/>
        </w:rPr>
        <w:t xml:space="preserve"> is</w:t>
      </w:r>
      <w:r w:rsidR="00BD4D45" w:rsidRPr="00001F7B">
        <w:rPr>
          <w:rFonts w:eastAsia="Arial" w:cstheme="minorHAnsi"/>
          <w:color w:val="000000"/>
          <w:sz w:val="22"/>
          <w:szCs w:val="22"/>
        </w:rPr>
        <w:t xml:space="preserve"> </w:t>
      </w:r>
      <w:r w:rsidR="0048617F">
        <w:rPr>
          <w:rFonts w:eastAsia="Arial" w:cstheme="minorHAnsi"/>
          <w:color w:val="000000"/>
          <w:sz w:val="22"/>
          <w:szCs w:val="22"/>
        </w:rPr>
        <w:t xml:space="preserve">made </w:t>
      </w:r>
      <w:r w:rsidR="00BD4D45" w:rsidRPr="00001F7B">
        <w:rPr>
          <w:rFonts w:eastAsia="Arial" w:cstheme="minorHAnsi"/>
          <w:color w:val="000000"/>
          <w:sz w:val="22"/>
          <w:szCs w:val="22"/>
        </w:rPr>
        <w:t xml:space="preserve">to identify common factors to enable an autonomous interpretation to be taken </w:t>
      </w:r>
      <w:r w:rsidR="0048617F">
        <w:rPr>
          <w:rFonts w:eastAsia="Arial" w:cstheme="minorHAnsi"/>
          <w:color w:val="000000"/>
          <w:sz w:val="22"/>
          <w:szCs w:val="22"/>
        </w:rPr>
        <w:t xml:space="preserve">then </w:t>
      </w:r>
      <w:r w:rsidR="00BD4D45" w:rsidRPr="00001F7B">
        <w:rPr>
          <w:rFonts w:eastAsia="Arial" w:cstheme="minorHAnsi"/>
          <w:color w:val="000000"/>
          <w:sz w:val="22"/>
          <w:szCs w:val="22"/>
        </w:rPr>
        <w:t xml:space="preserve">a dialogue </w:t>
      </w:r>
      <w:r w:rsidR="0048617F">
        <w:rPr>
          <w:rFonts w:eastAsia="Arial" w:cstheme="minorHAnsi"/>
          <w:color w:val="000000"/>
          <w:sz w:val="22"/>
          <w:szCs w:val="22"/>
        </w:rPr>
        <w:t xml:space="preserve">can be opened </w:t>
      </w:r>
      <w:r w:rsidR="00BD4D45" w:rsidRPr="00001F7B">
        <w:rPr>
          <w:rFonts w:eastAsia="Arial" w:cstheme="minorHAnsi"/>
          <w:color w:val="000000"/>
          <w:sz w:val="22"/>
          <w:szCs w:val="22"/>
        </w:rPr>
        <w:t>with other courts which in the longer term should lead to a common interpretation. At the very least</w:t>
      </w:r>
      <w:r w:rsidR="001C3805" w:rsidRPr="00001F7B">
        <w:rPr>
          <w:rFonts w:eastAsia="Arial" w:cstheme="minorHAnsi"/>
          <w:color w:val="000000"/>
          <w:sz w:val="22"/>
          <w:szCs w:val="22"/>
        </w:rPr>
        <w:t xml:space="preserve"> It ought generally to be possible for courts to appreciate when the factors it uses in its national law</w:t>
      </w:r>
      <w:r w:rsidR="00BD4D45" w:rsidRPr="00001F7B">
        <w:rPr>
          <w:rFonts w:eastAsia="Arial" w:cstheme="minorHAnsi"/>
          <w:color w:val="000000"/>
          <w:sz w:val="22"/>
          <w:szCs w:val="22"/>
        </w:rPr>
        <w:t xml:space="preserve"> are </w:t>
      </w:r>
      <w:r w:rsidR="005E1AB1" w:rsidRPr="00001F7B">
        <w:rPr>
          <w:rFonts w:eastAsia="Arial" w:cstheme="minorHAnsi"/>
          <w:color w:val="000000"/>
          <w:sz w:val="22"/>
          <w:szCs w:val="22"/>
        </w:rPr>
        <w:t>so</w:t>
      </w:r>
      <w:r w:rsidR="009A5435" w:rsidRPr="00001F7B">
        <w:rPr>
          <w:rFonts w:eastAsia="Arial" w:cstheme="minorHAnsi"/>
          <w:color w:val="000000"/>
          <w:sz w:val="22"/>
          <w:szCs w:val="22"/>
        </w:rPr>
        <w:t xml:space="preserve"> out of line with other </w:t>
      </w:r>
      <w:r w:rsidR="005E1AB1" w:rsidRPr="00001F7B">
        <w:rPr>
          <w:rFonts w:eastAsia="Arial" w:cstheme="minorHAnsi"/>
          <w:color w:val="000000"/>
          <w:sz w:val="22"/>
          <w:szCs w:val="22"/>
        </w:rPr>
        <w:t>CMR</w:t>
      </w:r>
      <w:r w:rsidR="009A5435" w:rsidRPr="00001F7B">
        <w:rPr>
          <w:rFonts w:eastAsia="Arial" w:cstheme="minorHAnsi"/>
          <w:color w:val="000000"/>
          <w:sz w:val="22"/>
          <w:szCs w:val="22"/>
        </w:rPr>
        <w:t xml:space="preserve"> courts </w:t>
      </w:r>
      <w:r w:rsidR="005E1AB1" w:rsidRPr="00001F7B">
        <w:rPr>
          <w:rFonts w:eastAsia="Arial" w:cstheme="minorHAnsi"/>
          <w:color w:val="000000"/>
          <w:sz w:val="22"/>
          <w:szCs w:val="22"/>
        </w:rPr>
        <w:t>as to seriously affect uniformity</w:t>
      </w:r>
      <w:r w:rsidR="0031446D" w:rsidRPr="00001F7B">
        <w:rPr>
          <w:rFonts w:eastAsia="Arial" w:cstheme="minorHAnsi"/>
          <w:color w:val="000000"/>
          <w:sz w:val="22"/>
          <w:szCs w:val="22"/>
        </w:rPr>
        <w:t>.</w:t>
      </w:r>
      <w:r w:rsidR="009A5435" w:rsidRPr="00001F7B">
        <w:rPr>
          <w:rFonts w:eastAsia="Arial" w:cstheme="minorHAnsi"/>
          <w:color w:val="000000"/>
          <w:sz w:val="22"/>
          <w:szCs w:val="22"/>
        </w:rPr>
        <w:t xml:space="preserve"> </w:t>
      </w:r>
      <w:r w:rsidR="0043485A" w:rsidRPr="00001F7B">
        <w:rPr>
          <w:rFonts w:eastAsia="Arial" w:cstheme="minorHAnsi"/>
          <w:color w:val="000000"/>
          <w:sz w:val="22"/>
          <w:szCs w:val="22"/>
        </w:rPr>
        <w:t xml:space="preserve">Arguably this would be the minimum required </w:t>
      </w:r>
      <w:r w:rsidR="00644490" w:rsidRPr="00001F7B">
        <w:rPr>
          <w:rFonts w:eastAsia="Arial" w:cstheme="minorHAnsi"/>
          <w:color w:val="000000"/>
          <w:sz w:val="22"/>
          <w:szCs w:val="22"/>
        </w:rPr>
        <w:t xml:space="preserve">in the </w:t>
      </w:r>
      <w:r w:rsidR="009A5435" w:rsidRPr="00001F7B">
        <w:rPr>
          <w:rFonts w:eastAsia="Arial" w:cstheme="minorHAnsi"/>
          <w:color w:val="000000"/>
          <w:sz w:val="22"/>
          <w:szCs w:val="22"/>
        </w:rPr>
        <w:t>un</w:t>
      </w:r>
      <w:r w:rsidR="0048617F">
        <w:rPr>
          <w:rFonts w:eastAsia="Arial" w:cstheme="minorHAnsi"/>
          <w:color w:val="000000"/>
          <w:sz w:val="22"/>
          <w:szCs w:val="22"/>
        </w:rPr>
        <w:t>i</w:t>
      </w:r>
      <w:r w:rsidR="009A5435" w:rsidRPr="00001F7B">
        <w:rPr>
          <w:rFonts w:eastAsia="Arial" w:cstheme="minorHAnsi"/>
          <w:color w:val="000000"/>
          <w:sz w:val="22"/>
          <w:szCs w:val="22"/>
        </w:rPr>
        <w:t xml:space="preserve">form </w:t>
      </w:r>
      <w:r w:rsidR="0056475B" w:rsidRPr="00001F7B">
        <w:rPr>
          <w:rFonts w:eastAsia="Arial" w:cstheme="minorHAnsi"/>
          <w:color w:val="000000"/>
          <w:sz w:val="22"/>
          <w:szCs w:val="22"/>
        </w:rPr>
        <w:t>version of</w:t>
      </w:r>
      <w:r w:rsidR="009A5435" w:rsidRPr="00001F7B">
        <w:rPr>
          <w:rFonts w:eastAsia="Arial" w:cstheme="minorHAnsi"/>
          <w:color w:val="000000"/>
          <w:sz w:val="22"/>
          <w:szCs w:val="22"/>
        </w:rPr>
        <w:t xml:space="preserve"> autonom</w:t>
      </w:r>
      <w:r w:rsidR="0031446D" w:rsidRPr="00001F7B">
        <w:rPr>
          <w:rFonts w:eastAsia="Arial" w:cstheme="minorHAnsi"/>
          <w:color w:val="000000"/>
          <w:sz w:val="22"/>
          <w:szCs w:val="22"/>
        </w:rPr>
        <w:t>y</w:t>
      </w:r>
      <w:r w:rsidR="00A84AA9" w:rsidRPr="00001F7B">
        <w:rPr>
          <w:rFonts w:eastAsia="Arial" w:cstheme="minorHAnsi"/>
          <w:color w:val="000000"/>
          <w:sz w:val="22"/>
          <w:szCs w:val="22"/>
        </w:rPr>
        <w:t>.</w:t>
      </w:r>
      <w:r w:rsidR="0031446D" w:rsidRPr="00001F7B">
        <w:rPr>
          <w:rStyle w:val="FootnoteReference"/>
          <w:rFonts w:eastAsia="Arial" w:cstheme="minorHAnsi"/>
          <w:color w:val="000000"/>
          <w:sz w:val="22"/>
          <w:szCs w:val="22"/>
        </w:rPr>
        <w:footnoteReference w:id="296"/>
      </w:r>
      <w:r w:rsidR="009A5435" w:rsidRPr="00001F7B">
        <w:rPr>
          <w:rFonts w:eastAsia="Arial" w:cstheme="minorHAnsi"/>
          <w:color w:val="000000"/>
          <w:sz w:val="22"/>
          <w:szCs w:val="22"/>
        </w:rPr>
        <w:t xml:space="preserve"> </w:t>
      </w:r>
      <w:r w:rsidR="00B86CBE" w:rsidRPr="00001F7B">
        <w:rPr>
          <w:rFonts w:eastAsia="Arial" w:cstheme="minorHAnsi"/>
          <w:color w:val="000000"/>
          <w:sz w:val="22"/>
          <w:szCs w:val="22"/>
        </w:rPr>
        <w:t xml:space="preserve">To refine this a little further the problem that </w:t>
      </w:r>
      <w:r w:rsidR="00A84AA9" w:rsidRPr="00001F7B">
        <w:rPr>
          <w:rFonts w:eastAsia="Arial" w:cstheme="minorHAnsi"/>
          <w:color w:val="000000"/>
          <w:sz w:val="22"/>
          <w:szCs w:val="22"/>
        </w:rPr>
        <w:t xml:space="preserve">arises in respect of </w:t>
      </w:r>
      <w:r w:rsidR="004771CB" w:rsidRPr="00001F7B">
        <w:rPr>
          <w:rFonts w:eastAsia="Arial" w:cstheme="minorHAnsi"/>
          <w:color w:val="000000"/>
          <w:sz w:val="22"/>
          <w:szCs w:val="22"/>
        </w:rPr>
        <w:t xml:space="preserve">procedural issues </w:t>
      </w:r>
      <w:r w:rsidR="00B86CBE" w:rsidRPr="00001F7B">
        <w:rPr>
          <w:rFonts w:eastAsia="Arial" w:cstheme="minorHAnsi"/>
          <w:color w:val="000000"/>
          <w:sz w:val="22"/>
          <w:szCs w:val="22"/>
        </w:rPr>
        <w:t xml:space="preserve">can </w:t>
      </w:r>
      <w:r w:rsidR="0043485A" w:rsidRPr="00001F7B">
        <w:rPr>
          <w:rFonts w:eastAsia="Arial" w:cstheme="minorHAnsi"/>
          <w:color w:val="000000"/>
          <w:sz w:val="22"/>
          <w:szCs w:val="22"/>
        </w:rPr>
        <w:t xml:space="preserve">be </w:t>
      </w:r>
      <w:r w:rsidR="00B86CBE" w:rsidRPr="00001F7B">
        <w:rPr>
          <w:rFonts w:eastAsia="Arial" w:cstheme="minorHAnsi"/>
          <w:color w:val="000000"/>
          <w:sz w:val="22"/>
          <w:szCs w:val="22"/>
        </w:rPr>
        <w:t>brought in here. F</w:t>
      </w:r>
      <w:r w:rsidR="004771CB" w:rsidRPr="00001F7B">
        <w:rPr>
          <w:rFonts w:eastAsia="Arial" w:cstheme="minorHAnsi"/>
          <w:color w:val="000000"/>
          <w:sz w:val="22"/>
          <w:szCs w:val="22"/>
        </w:rPr>
        <w:t>or</w:t>
      </w:r>
      <w:r w:rsidR="00B86CBE" w:rsidRPr="00001F7B">
        <w:rPr>
          <w:rFonts w:eastAsia="Arial" w:cstheme="minorHAnsi"/>
          <w:color w:val="000000"/>
          <w:sz w:val="22"/>
          <w:szCs w:val="22"/>
        </w:rPr>
        <w:t xml:space="preserve"> such issues</w:t>
      </w:r>
      <w:r w:rsidR="004771CB" w:rsidRPr="00001F7B">
        <w:rPr>
          <w:rFonts w:eastAsia="Arial" w:cstheme="minorHAnsi"/>
          <w:color w:val="000000"/>
          <w:sz w:val="22"/>
          <w:szCs w:val="22"/>
        </w:rPr>
        <w:t xml:space="preserve"> </w:t>
      </w:r>
      <w:r w:rsidR="00B86CBE" w:rsidRPr="00001F7B">
        <w:rPr>
          <w:rFonts w:eastAsia="Arial" w:cstheme="minorHAnsi"/>
          <w:color w:val="000000"/>
          <w:sz w:val="22"/>
          <w:szCs w:val="22"/>
        </w:rPr>
        <w:t xml:space="preserve">there would again be a natural tendency for </w:t>
      </w:r>
      <w:r w:rsidR="004771CB" w:rsidRPr="00001F7B">
        <w:rPr>
          <w:rFonts w:eastAsia="Arial" w:cstheme="minorHAnsi"/>
          <w:color w:val="000000"/>
          <w:sz w:val="22"/>
          <w:szCs w:val="22"/>
        </w:rPr>
        <w:t xml:space="preserve">a court </w:t>
      </w:r>
      <w:r w:rsidR="00B86CBE" w:rsidRPr="00001F7B">
        <w:rPr>
          <w:rFonts w:eastAsia="Arial" w:cstheme="minorHAnsi"/>
          <w:color w:val="000000"/>
          <w:sz w:val="22"/>
          <w:szCs w:val="22"/>
        </w:rPr>
        <w:t xml:space="preserve">to </w:t>
      </w:r>
      <w:r w:rsidR="004771CB" w:rsidRPr="00001F7B">
        <w:rPr>
          <w:rFonts w:eastAsia="Arial" w:cstheme="minorHAnsi"/>
          <w:color w:val="000000"/>
          <w:sz w:val="22"/>
          <w:szCs w:val="22"/>
        </w:rPr>
        <w:t>turn to its own law. Rules of procedure and evidence are normally seen as the province of national law. Even where e.g. CMR lays down rules regarding the burden of proof</w:t>
      </w:r>
      <w:r w:rsidR="00332AD6" w:rsidRPr="00001F7B">
        <w:rPr>
          <w:rFonts w:eastAsia="Arial" w:cstheme="minorHAnsi"/>
          <w:color w:val="000000"/>
          <w:sz w:val="22"/>
          <w:szCs w:val="22"/>
        </w:rPr>
        <w:t>, a court will naturally see the working out of the standard of proof as a matter</w:t>
      </w:r>
      <w:r w:rsidR="00BD350E" w:rsidRPr="00001F7B">
        <w:rPr>
          <w:rFonts w:eastAsia="Arial" w:cstheme="minorHAnsi"/>
          <w:color w:val="000000"/>
          <w:sz w:val="22"/>
          <w:szCs w:val="22"/>
        </w:rPr>
        <w:t xml:space="preserve"> f</w:t>
      </w:r>
      <w:r w:rsidR="00332AD6" w:rsidRPr="00001F7B">
        <w:rPr>
          <w:rFonts w:eastAsia="Arial" w:cstheme="minorHAnsi"/>
          <w:color w:val="000000"/>
          <w:sz w:val="22"/>
          <w:szCs w:val="22"/>
        </w:rPr>
        <w:t>or its own law.</w:t>
      </w:r>
      <w:r w:rsidR="00404869" w:rsidRPr="00001F7B">
        <w:rPr>
          <w:rStyle w:val="FootnoteReference"/>
          <w:rFonts w:eastAsia="Arial" w:cstheme="minorHAnsi"/>
          <w:color w:val="000000"/>
          <w:sz w:val="22"/>
          <w:szCs w:val="22"/>
        </w:rPr>
        <w:footnoteReference w:id="297"/>
      </w:r>
      <w:r w:rsidR="00AB4170" w:rsidRPr="00001F7B">
        <w:rPr>
          <w:rFonts w:eastAsia="Arial" w:cstheme="minorHAnsi"/>
          <w:color w:val="000000"/>
          <w:sz w:val="22"/>
          <w:szCs w:val="22"/>
        </w:rPr>
        <w:t xml:space="preserve"> Th</w:t>
      </w:r>
      <w:r w:rsidR="00DC209F" w:rsidRPr="00001F7B">
        <w:rPr>
          <w:rFonts w:eastAsia="Arial" w:cstheme="minorHAnsi"/>
          <w:color w:val="000000"/>
          <w:sz w:val="22"/>
          <w:szCs w:val="22"/>
        </w:rPr>
        <w:t xml:space="preserve">is reflects </w:t>
      </w:r>
      <w:r w:rsidR="007D2007" w:rsidRPr="00001F7B">
        <w:rPr>
          <w:rFonts w:eastAsia="Arial" w:cstheme="minorHAnsi"/>
          <w:color w:val="000000"/>
          <w:sz w:val="22"/>
          <w:szCs w:val="22"/>
        </w:rPr>
        <w:t>the</w:t>
      </w:r>
      <w:r w:rsidR="00AB4170" w:rsidRPr="00001F7B">
        <w:rPr>
          <w:rFonts w:eastAsia="Arial" w:cstheme="minorHAnsi"/>
          <w:color w:val="000000"/>
          <w:sz w:val="22"/>
          <w:szCs w:val="22"/>
        </w:rPr>
        <w:t xml:space="preserve"> difference between substance and procedure </w:t>
      </w:r>
      <w:r w:rsidR="00DC209F" w:rsidRPr="00001F7B">
        <w:rPr>
          <w:rFonts w:eastAsia="Arial" w:cstheme="minorHAnsi"/>
          <w:color w:val="000000"/>
          <w:sz w:val="22"/>
          <w:szCs w:val="22"/>
        </w:rPr>
        <w:t>which is</w:t>
      </w:r>
      <w:r w:rsidR="00AB4170" w:rsidRPr="00001F7B">
        <w:rPr>
          <w:rFonts w:eastAsia="Arial" w:cstheme="minorHAnsi"/>
          <w:color w:val="000000"/>
          <w:sz w:val="22"/>
          <w:szCs w:val="22"/>
        </w:rPr>
        <w:t xml:space="preserve"> well known</w:t>
      </w:r>
      <w:r w:rsidR="00B95368" w:rsidRPr="00001F7B">
        <w:rPr>
          <w:rFonts w:eastAsia="Arial" w:cstheme="minorHAnsi"/>
          <w:color w:val="000000"/>
          <w:sz w:val="22"/>
          <w:szCs w:val="22"/>
        </w:rPr>
        <w:t>, especially in the area of conflicts of laws,</w:t>
      </w:r>
      <w:r w:rsidR="00B95368" w:rsidRPr="00001F7B">
        <w:rPr>
          <w:rStyle w:val="FootnoteReference"/>
          <w:rFonts w:eastAsia="Arial" w:cstheme="minorHAnsi"/>
          <w:color w:val="000000"/>
          <w:sz w:val="22"/>
          <w:szCs w:val="22"/>
        </w:rPr>
        <w:footnoteReference w:id="298"/>
      </w:r>
      <w:r w:rsidR="00B86735" w:rsidRPr="00001F7B">
        <w:rPr>
          <w:rFonts w:eastAsia="Arial" w:cstheme="minorHAnsi"/>
          <w:color w:val="000000"/>
          <w:sz w:val="22"/>
          <w:szCs w:val="22"/>
        </w:rPr>
        <w:t xml:space="preserve"> </w:t>
      </w:r>
      <w:r w:rsidR="0047686E" w:rsidRPr="00001F7B">
        <w:rPr>
          <w:rFonts w:eastAsia="Arial" w:cstheme="minorHAnsi"/>
          <w:color w:val="000000"/>
          <w:sz w:val="22"/>
          <w:szCs w:val="22"/>
        </w:rPr>
        <w:t xml:space="preserve">and </w:t>
      </w:r>
      <w:r w:rsidR="00DC209F" w:rsidRPr="00001F7B">
        <w:rPr>
          <w:rFonts w:eastAsia="Arial" w:cstheme="minorHAnsi"/>
          <w:color w:val="000000"/>
          <w:sz w:val="22"/>
          <w:szCs w:val="22"/>
        </w:rPr>
        <w:t xml:space="preserve">is relevant </w:t>
      </w:r>
      <w:r w:rsidR="0047686E" w:rsidRPr="00001F7B">
        <w:rPr>
          <w:rFonts w:eastAsia="Arial" w:cstheme="minorHAnsi"/>
          <w:color w:val="000000"/>
          <w:sz w:val="22"/>
          <w:szCs w:val="22"/>
        </w:rPr>
        <w:t>to uniform law</w:t>
      </w:r>
      <w:r w:rsidR="00F02B2A" w:rsidRPr="00001F7B">
        <w:rPr>
          <w:rFonts w:eastAsia="Arial" w:cstheme="minorHAnsi"/>
          <w:color w:val="000000"/>
          <w:sz w:val="22"/>
          <w:szCs w:val="22"/>
        </w:rPr>
        <w:t>.</w:t>
      </w:r>
      <w:r w:rsidR="0047686E" w:rsidRPr="00001F7B">
        <w:rPr>
          <w:rStyle w:val="FootnoteReference"/>
          <w:rFonts w:eastAsia="Arial" w:cstheme="minorHAnsi"/>
          <w:color w:val="000000"/>
          <w:sz w:val="22"/>
          <w:szCs w:val="22"/>
        </w:rPr>
        <w:footnoteReference w:id="299"/>
      </w:r>
      <w:r w:rsidR="0047686E" w:rsidRPr="00001F7B">
        <w:rPr>
          <w:rFonts w:eastAsia="Arial" w:cstheme="minorHAnsi"/>
          <w:color w:val="000000"/>
          <w:sz w:val="22"/>
          <w:szCs w:val="22"/>
        </w:rPr>
        <w:t xml:space="preserve"> </w:t>
      </w:r>
      <w:r w:rsidR="00F02B2A" w:rsidRPr="00001F7B">
        <w:rPr>
          <w:rFonts w:eastAsia="Arial" w:cstheme="minorHAnsi"/>
          <w:color w:val="000000"/>
          <w:sz w:val="22"/>
          <w:szCs w:val="22"/>
        </w:rPr>
        <w:t xml:space="preserve"> It </w:t>
      </w:r>
      <w:r w:rsidR="00CC0922" w:rsidRPr="00001F7B">
        <w:rPr>
          <w:rFonts w:eastAsia="Arial" w:cstheme="minorHAnsi"/>
          <w:color w:val="000000"/>
          <w:sz w:val="22"/>
          <w:szCs w:val="22"/>
        </w:rPr>
        <w:t>is treated as relevant in the context of the C</w:t>
      </w:r>
      <w:r w:rsidR="00EE73BF" w:rsidRPr="00001F7B">
        <w:rPr>
          <w:rFonts w:eastAsia="Arial" w:cstheme="minorHAnsi"/>
          <w:color w:val="000000"/>
          <w:sz w:val="22"/>
          <w:szCs w:val="22"/>
        </w:rPr>
        <w:t>I</w:t>
      </w:r>
      <w:r w:rsidR="00CC0922" w:rsidRPr="00001F7B">
        <w:rPr>
          <w:rFonts w:eastAsia="Arial" w:cstheme="minorHAnsi"/>
          <w:color w:val="000000"/>
          <w:sz w:val="22"/>
          <w:szCs w:val="22"/>
        </w:rPr>
        <w:t>SG but with a degree of critical assessment, in part due to the difficulty of making the distinction</w:t>
      </w:r>
      <w:r w:rsidR="00DC209F" w:rsidRPr="00001F7B">
        <w:rPr>
          <w:rFonts w:eastAsia="Arial" w:cstheme="minorHAnsi"/>
          <w:color w:val="000000"/>
          <w:sz w:val="22"/>
          <w:szCs w:val="22"/>
        </w:rPr>
        <w:t>,</w:t>
      </w:r>
      <w:r w:rsidR="00CC0922" w:rsidRPr="00001F7B">
        <w:rPr>
          <w:rFonts w:eastAsia="Arial" w:cstheme="minorHAnsi"/>
          <w:color w:val="000000"/>
          <w:sz w:val="22"/>
          <w:szCs w:val="22"/>
        </w:rPr>
        <w:t xml:space="preserve"> </w:t>
      </w:r>
      <w:r w:rsidR="00AB4170" w:rsidRPr="00001F7B">
        <w:rPr>
          <w:rFonts w:eastAsia="Arial" w:cstheme="minorHAnsi"/>
          <w:color w:val="000000"/>
          <w:sz w:val="22"/>
          <w:szCs w:val="22"/>
        </w:rPr>
        <w:t xml:space="preserve">but </w:t>
      </w:r>
      <w:r w:rsidR="00CC0922" w:rsidRPr="00001F7B">
        <w:rPr>
          <w:rFonts w:eastAsia="Arial" w:cstheme="minorHAnsi"/>
          <w:color w:val="000000"/>
          <w:sz w:val="22"/>
          <w:szCs w:val="22"/>
        </w:rPr>
        <w:t xml:space="preserve">also in light of the potential to make inroads into uniformity and </w:t>
      </w:r>
      <w:r w:rsidR="005C018C" w:rsidRPr="00001F7B">
        <w:rPr>
          <w:rFonts w:eastAsia="Arial" w:cstheme="minorHAnsi"/>
          <w:color w:val="000000"/>
          <w:sz w:val="22"/>
          <w:szCs w:val="22"/>
        </w:rPr>
        <w:t xml:space="preserve">the </w:t>
      </w:r>
      <w:r w:rsidR="00CC0922" w:rsidRPr="00001F7B">
        <w:rPr>
          <w:rFonts w:eastAsia="Arial" w:cstheme="minorHAnsi"/>
          <w:color w:val="000000"/>
          <w:sz w:val="22"/>
          <w:szCs w:val="22"/>
        </w:rPr>
        <w:t xml:space="preserve">encouragement of forum shopping by classifying </w:t>
      </w:r>
      <w:r w:rsidR="00DC209F" w:rsidRPr="00001F7B">
        <w:rPr>
          <w:rFonts w:eastAsia="Arial" w:cstheme="minorHAnsi"/>
          <w:color w:val="000000"/>
          <w:sz w:val="22"/>
          <w:szCs w:val="22"/>
        </w:rPr>
        <w:t xml:space="preserve">an issue </w:t>
      </w:r>
      <w:r w:rsidR="00CC0922" w:rsidRPr="00001F7B">
        <w:rPr>
          <w:rFonts w:eastAsia="Arial" w:cstheme="minorHAnsi"/>
          <w:color w:val="000000"/>
          <w:sz w:val="22"/>
          <w:szCs w:val="22"/>
        </w:rPr>
        <w:t>a</w:t>
      </w:r>
      <w:r w:rsidR="00EE73BF" w:rsidRPr="00001F7B">
        <w:rPr>
          <w:rFonts w:eastAsia="Arial" w:cstheme="minorHAnsi"/>
          <w:color w:val="000000"/>
          <w:sz w:val="22"/>
          <w:szCs w:val="22"/>
        </w:rPr>
        <w:t>s procedural or evidential and applying the relevant rule of the forum.</w:t>
      </w:r>
      <w:r w:rsidR="00B86735" w:rsidRPr="00001F7B">
        <w:rPr>
          <w:rStyle w:val="FootnoteReference"/>
          <w:rFonts w:eastAsia="Arial" w:cstheme="minorHAnsi"/>
          <w:color w:val="000000"/>
          <w:sz w:val="22"/>
          <w:szCs w:val="22"/>
        </w:rPr>
        <w:footnoteReference w:id="300"/>
      </w:r>
      <w:r w:rsidR="00C35416" w:rsidRPr="00001F7B">
        <w:rPr>
          <w:rFonts w:eastAsia="Arial" w:cstheme="minorHAnsi"/>
          <w:color w:val="000000"/>
          <w:sz w:val="22"/>
          <w:szCs w:val="22"/>
        </w:rPr>
        <w:t xml:space="preserve"> Various tests are suggested but they are directed to the particular problems present by art 7 of CISG. In the context of CMR the uniform version of the autonomous approach could again do </w:t>
      </w:r>
      <w:r w:rsidR="00475F71" w:rsidRPr="00001F7B">
        <w:rPr>
          <w:rFonts w:eastAsia="Arial" w:cstheme="minorHAnsi"/>
          <w:color w:val="000000"/>
          <w:sz w:val="22"/>
          <w:szCs w:val="22"/>
        </w:rPr>
        <w:t xml:space="preserve">some </w:t>
      </w:r>
      <w:r w:rsidR="00C35416" w:rsidRPr="00001F7B">
        <w:rPr>
          <w:rFonts w:eastAsia="Arial" w:cstheme="minorHAnsi"/>
          <w:color w:val="000000"/>
          <w:sz w:val="22"/>
          <w:szCs w:val="22"/>
        </w:rPr>
        <w:t>service</w:t>
      </w:r>
      <w:r w:rsidR="006A6C9B" w:rsidRPr="00001F7B">
        <w:rPr>
          <w:rFonts w:eastAsia="Arial" w:cstheme="minorHAnsi"/>
          <w:color w:val="000000"/>
          <w:sz w:val="22"/>
          <w:szCs w:val="22"/>
        </w:rPr>
        <w:t xml:space="preserve">. Here, however a refinement drawn from the tests applied to CISG perhaps </w:t>
      </w:r>
      <w:r w:rsidR="00DC209F" w:rsidRPr="00001F7B">
        <w:rPr>
          <w:rFonts w:eastAsia="Arial" w:cstheme="minorHAnsi"/>
          <w:color w:val="000000"/>
          <w:sz w:val="22"/>
          <w:szCs w:val="22"/>
        </w:rPr>
        <w:t xml:space="preserve">gives more flavour to the uniform version. This involves an assessment of how far the application of the </w:t>
      </w:r>
      <w:r w:rsidR="00DC209F" w:rsidRPr="00001F7B">
        <w:rPr>
          <w:rFonts w:eastAsia="Arial" w:cstheme="minorHAnsi"/>
          <w:i/>
          <w:iCs/>
          <w:color w:val="000000"/>
          <w:sz w:val="22"/>
          <w:szCs w:val="22"/>
        </w:rPr>
        <w:t xml:space="preserve">lex </w:t>
      </w:r>
      <w:proofErr w:type="spellStart"/>
      <w:r w:rsidR="00DC209F" w:rsidRPr="00001F7B">
        <w:rPr>
          <w:rFonts w:eastAsia="Arial" w:cstheme="minorHAnsi"/>
          <w:i/>
          <w:iCs/>
          <w:color w:val="000000"/>
          <w:sz w:val="22"/>
          <w:szCs w:val="22"/>
        </w:rPr>
        <w:t>fori</w:t>
      </w:r>
      <w:proofErr w:type="spellEnd"/>
      <w:r w:rsidR="00DC209F" w:rsidRPr="00001F7B">
        <w:rPr>
          <w:rFonts w:eastAsia="Arial" w:cstheme="minorHAnsi"/>
          <w:color w:val="000000"/>
          <w:sz w:val="22"/>
          <w:szCs w:val="22"/>
        </w:rPr>
        <w:t xml:space="preserve"> is likely to lead </w:t>
      </w:r>
      <w:r w:rsidR="00424E92" w:rsidRPr="00001F7B">
        <w:rPr>
          <w:rFonts w:eastAsia="Arial" w:cstheme="minorHAnsi"/>
          <w:color w:val="000000"/>
          <w:sz w:val="22"/>
          <w:szCs w:val="22"/>
        </w:rPr>
        <w:t xml:space="preserve">to forum shopping. </w:t>
      </w:r>
      <w:r w:rsidR="00475F71" w:rsidRPr="00001F7B">
        <w:rPr>
          <w:rFonts w:eastAsia="Arial" w:cstheme="minorHAnsi"/>
          <w:color w:val="000000"/>
          <w:sz w:val="22"/>
          <w:szCs w:val="22"/>
        </w:rPr>
        <w:t>E.g.,</w:t>
      </w:r>
      <w:r w:rsidR="00424E92" w:rsidRPr="00001F7B">
        <w:rPr>
          <w:rFonts w:eastAsia="Arial" w:cstheme="minorHAnsi"/>
          <w:color w:val="000000"/>
          <w:sz w:val="22"/>
          <w:szCs w:val="22"/>
        </w:rPr>
        <w:t xml:space="preserve"> whether the </w:t>
      </w:r>
      <w:proofErr w:type="spellStart"/>
      <w:r w:rsidR="00424E92" w:rsidRPr="00001F7B">
        <w:rPr>
          <w:rFonts w:eastAsia="Arial" w:cstheme="minorHAnsi"/>
          <w:color w:val="000000"/>
          <w:sz w:val="22"/>
          <w:szCs w:val="22"/>
        </w:rPr>
        <w:t>parol</w:t>
      </w:r>
      <w:proofErr w:type="spellEnd"/>
      <w:r w:rsidR="00424E92" w:rsidRPr="00001F7B">
        <w:rPr>
          <w:rFonts w:eastAsia="Arial" w:cstheme="minorHAnsi"/>
          <w:color w:val="000000"/>
          <w:sz w:val="22"/>
          <w:szCs w:val="22"/>
        </w:rPr>
        <w:t xml:space="preserve"> evidence rule, especially as operated in the USA, should be applied in CISG cases has been a major </w:t>
      </w:r>
      <w:r w:rsidR="00475F71" w:rsidRPr="00001F7B">
        <w:rPr>
          <w:rFonts w:eastAsia="Arial" w:cstheme="minorHAnsi"/>
          <w:color w:val="000000"/>
          <w:sz w:val="22"/>
          <w:szCs w:val="22"/>
        </w:rPr>
        <w:t>issue</w:t>
      </w:r>
      <w:r w:rsidR="00424E92" w:rsidRPr="00001F7B">
        <w:rPr>
          <w:rFonts w:eastAsia="Arial" w:cstheme="minorHAnsi"/>
          <w:color w:val="000000"/>
          <w:sz w:val="22"/>
          <w:szCs w:val="22"/>
        </w:rPr>
        <w:t xml:space="preserve"> and eventually </w:t>
      </w:r>
      <w:r w:rsidR="00475F71" w:rsidRPr="00001F7B">
        <w:rPr>
          <w:rFonts w:eastAsia="Arial" w:cstheme="minorHAnsi"/>
          <w:color w:val="000000"/>
          <w:sz w:val="22"/>
          <w:szCs w:val="22"/>
        </w:rPr>
        <w:t xml:space="preserve">its use was </w:t>
      </w:r>
      <w:r w:rsidR="00424E92" w:rsidRPr="00001F7B">
        <w:rPr>
          <w:rFonts w:eastAsia="Arial" w:cstheme="minorHAnsi"/>
          <w:color w:val="000000"/>
          <w:sz w:val="22"/>
          <w:szCs w:val="22"/>
        </w:rPr>
        <w:t>abandoned in view of its rol</w:t>
      </w:r>
      <w:r w:rsidR="00475F71" w:rsidRPr="00001F7B">
        <w:rPr>
          <w:rFonts w:eastAsia="Arial" w:cstheme="minorHAnsi"/>
          <w:color w:val="000000"/>
          <w:sz w:val="22"/>
          <w:szCs w:val="22"/>
        </w:rPr>
        <w:t>e</w:t>
      </w:r>
      <w:r w:rsidR="00424E92" w:rsidRPr="00001F7B">
        <w:rPr>
          <w:rFonts w:eastAsia="Arial" w:cstheme="minorHAnsi"/>
          <w:color w:val="000000"/>
          <w:sz w:val="22"/>
          <w:szCs w:val="22"/>
        </w:rPr>
        <w:t xml:space="preserve"> in barring evidence rather than cutting off one route to evidence </w:t>
      </w:r>
      <w:r w:rsidR="00CC65D5" w:rsidRPr="00001F7B">
        <w:rPr>
          <w:rFonts w:eastAsia="Arial" w:cstheme="minorHAnsi"/>
          <w:color w:val="000000"/>
          <w:sz w:val="22"/>
          <w:szCs w:val="22"/>
        </w:rPr>
        <w:t>which could otherwise be introduced thus creating a major difference as between different national laws and, consequently</w:t>
      </w:r>
      <w:r w:rsidR="00D04132" w:rsidRPr="00001F7B">
        <w:rPr>
          <w:rFonts w:eastAsia="Arial" w:cstheme="minorHAnsi"/>
          <w:color w:val="000000"/>
          <w:sz w:val="22"/>
          <w:szCs w:val="22"/>
        </w:rPr>
        <w:t>,</w:t>
      </w:r>
      <w:r w:rsidR="00CC65D5" w:rsidRPr="00001F7B">
        <w:rPr>
          <w:rFonts w:eastAsia="Arial" w:cstheme="minorHAnsi"/>
          <w:color w:val="000000"/>
          <w:sz w:val="22"/>
          <w:szCs w:val="22"/>
        </w:rPr>
        <w:t xml:space="preserve"> an inducement to for</w:t>
      </w:r>
      <w:r w:rsidR="00D04132" w:rsidRPr="00001F7B">
        <w:rPr>
          <w:rFonts w:eastAsia="Arial" w:cstheme="minorHAnsi"/>
          <w:color w:val="000000"/>
          <w:sz w:val="22"/>
          <w:szCs w:val="22"/>
        </w:rPr>
        <w:t>u</w:t>
      </w:r>
      <w:r w:rsidR="00CC65D5" w:rsidRPr="00001F7B">
        <w:rPr>
          <w:rFonts w:eastAsia="Arial" w:cstheme="minorHAnsi"/>
          <w:color w:val="000000"/>
          <w:sz w:val="22"/>
          <w:szCs w:val="22"/>
        </w:rPr>
        <w:t>m shopping.</w:t>
      </w:r>
      <w:r w:rsidR="00CC65D5" w:rsidRPr="00001F7B">
        <w:rPr>
          <w:rStyle w:val="FootnoteReference"/>
          <w:rFonts w:eastAsia="Arial" w:cstheme="minorHAnsi"/>
          <w:color w:val="000000"/>
          <w:sz w:val="22"/>
          <w:szCs w:val="22"/>
        </w:rPr>
        <w:footnoteReference w:id="301"/>
      </w:r>
      <w:r w:rsidR="005C018C" w:rsidRPr="00001F7B">
        <w:rPr>
          <w:rFonts w:eastAsia="Arial" w:cstheme="minorHAnsi"/>
          <w:color w:val="000000"/>
          <w:sz w:val="22"/>
          <w:szCs w:val="22"/>
        </w:rPr>
        <w:t xml:space="preserve"> </w:t>
      </w:r>
    </w:p>
    <w:p w14:paraId="061A4D9D" w14:textId="77777777" w:rsidR="00D04132" w:rsidRPr="00001F7B" w:rsidRDefault="00D04132" w:rsidP="00001F7B">
      <w:pPr>
        <w:pStyle w:val="FootnoteText"/>
        <w:rPr>
          <w:rFonts w:eastAsia="Arial" w:cstheme="minorHAnsi"/>
          <w:color w:val="000000"/>
          <w:sz w:val="22"/>
          <w:szCs w:val="22"/>
        </w:rPr>
      </w:pPr>
    </w:p>
    <w:p w14:paraId="2F040AC8" w14:textId="65819D9A" w:rsidR="00D04132" w:rsidRPr="00001F7B" w:rsidRDefault="00D04132" w:rsidP="00001F7B">
      <w:pPr>
        <w:pStyle w:val="FootnoteText"/>
        <w:rPr>
          <w:rFonts w:eastAsia="Arial" w:cstheme="minorHAnsi"/>
          <w:color w:val="000000"/>
          <w:sz w:val="22"/>
          <w:szCs w:val="22"/>
        </w:rPr>
      </w:pPr>
      <w:r w:rsidRPr="00001F7B">
        <w:rPr>
          <w:rFonts w:eastAsia="Arial" w:cstheme="minorHAnsi"/>
          <w:color w:val="000000"/>
          <w:sz w:val="22"/>
          <w:szCs w:val="22"/>
        </w:rPr>
        <w:t xml:space="preserve">Further potential for the perception of gaps </w:t>
      </w:r>
      <w:r w:rsidR="005C018C" w:rsidRPr="00001F7B">
        <w:rPr>
          <w:rFonts w:eastAsia="Arial" w:cstheme="minorHAnsi"/>
          <w:color w:val="000000"/>
          <w:sz w:val="22"/>
          <w:szCs w:val="22"/>
        </w:rPr>
        <w:t xml:space="preserve">arises in respect of the parameters of </w:t>
      </w:r>
      <w:r w:rsidR="00E141CC" w:rsidRPr="00001F7B">
        <w:rPr>
          <w:rFonts w:eastAsia="Arial" w:cstheme="minorHAnsi"/>
          <w:color w:val="000000"/>
          <w:sz w:val="22"/>
          <w:szCs w:val="22"/>
        </w:rPr>
        <w:t xml:space="preserve">those </w:t>
      </w:r>
      <w:r w:rsidR="005C018C" w:rsidRPr="00001F7B">
        <w:rPr>
          <w:rFonts w:eastAsia="Arial" w:cstheme="minorHAnsi"/>
          <w:color w:val="000000"/>
          <w:sz w:val="22"/>
          <w:szCs w:val="22"/>
        </w:rPr>
        <w:t>rule</w:t>
      </w:r>
      <w:r w:rsidR="00E141CC" w:rsidRPr="00001F7B">
        <w:rPr>
          <w:rFonts w:eastAsia="Arial" w:cstheme="minorHAnsi"/>
          <w:color w:val="000000"/>
          <w:sz w:val="22"/>
          <w:szCs w:val="22"/>
        </w:rPr>
        <w:t xml:space="preserve">s </w:t>
      </w:r>
      <w:r w:rsidR="0087334B" w:rsidRPr="00001F7B">
        <w:rPr>
          <w:rFonts w:eastAsia="Arial" w:cstheme="minorHAnsi"/>
          <w:color w:val="000000"/>
          <w:sz w:val="22"/>
          <w:szCs w:val="22"/>
        </w:rPr>
        <w:t xml:space="preserve"> </w:t>
      </w:r>
      <w:r w:rsidR="005C018C" w:rsidRPr="00001F7B">
        <w:rPr>
          <w:rFonts w:eastAsia="Arial" w:cstheme="minorHAnsi"/>
          <w:color w:val="000000"/>
          <w:sz w:val="22"/>
          <w:szCs w:val="22"/>
        </w:rPr>
        <w:t xml:space="preserve"> governing core features of the </w:t>
      </w:r>
      <w:r w:rsidR="0087334B" w:rsidRPr="00001F7B">
        <w:rPr>
          <w:rFonts w:eastAsia="Arial" w:cstheme="minorHAnsi"/>
          <w:color w:val="000000"/>
          <w:sz w:val="22"/>
          <w:szCs w:val="22"/>
        </w:rPr>
        <w:t xml:space="preserve">remedial scheme of a convention such as CMR. Whether a particular loss or damage falls within the liability or compensation scheme often produces great tension where the scheme appears not to provide for or severely limits </w:t>
      </w:r>
      <w:r w:rsidR="0076138C" w:rsidRPr="00001F7B">
        <w:rPr>
          <w:rFonts w:eastAsia="Arial" w:cstheme="minorHAnsi"/>
          <w:color w:val="000000"/>
          <w:sz w:val="22"/>
          <w:szCs w:val="22"/>
        </w:rPr>
        <w:t>recovery. The temptation to resort to national law in the interest of justice can be considerable. It is a temptation that should be re</w:t>
      </w:r>
      <w:r w:rsidR="00222D7A" w:rsidRPr="00001F7B">
        <w:rPr>
          <w:rFonts w:eastAsia="Arial" w:cstheme="minorHAnsi"/>
          <w:color w:val="000000"/>
          <w:sz w:val="22"/>
          <w:szCs w:val="22"/>
        </w:rPr>
        <w:t>sisted</w:t>
      </w:r>
      <w:r w:rsidR="0076138C" w:rsidRPr="00001F7B">
        <w:rPr>
          <w:rFonts w:eastAsia="Arial" w:cstheme="minorHAnsi"/>
          <w:color w:val="000000"/>
          <w:sz w:val="22"/>
          <w:szCs w:val="22"/>
        </w:rPr>
        <w:t xml:space="preserve"> in favour of a </w:t>
      </w:r>
      <w:r w:rsidR="00222D7A" w:rsidRPr="00001F7B">
        <w:rPr>
          <w:rFonts w:eastAsia="Arial" w:cstheme="minorHAnsi"/>
          <w:color w:val="000000"/>
          <w:sz w:val="22"/>
          <w:szCs w:val="22"/>
        </w:rPr>
        <w:t>clear-eyed</w:t>
      </w:r>
      <w:r w:rsidR="0076138C" w:rsidRPr="00001F7B">
        <w:rPr>
          <w:rFonts w:eastAsia="Arial" w:cstheme="minorHAnsi"/>
          <w:color w:val="000000"/>
          <w:sz w:val="22"/>
          <w:szCs w:val="22"/>
        </w:rPr>
        <w:t xml:space="preserve"> understanding of the scheme otherwise the scheme is likely to be distorted leading to controversy and </w:t>
      </w:r>
      <w:proofErr w:type="spellStart"/>
      <w:r w:rsidR="0076138C" w:rsidRPr="00001F7B">
        <w:rPr>
          <w:rFonts w:eastAsia="Arial" w:cstheme="minorHAnsi"/>
          <w:color w:val="000000"/>
          <w:sz w:val="22"/>
          <w:szCs w:val="22"/>
        </w:rPr>
        <w:t>disuniformity</w:t>
      </w:r>
      <w:proofErr w:type="spellEnd"/>
      <w:r w:rsidR="0076138C" w:rsidRPr="00001F7B">
        <w:rPr>
          <w:rFonts w:eastAsia="Arial" w:cstheme="minorHAnsi"/>
          <w:color w:val="000000"/>
          <w:sz w:val="22"/>
          <w:szCs w:val="22"/>
        </w:rPr>
        <w:t xml:space="preserve">. </w:t>
      </w:r>
      <w:r w:rsidR="00EB2EED" w:rsidRPr="00001F7B">
        <w:rPr>
          <w:rFonts w:eastAsia="Arial" w:cstheme="minorHAnsi"/>
          <w:color w:val="000000"/>
          <w:sz w:val="22"/>
          <w:szCs w:val="22"/>
        </w:rPr>
        <w:t>Discussion of this aspect, in the context of the UK, is continued further in the Review of UK Law in the Annex Folder</w:t>
      </w:r>
      <w:r w:rsidR="00B973F6" w:rsidRPr="00001F7B">
        <w:rPr>
          <w:rFonts w:eastAsia="Arial" w:cstheme="minorHAnsi"/>
          <w:color w:val="000000"/>
          <w:sz w:val="22"/>
          <w:szCs w:val="22"/>
        </w:rPr>
        <w:t xml:space="preserve"> in part </w:t>
      </w:r>
      <w:r w:rsidR="00B973F6" w:rsidRPr="00001F7B">
        <w:rPr>
          <w:rFonts w:eastAsia="Arial" w:cstheme="minorHAnsi"/>
          <w:b/>
          <w:bCs/>
          <w:color w:val="000000"/>
          <w:sz w:val="22"/>
          <w:szCs w:val="22"/>
        </w:rPr>
        <w:t>4.1</w:t>
      </w:r>
      <w:r w:rsidR="00EB2EED" w:rsidRPr="00001F7B">
        <w:rPr>
          <w:rFonts w:eastAsia="Arial" w:cstheme="minorHAnsi"/>
          <w:color w:val="000000"/>
          <w:sz w:val="22"/>
          <w:szCs w:val="22"/>
        </w:rPr>
        <w:t>.</w:t>
      </w:r>
      <w:r w:rsidR="0076138C" w:rsidRPr="00001F7B">
        <w:rPr>
          <w:rFonts w:eastAsia="Arial" w:cstheme="minorHAnsi"/>
          <w:color w:val="000000"/>
          <w:sz w:val="22"/>
          <w:szCs w:val="22"/>
        </w:rPr>
        <w:t xml:space="preserve"> </w:t>
      </w:r>
      <w:r w:rsidR="00222D7A" w:rsidRPr="00001F7B">
        <w:rPr>
          <w:rFonts w:eastAsia="Arial" w:cstheme="minorHAnsi"/>
          <w:color w:val="000000"/>
          <w:sz w:val="22"/>
          <w:szCs w:val="22"/>
        </w:rPr>
        <w:t>The following case from Germany displays something of the challenge for the courts: In OLG Munich,</w:t>
      </w:r>
      <w:r w:rsidR="00222D7A" w:rsidRPr="00001F7B">
        <w:rPr>
          <w:rStyle w:val="FootnoteReference"/>
          <w:rFonts w:eastAsia="Arial" w:cstheme="minorHAnsi"/>
          <w:color w:val="000000"/>
          <w:sz w:val="22"/>
          <w:szCs w:val="22"/>
        </w:rPr>
        <w:footnoteReference w:id="302"/>
      </w:r>
      <w:r w:rsidR="00222D7A" w:rsidRPr="00001F7B">
        <w:rPr>
          <w:rFonts w:eastAsia="Arial" w:cstheme="minorHAnsi"/>
          <w:color w:val="000000"/>
          <w:sz w:val="22"/>
          <w:szCs w:val="22"/>
        </w:rPr>
        <w:t xml:space="preserve"> </w:t>
      </w:r>
      <w:r w:rsidR="00214541" w:rsidRPr="00001F7B">
        <w:rPr>
          <w:rFonts w:eastAsia="Arial" w:cstheme="minorHAnsi"/>
          <w:color w:val="000000"/>
          <w:sz w:val="22"/>
          <w:szCs w:val="22"/>
        </w:rPr>
        <w:t xml:space="preserve"> (discussed by Clarke) </w:t>
      </w:r>
      <w:r w:rsidR="00222D7A" w:rsidRPr="00001F7B">
        <w:rPr>
          <w:rFonts w:eastAsia="Arial" w:cstheme="minorHAnsi"/>
          <w:color w:val="000000"/>
          <w:sz w:val="22"/>
          <w:szCs w:val="22"/>
        </w:rPr>
        <w:t xml:space="preserve">the carrier promised the customer to check the temperature of plums on take over and, if they were </w:t>
      </w:r>
      <w:r w:rsidR="00B55325" w:rsidRPr="00001F7B">
        <w:rPr>
          <w:rFonts w:eastAsia="Arial" w:cstheme="minorHAnsi"/>
          <w:color w:val="000000"/>
          <w:sz w:val="22"/>
          <w:szCs w:val="22"/>
        </w:rPr>
        <w:t>5</w:t>
      </w:r>
      <w:r w:rsidR="00B55325" w:rsidRPr="00001F7B">
        <w:rPr>
          <w:rFonts w:eastAsia="Arial" w:cstheme="minorHAnsi"/>
          <w:color w:val="000000"/>
          <w:sz w:val="22"/>
          <w:szCs w:val="22"/>
          <w:vertAlign w:val="superscript"/>
        </w:rPr>
        <w:t>0</w:t>
      </w:r>
      <w:r w:rsidR="00B55325" w:rsidRPr="00001F7B">
        <w:rPr>
          <w:rFonts w:eastAsia="Arial" w:cstheme="minorHAnsi"/>
          <w:color w:val="000000"/>
          <w:sz w:val="22"/>
          <w:szCs w:val="22"/>
        </w:rPr>
        <w:t xml:space="preserve">C, to cease loading and obtain instructions. The carrier loaded the goods at a higher temperature and the plums arrived spoiled. </w:t>
      </w:r>
      <w:r w:rsidR="00B973F6" w:rsidRPr="00001F7B">
        <w:rPr>
          <w:rFonts w:eastAsia="Arial" w:cstheme="minorHAnsi"/>
          <w:color w:val="000000"/>
          <w:sz w:val="22"/>
          <w:szCs w:val="22"/>
        </w:rPr>
        <w:t xml:space="preserve">The court saw this loss as outside CMR and recoverable under national law. </w:t>
      </w:r>
      <w:r w:rsidR="00B55325" w:rsidRPr="00001F7B">
        <w:rPr>
          <w:rFonts w:eastAsia="Arial" w:cstheme="minorHAnsi"/>
          <w:color w:val="000000"/>
          <w:sz w:val="22"/>
          <w:szCs w:val="22"/>
        </w:rPr>
        <w:t>The deci</w:t>
      </w:r>
      <w:r w:rsidR="00B973F6" w:rsidRPr="00001F7B">
        <w:rPr>
          <w:rFonts w:eastAsia="Arial" w:cstheme="minorHAnsi"/>
          <w:color w:val="000000"/>
          <w:sz w:val="22"/>
          <w:szCs w:val="22"/>
        </w:rPr>
        <w:t xml:space="preserve">sion was based on </w:t>
      </w:r>
      <w:r w:rsidR="00B55325" w:rsidRPr="00001F7B">
        <w:rPr>
          <w:rFonts w:eastAsia="Arial" w:cstheme="minorHAnsi"/>
          <w:color w:val="000000"/>
          <w:sz w:val="22"/>
          <w:szCs w:val="22"/>
        </w:rPr>
        <w:t xml:space="preserve">two </w:t>
      </w:r>
      <w:r w:rsidR="00B973F6" w:rsidRPr="00001F7B">
        <w:rPr>
          <w:rFonts w:eastAsia="Arial" w:cstheme="minorHAnsi"/>
          <w:color w:val="000000"/>
          <w:sz w:val="22"/>
          <w:szCs w:val="22"/>
        </w:rPr>
        <w:t>grounds</w:t>
      </w:r>
      <w:r w:rsidR="00B55325" w:rsidRPr="00001F7B">
        <w:rPr>
          <w:rFonts w:eastAsia="Arial" w:cstheme="minorHAnsi"/>
          <w:color w:val="000000"/>
          <w:sz w:val="22"/>
          <w:szCs w:val="22"/>
        </w:rPr>
        <w:t xml:space="preserve">: 1 the damage occurred before take over, which Clarke finds doubtful and 2 that the contract was for the carriage of suitable goods and since these were not suitable and therefore not the contract goods </w:t>
      </w:r>
      <w:r w:rsidR="00E80F9B" w:rsidRPr="00001F7B">
        <w:rPr>
          <w:rFonts w:eastAsia="Arial" w:cstheme="minorHAnsi"/>
          <w:color w:val="000000"/>
          <w:sz w:val="22"/>
          <w:szCs w:val="22"/>
        </w:rPr>
        <w:t xml:space="preserve">this was a case of </w:t>
      </w:r>
      <w:r w:rsidR="00E80F9B" w:rsidRPr="00001F7B">
        <w:rPr>
          <w:rFonts w:eastAsia="Arial" w:cstheme="minorHAnsi"/>
          <w:i/>
          <w:iCs/>
          <w:color w:val="000000"/>
          <w:sz w:val="22"/>
          <w:szCs w:val="22"/>
        </w:rPr>
        <w:t xml:space="preserve">die </w:t>
      </w:r>
      <w:r w:rsidR="00C144AF">
        <w:rPr>
          <w:rFonts w:eastAsia="Arial" w:cstheme="minorHAnsi"/>
          <w:i/>
          <w:iCs/>
          <w:color w:val="000000"/>
          <w:sz w:val="22"/>
          <w:szCs w:val="22"/>
        </w:rPr>
        <w:t xml:space="preserve">positive </w:t>
      </w:r>
      <w:proofErr w:type="spellStart"/>
      <w:r w:rsidR="00E80F9B" w:rsidRPr="00001F7B">
        <w:rPr>
          <w:rFonts w:eastAsia="Arial" w:cstheme="minorHAnsi"/>
          <w:i/>
          <w:iCs/>
          <w:color w:val="000000"/>
          <w:sz w:val="22"/>
          <w:szCs w:val="22"/>
        </w:rPr>
        <w:t>Vertragsverletzung</w:t>
      </w:r>
      <w:proofErr w:type="spellEnd"/>
      <w:r w:rsidR="00E80F9B" w:rsidRPr="00001F7B">
        <w:rPr>
          <w:rFonts w:eastAsia="Arial" w:cstheme="minorHAnsi"/>
          <w:color w:val="000000"/>
          <w:sz w:val="22"/>
          <w:szCs w:val="22"/>
        </w:rPr>
        <w:t xml:space="preserve"> governed by national law and not CMR. It is an understandable decision but arguably distort</w:t>
      </w:r>
      <w:r w:rsidR="004973D6" w:rsidRPr="00001F7B">
        <w:rPr>
          <w:rFonts w:eastAsia="Arial" w:cstheme="minorHAnsi"/>
          <w:color w:val="000000"/>
          <w:sz w:val="22"/>
          <w:szCs w:val="22"/>
        </w:rPr>
        <w:t>s</w:t>
      </w:r>
      <w:r w:rsidR="00E80F9B" w:rsidRPr="00001F7B">
        <w:rPr>
          <w:rFonts w:eastAsia="Arial" w:cstheme="minorHAnsi"/>
          <w:color w:val="000000"/>
          <w:sz w:val="22"/>
          <w:szCs w:val="22"/>
        </w:rPr>
        <w:t xml:space="preserve"> the </w:t>
      </w:r>
      <w:r w:rsidR="004973D6" w:rsidRPr="00001F7B">
        <w:rPr>
          <w:rFonts w:eastAsia="Arial" w:cstheme="minorHAnsi"/>
          <w:color w:val="000000"/>
          <w:sz w:val="22"/>
          <w:szCs w:val="22"/>
        </w:rPr>
        <w:t xml:space="preserve">liability </w:t>
      </w:r>
      <w:r w:rsidR="00E80F9B" w:rsidRPr="00001F7B">
        <w:rPr>
          <w:rFonts w:eastAsia="Arial" w:cstheme="minorHAnsi"/>
          <w:color w:val="000000"/>
          <w:sz w:val="22"/>
          <w:szCs w:val="22"/>
        </w:rPr>
        <w:t>scheme</w:t>
      </w:r>
      <w:r w:rsidR="004973D6" w:rsidRPr="00001F7B">
        <w:rPr>
          <w:rFonts w:eastAsia="Arial" w:cstheme="minorHAnsi"/>
          <w:color w:val="000000"/>
          <w:sz w:val="22"/>
          <w:szCs w:val="22"/>
        </w:rPr>
        <w:t xml:space="preserve"> of CMR</w:t>
      </w:r>
      <w:r w:rsidR="00E80F9B" w:rsidRPr="00001F7B">
        <w:rPr>
          <w:rFonts w:eastAsia="Arial" w:cstheme="minorHAnsi"/>
          <w:color w:val="000000"/>
          <w:sz w:val="22"/>
          <w:szCs w:val="22"/>
        </w:rPr>
        <w:t>. The goods were physically the goods intended to be taken over</w:t>
      </w:r>
      <w:r w:rsidR="00B55325" w:rsidRPr="00001F7B">
        <w:rPr>
          <w:rFonts w:eastAsia="Arial" w:cstheme="minorHAnsi"/>
          <w:color w:val="000000"/>
          <w:sz w:val="22"/>
          <w:szCs w:val="22"/>
        </w:rPr>
        <w:t xml:space="preserve"> </w:t>
      </w:r>
      <w:r w:rsidR="00E80F9B" w:rsidRPr="00001F7B">
        <w:rPr>
          <w:rFonts w:eastAsia="Arial" w:cstheme="minorHAnsi"/>
          <w:color w:val="000000"/>
          <w:sz w:val="22"/>
          <w:szCs w:val="22"/>
        </w:rPr>
        <w:t xml:space="preserve">and </w:t>
      </w:r>
      <w:r w:rsidR="004973D6" w:rsidRPr="00001F7B">
        <w:rPr>
          <w:rFonts w:eastAsia="Arial" w:cstheme="minorHAnsi"/>
          <w:color w:val="000000"/>
          <w:sz w:val="22"/>
          <w:szCs w:val="22"/>
        </w:rPr>
        <w:t xml:space="preserve">were </w:t>
      </w:r>
      <w:r w:rsidR="00E80F9B" w:rsidRPr="00001F7B">
        <w:rPr>
          <w:rFonts w:eastAsia="Arial" w:cstheme="minorHAnsi"/>
          <w:color w:val="000000"/>
          <w:sz w:val="22"/>
          <w:szCs w:val="22"/>
        </w:rPr>
        <w:t xml:space="preserve">damaged during transport. Had the failure been deliberate or reckless (or at that time grossly negligent) </w:t>
      </w:r>
      <w:r w:rsidR="00F119F1" w:rsidRPr="00001F7B">
        <w:rPr>
          <w:rFonts w:eastAsia="Arial" w:cstheme="minorHAnsi"/>
          <w:color w:val="000000"/>
          <w:sz w:val="22"/>
          <w:szCs w:val="22"/>
        </w:rPr>
        <w:t>then the carrier would have been fully liable</w:t>
      </w:r>
      <w:r w:rsidR="004973D6" w:rsidRPr="00001F7B">
        <w:rPr>
          <w:rFonts w:eastAsia="Arial" w:cstheme="minorHAnsi"/>
          <w:color w:val="000000"/>
          <w:sz w:val="22"/>
          <w:szCs w:val="22"/>
        </w:rPr>
        <w:t xml:space="preserve"> anyhow</w:t>
      </w:r>
      <w:r w:rsidR="00F119F1" w:rsidRPr="00001F7B">
        <w:rPr>
          <w:rFonts w:eastAsia="Arial" w:cstheme="minorHAnsi"/>
          <w:color w:val="000000"/>
          <w:sz w:val="22"/>
          <w:szCs w:val="22"/>
        </w:rPr>
        <w:t>.  Here, the court deprived the</w:t>
      </w:r>
      <w:r w:rsidR="00B55325" w:rsidRPr="00001F7B">
        <w:rPr>
          <w:rFonts w:eastAsia="Arial" w:cstheme="minorHAnsi"/>
          <w:color w:val="000000"/>
          <w:sz w:val="22"/>
          <w:szCs w:val="22"/>
        </w:rPr>
        <w:t xml:space="preserve"> </w:t>
      </w:r>
      <w:r w:rsidR="00F119F1" w:rsidRPr="00001F7B">
        <w:rPr>
          <w:rFonts w:eastAsia="Arial" w:cstheme="minorHAnsi"/>
          <w:color w:val="000000"/>
          <w:sz w:val="22"/>
          <w:szCs w:val="22"/>
        </w:rPr>
        <w:t xml:space="preserve">carrier of the right to limit for </w:t>
      </w:r>
      <w:r w:rsidR="004973D6" w:rsidRPr="00001F7B">
        <w:rPr>
          <w:rFonts w:eastAsia="Arial" w:cstheme="minorHAnsi"/>
          <w:color w:val="000000"/>
          <w:sz w:val="22"/>
          <w:szCs w:val="22"/>
        </w:rPr>
        <w:t xml:space="preserve">what may have been </w:t>
      </w:r>
      <w:r w:rsidR="00F119F1" w:rsidRPr="00001F7B">
        <w:rPr>
          <w:rFonts w:eastAsia="Arial" w:cstheme="minorHAnsi"/>
          <w:color w:val="000000"/>
          <w:sz w:val="22"/>
          <w:szCs w:val="22"/>
        </w:rPr>
        <w:t>simple negligence occurring in the course of taking over the goods, just as if the failure had been to set the cooling temperature incorrectly.</w:t>
      </w:r>
      <w:r w:rsidR="00683009">
        <w:rPr>
          <w:rStyle w:val="FootnoteReference"/>
          <w:rFonts w:eastAsia="Arial" w:cstheme="minorHAnsi"/>
          <w:color w:val="000000"/>
          <w:sz w:val="22"/>
          <w:szCs w:val="22"/>
        </w:rPr>
        <w:footnoteReference w:id="303"/>
      </w:r>
    </w:p>
    <w:p w14:paraId="4EA4ADC7" w14:textId="1EAB8AAE" w:rsidR="00F119F1" w:rsidRPr="00001F7B" w:rsidRDefault="00F119F1" w:rsidP="00001F7B">
      <w:pPr>
        <w:pStyle w:val="FootnoteText"/>
        <w:rPr>
          <w:rFonts w:eastAsia="Arial" w:cstheme="minorHAnsi"/>
          <w:color w:val="000000"/>
          <w:sz w:val="22"/>
          <w:szCs w:val="22"/>
        </w:rPr>
      </w:pPr>
    </w:p>
    <w:p w14:paraId="1C92607B" w14:textId="163EE123" w:rsidR="009D2F79" w:rsidRPr="00001F7B" w:rsidRDefault="00F119F1" w:rsidP="00001F7B">
      <w:pPr>
        <w:pStyle w:val="FootnoteText"/>
        <w:rPr>
          <w:rFonts w:cstheme="minorHAnsi"/>
          <w:sz w:val="22"/>
          <w:szCs w:val="22"/>
        </w:rPr>
      </w:pPr>
      <w:r w:rsidRPr="00001F7B">
        <w:rPr>
          <w:rFonts w:eastAsia="Arial" w:cstheme="minorHAnsi"/>
          <w:color w:val="000000"/>
          <w:sz w:val="22"/>
          <w:szCs w:val="22"/>
        </w:rPr>
        <w:t>Finally, there</w:t>
      </w:r>
      <w:r w:rsidR="009E0C1C" w:rsidRPr="00001F7B">
        <w:rPr>
          <w:rFonts w:eastAsia="Arial" w:cstheme="minorHAnsi"/>
          <w:color w:val="000000"/>
          <w:sz w:val="22"/>
          <w:szCs w:val="22"/>
        </w:rPr>
        <w:t xml:space="preserve"> </w:t>
      </w:r>
      <w:r w:rsidR="004A6BE7" w:rsidRPr="00001F7B">
        <w:rPr>
          <w:rFonts w:eastAsia="Arial" w:cstheme="minorHAnsi"/>
          <w:color w:val="000000"/>
          <w:sz w:val="22"/>
          <w:szCs w:val="22"/>
        </w:rPr>
        <w:t xml:space="preserve">are </w:t>
      </w:r>
      <w:r w:rsidR="009E0C1C" w:rsidRPr="00001F7B">
        <w:rPr>
          <w:rFonts w:eastAsia="Arial" w:cstheme="minorHAnsi"/>
          <w:color w:val="000000"/>
          <w:sz w:val="22"/>
          <w:szCs w:val="22"/>
        </w:rPr>
        <w:t>areas</w:t>
      </w:r>
      <w:r w:rsidRPr="00001F7B">
        <w:rPr>
          <w:rFonts w:eastAsia="Arial" w:cstheme="minorHAnsi"/>
          <w:color w:val="000000"/>
          <w:sz w:val="22"/>
          <w:szCs w:val="22"/>
        </w:rPr>
        <w:t xml:space="preserve"> of genuine gaps </w:t>
      </w:r>
      <w:r w:rsidR="009E0C1C" w:rsidRPr="00001F7B">
        <w:rPr>
          <w:rFonts w:eastAsia="Arial" w:cstheme="minorHAnsi"/>
          <w:color w:val="000000"/>
          <w:sz w:val="22"/>
          <w:szCs w:val="22"/>
        </w:rPr>
        <w:t xml:space="preserve">within CMR </w:t>
      </w:r>
      <w:r w:rsidRPr="00001F7B">
        <w:rPr>
          <w:rFonts w:eastAsia="Arial" w:cstheme="minorHAnsi"/>
          <w:color w:val="000000"/>
          <w:sz w:val="22"/>
          <w:szCs w:val="22"/>
        </w:rPr>
        <w:t xml:space="preserve">rather than </w:t>
      </w:r>
      <w:r w:rsidR="009E0C1C" w:rsidRPr="00001F7B">
        <w:rPr>
          <w:rFonts w:eastAsia="Arial" w:cstheme="minorHAnsi"/>
          <w:color w:val="000000"/>
          <w:sz w:val="22"/>
          <w:szCs w:val="22"/>
        </w:rPr>
        <w:t xml:space="preserve">issues relating to scope which are </w:t>
      </w:r>
      <w:r w:rsidR="00683009" w:rsidRPr="00001F7B">
        <w:rPr>
          <w:rFonts w:eastAsia="Arial" w:cstheme="minorHAnsi"/>
          <w:color w:val="000000"/>
          <w:sz w:val="22"/>
          <w:szCs w:val="22"/>
        </w:rPr>
        <w:t>essentially</w:t>
      </w:r>
      <w:r w:rsidR="009E0C1C" w:rsidRPr="00001F7B">
        <w:rPr>
          <w:rFonts w:eastAsia="Arial" w:cstheme="minorHAnsi"/>
          <w:color w:val="000000"/>
          <w:sz w:val="22"/>
          <w:szCs w:val="22"/>
        </w:rPr>
        <w:t xml:space="preserve"> issues requiring interpretation.</w:t>
      </w:r>
      <w:r w:rsidR="00CF2C6E" w:rsidRPr="00001F7B">
        <w:rPr>
          <w:rFonts w:eastAsia="Arial" w:cstheme="minorHAnsi"/>
          <w:color w:val="000000"/>
          <w:sz w:val="22"/>
          <w:szCs w:val="22"/>
        </w:rPr>
        <w:t xml:space="preserve"> These </w:t>
      </w:r>
      <w:r w:rsidR="004973D6" w:rsidRPr="00001F7B">
        <w:rPr>
          <w:rFonts w:eastAsia="Arial" w:cstheme="minorHAnsi"/>
          <w:color w:val="000000"/>
          <w:sz w:val="22"/>
          <w:szCs w:val="22"/>
        </w:rPr>
        <w:t xml:space="preserve">more genuine gaps </w:t>
      </w:r>
      <w:r w:rsidR="00CF2C6E" w:rsidRPr="00001F7B">
        <w:rPr>
          <w:rFonts w:eastAsia="Arial" w:cstheme="minorHAnsi"/>
          <w:color w:val="000000"/>
          <w:sz w:val="22"/>
          <w:szCs w:val="22"/>
        </w:rPr>
        <w:t>arise e.g. where CMR lays down rules based on an assumption (e.g</w:t>
      </w:r>
      <w:r w:rsidR="004973D6" w:rsidRPr="00001F7B">
        <w:rPr>
          <w:rFonts w:eastAsia="Arial" w:cstheme="minorHAnsi"/>
          <w:color w:val="000000"/>
          <w:sz w:val="22"/>
          <w:szCs w:val="22"/>
        </w:rPr>
        <w:t>.,</w:t>
      </w:r>
      <w:r w:rsidR="00CF2C6E" w:rsidRPr="00001F7B">
        <w:rPr>
          <w:rFonts w:eastAsia="Arial" w:cstheme="minorHAnsi"/>
          <w:color w:val="000000"/>
          <w:sz w:val="22"/>
          <w:szCs w:val="22"/>
        </w:rPr>
        <w:t xml:space="preserve"> the issue of a consignment note) but says nothing about what is to happen when the assumption doesn’t apply; </w:t>
      </w:r>
      <w:r w:rsidR="00672A7C" w:rsidRPr="00001F7B">
        <w:rPr>
          <w:rFonts w:eastAsia="Arial" w:cstheme="minorHAnsi"/>
          <w:color w:val="000000"/>
          <w:sz w:val="22"/>
          <w:szCs w:val="22"/>
        </w:rPr>
        <w:t xml:space="preserve">or where a duty is imposed falling outside the main scheme of liability and compensation but for which no remedy is supplied, e.g. duties in respect of obtaining instructions in arts 14 </w:t>
      </w:r>
      <w:r w:rsidR="00AE4A1F" w:rsidRPr="00001F7B">
        <w:rPr>
          <w:rFonts w:eastAsia="Arial" w:cstheme="minorHAnsi"/>
          <w:color w:val="000000"/>
          <w:sz w:val="22"/>
          <w:szCs w:val="22"/>
        </w:rPr>
        <w:t xml:space="preserve">and 15. Again, the facts might be just outside the scope of a provision e.g. cash against documents, rather than cash on delivery. </w:t>
      </w:r>
      <w:r w:rsidR="004973D6" w:rsidRPr="00001F7B">
        <w:rPr>
          <w:rFonts w:eastAsia="Arial" w:cstheme="minorHAnsi"/>
          <w:color w:val="000000"/>
          <w:sz w:val="22"/>
          <w:szCs w:val="22"/>
        </w:rPr>
        <w:t>In these cases,</w:t>
      </w:r>
      <w:r w:rsidR="00020F14" w:rsidRPr="00001F7B">
        <w:rPr>
          <w:rFonts w:eastAsia="Arial" w:cstheme="minorHAnsi"/>
          <w:color w:val="000000"/>
          <w:sz w:val="22"/>
          <w:szCs w:val="22"/>
        </w:rPr>
        <w:t xml:space="preserve"> the force of national law may be felt but effort should be made </w:t>
      </w:r>
      <w:r w:rsidR="00C46BF0" w:rsidRPr="00001F7B">
        <w:rPr>
          <w:rFonts w:eastAsia="Arial" w:cstheme="minorHAnsi"/>
          <w:color w:val="000000"/>
          <w:sz w:val="22"/>
          <w:szCs w:val="22"/>
        </w:rPr>
        <w:t xml:space="preserve">firstly </w:t>
      </w:r>
      <w:r w:rsidR="00020F14" w:rsidRPr="00001F7B">
        <w:rPr>
          <w:rFonts w:eastAsia="Arial" w:cstheme="minorHAnsi"/>
          <w:color w:val="000000"/>
          <w:sz w:val="22"/>
          <w:szCs w:val="22"/>
        </w:rPr>
        <w:t>to apply whatever might be implicit in the scheme (</w:t>
      </w:r>
      <w:r w:rsidR="006C4F6A" w:rsidRPr="00001F7B">
        <w:rPr>
          <w:rFonts w:eastAsia="Arial" w:cstheme="minorHAnsi"/>
          <w:color w:val="000000"/>
          <w:sz w:val="22"/>
          <w:szCs w:val="22"/>
        </w:rPr>
        <w:t>e.g.,</w:t>
      </w:r>
      <w:r w:rsidR="00020F14" w:rsidRPr="00001F7B">
        <w:rPr>
          <w:rFonts w:eastAsia="Arial" w:cstheme="minorHAnsi"/>
          <w:color w:val="000000"/>
          <w:sz w:val="22"/>
          <w:szCs w:val="22"/>
        </w:rPr>
        <w:t xml:space="preserve"> the failure to seek instructions m</w:t>
      </w:r>
      <w:r w:rsidR="00C46BF0" w:rsidRPr="00001F7B">
        <w:rPr>
          <w:rFonts w:eastAsia="Arial" w:cstheme="minorHAnsi"/>
          <w:color w:val="000000"/>
          <w:sz w:val="22"/>
          <w:szCs w:val="22"/>
        </w:rPr>
        <w:t>ight</w:t>
      </w:r>
      <w:r w:rsidR="00020F14" w:rsidRPr="00001F7B">
        <w:rPr>
          <w:rFonts w:eastAsia="Arial" w:cstheme="minorHAnsi"/>
          <w:color w:val="000000"/>
          <w:sz w:val="22"/>
          <w:szCs w:val="22"/>
        </w:rPr>
        <w:t xml:space="preserve"> simpl</w:t>
      </w:r>
      <w:r w:rsidR="004973D6" w:rsidRPr="00001F7B">
        <w:rPr>
          <w:rFonts w:eastAsia="Arial" w:cstheme="minorHAnsi"/>
          <w:color w:val="000000"/>
          <w:sz w:val="22"/>
          <w:szCs w:val="22"/>
        </w:rPr>
        <w:t>y</w:t>
      </w:r>
      <w:r w:rsidR="00020F14" w:rsidRPr="00001F7B">
        <w:rPr>
          <w:rFonts w:eastAsia="Arial" w:cstheme="minorHAnsi"/>
          <w:color w:val="000000"/>
          <w:sz w:val="22"/>
          <w:szCs w:val="22"/>
        </w:rPr>
        <w:t xml:space="preserve"> lead to delay). Failing that, the principles noted above should still be </w:t>
      </w:r>
      <w:r w:rsidR="00C46BF0" w:rsidRPr="00001F7B">
        <w:rPr>
          <w:rFonts w:eastAsia="Arial" w:cstheme="minorHAnsi"/>
          <w:color w:val="000000"/>
          <w:sz w:val="22"/>
          <w:szCs w:val="22"/>
        </w:rPr>
        <w:t>borne</w:t>
      </w:r>
      <w:r w:rsidR="00020F14" w:rsidRPr="00001F7B">
        <w:rPr>
          <w:rFonts w:eastAsia="Arial" w:cstheme="minorHAnsi"/>
          <w:color w:val="000000"/>
          <w:sz w:val="22"/>
          <w:szCs w:val="22"/>
        </w:rPr>
        <w:t xml:space="preserve"> in mind: avoidance of an interpretation likely to </w:t>
      </w:r>
      <w:r w:rsidR="00C46BF0" w:rsidRPr="00001F7B">
        <w:rPr>
          <w:rFonts w:eastAsia="Arial" w:cstheme="minorHAnsi"/>
          <w:color w:val="000000"/>
          <w:sz w:val="22"/>
          <w:szCs w:val="22"/>
        </w:rPr>
        <w:t>cause disunity (</w:t>
      </w:r>
      <w:r w:rsidR="006C4F6A" w:rsidRPr="00001F7B">
        <w:rPr>
          <w:rFonts w:eastAsia="Arial" w:cstheme="minorHAnsi"/>
          <w:color w:val="000000"/>
          <w:sz w:val="22"/>
          <w:szCs w:val="22"/>
        </w:rPr>
        <w:t>e.g.,</w:t>
      </w:r>
      <w:r w:rsidR="00C46BF0" w:rsidRPr="00001F7B">
        <w:rPr>
          <w:rFonts w:eastAsia="Arial" w:cstheme="minorHAnsi"/>
          <w:color w:val="000000"/>
          <w:sz w:val="22"/>
          <w:szCs w:val="22"/>
        </w:rPr>
        <w:t xml:space="preserve"> providing that the absence of a consignment note results in the barring of any other evidence in support of a claim) or, what may amount to the same thing, a rule which distorts the scheme. </w:t>
      </w:r>
    </w:p>
    <w:p w14:paraId="63FA12C8" w14:textId="77777777" w:rsidR="001012DA" w:rsidRPr="00E35B47" w:rsidRDefault="001012DA" w:rsidP="00001F7B">
      <w:pPr>
        <w:rPr>
          <w:rFonts w:cstheme="minorHAnsi"/>
          <w:sz w:val="28"/>
          <w:szCs w:val="28"/>
        </w:rPr>
      </w:pPr>
    </w:p>
    <w:p w14:paraId="4CF2ADD1" w14:textId="197032D9" w:rsidR="009672AB" w:rsidRPr="00E35B47" w:rsidRDefault="00EB60E0" w:rsidP="00001F7B">
      <w:pPr>
        <w:rPr>
          <w:rFonts w:cstheme="minorHAnsi"/>
          <w:b/>
          <w:bCs/>
          <w:sz w:val="28"/>
          <w:szCs w:val="28"/>
        </w:rPr>
      </w:pPr>
      <w:r w:rsidRPr="00E35B47">
        <w:rPr>
          <w:rFonts w:cstheme="minorHAnsi"/>
          <w:b/>
          <w:bCs/>
          <w:sz w:val="28"/>
          <w:szCs w:val="28"/>
        </w:rPr>
        <w:t>Provisional</w:t>
      </w:r>
      <w:r w:rsidR="008E5F65" w:rsidRPr="00E35B47">
        <w:rPr>
          <w:rFonts w:cstheme="minorHAnsi"/>
          <w:b/>
          <w:bCs/>
          <w:sz w:val="28"/>
          <w:szCs w:val="28"/>
        </w:rPr>
        <w:t xml:space="preserve"> </w:t>
      </w:r>
      <w:r w:rsidR="004973D6" w:rsidRPr="00E35B47">
        <w:rPr>
          <w:rFonts w:cstheme="minorHAnsi"/>
          <w:b/>
          <w:bCs/>
          <w:sz w:val="28"/>
          <w:szCs w:val="28"/>
        </w:rPr>
        <w:t>C</w:t>
      </w:r>
      <w:r w:rsidR="005B0F2F" w:rsidRPr="00E35B47">
        <w:rPr>
          <w:rFonts w:cstheme="minorHAnsi"/>
          <w:b/>
          <w:bCs/>
          <w:sz w:val="28"/>
          <w:szCs w:val="28"/>
        </w:rPr>
        <w:t>onclusions</w:t>
      </w:r>
      <w:r w:rsidR="008E5F65" w:rsidRPr="00E35B47">
        <w:rPr>
          <w:rFonts w:cstheme="minorHAnsi"/>
          <w:b/>
          <w:bCs/>
          <w:sz w:val="28"/>
          <w:szCs w:val="28"/>
        </w:rPr>
        <w:t xml:space="preserve"> and </w:t>
      </w:r>
      <w:r w:rsidR="004973D6" w:rsidRPr="00E35B47">
        <w:rPr>
          <w:rFonts w:cstheme="minorHAnsi"/>
          <w:b/>
          <w:bCs/>
          <w:sz w:val="28"/>
          <w:szCs w:val="28"/>
        </w:rPr>
        <w:t>S</w:t>
      </w:r>
      <w:r w:rsidR="008E5F65" w:rsidRPr="00E35B47">
        <w:rPr>
          <w:rFonts w:cstheme="minorHAnsi"/>
          <w:b/>
          <w:bCs/>
          <w:sz w:val="28"/>
          <w:szCs w:val="28"/>
        </w:rPr>
        <w:t>uggestions</w:t>
      </w:r>
    </w:p>
    <w:p w14:paraId="13E9EBF5" w14:textId="47BE92F8" w:rsidR="00014171" w:rsidRPr="00001F7B" w:rsidRDefault="000427DF" w:rsidP="00001F7B">
      <w:pPr>
        <w:rPr>
          <w:rFonts w:cstheme="minorHAnsi"/>
        </w:rPr>
      </w:pPr>
      <w:r w:rsidRPr="00001F7B">
        <w:rPr>
          <w:rFonts w:cstheme="minorHAnsi"/>
          <w:b/>
          <w:bCs/>
        </w:rPr>
        <w:t>1.</w:t>
      </w:r>
      <w:r w:rsidRPr="00001F7B">
        <w:rPr>
          <w:rFonts w:cstheme="minorHAnsi"/>
        </w:rPr>
        <w:t xml:space="preserve"> </w:t>
      </w:r>
      <w:r w:rsidR="008E5F65" w:rsidRPr="00001F7B">
        <w:rPr>
          <w:rFonts w:cstheme="minorHAnsi"/>
        </w:rPr>
        <w:t>Clearly th</w:t>
      </w:r>
      <w:r w:rsidR="005B0F2F" w:rsidRPr="00001F7B">
        <w:rPr>
          <w:rFonts w:cstheme="minorHAnsi"/>
        </w:rPr>
        <w:t>e Vienna Rules are today the generally accepted rules for interpretation of treaties including</w:t>
      </w:r>
      <w:r w:rsidR="00EB60E0" w:rsidRPr="00001F7B">
        <w:rPr>
          <w:rFonts w:cstheme="minorHAnsi"/>
        </w:rPr>
        <w:t xml:space="preserve"> </w:t>
      </w:r>
      <w:r w:rsidR="005B0F2F" w:rsidRPr="00001F7B">
        <w:rPr>
          <w:rFonts w:cstheme="minorHAnsi"/>
        </w:rPr>
        <w:t xml:space="preserve">uniform private law. </w:t>
      </w:r>
      <w:r w:rsidR="00024DEF" w:rsidRPr="00001F7B">
        <w:rPr>
          <w:rFonts w:cstheme="minorHAnsi"/>
        </w:rPr>
        <w:t xml:space="preserve">The fact that CMR was created before the creation of the VCLT and that not all </w:t>
      </w:r>
      <w:r w:rsidR="006C4F6A" w:rsidRPr="00001F7B">
        <w:rPr>
          <w:rFonts w:cstheme="minorHAnsi"/>
        </w:rPr>
        <w:t>C</w:t>
      </w:r>
      <w:r w:rsidR="00024DEF" w:rsidRPr="00001F7B">
        <w:rPr>
          <w:rFonts w:cstheme="minorHAnsi"/>
        </w:rPr>
        <w:t xml:space="preserve">MR states are party to the VCLT </w:t>
      </w:r>
      <w:r w:rsidR="006C4F6A" w:rsidRPr="00001F7B">
        <w:rPr>
          <w:rFonts w:cstheme="minorHAnsi"/>
        </w:rPr>
        <w:t xml:space="preserve">is </w:t>
      </w:r>
      <w:r w:rsidR="00024DEF" w:rsidRPr="00001F7B">
        <w:rPr>
          <w:rFonts w:cstheme="minorHAnsi"/>
        </w:rPr>
        <w:t xml:space="preserve">irrelevant due to the operation of customary international law. </w:t>
      </w:r>
      <w:r w:rsidR="00014171" w:rsidRPr="00001F7B">
        <w:rPr>
          <w:rFonts w:cstheme="minorHAnsi"/>
        </w:rPr>
        <w:t xml:space="preserve">The objection that the Vienna Rules do not apply </w:t>
      </w:r>
      <w:r w:rsidR="00024DEF" w:rsidRPr="00001F7B">
        <w:rPr>
          <w:rFonts w:cstheme="minorHAnsi"/>
        </w:rPr>
        <w:t xml:space="preserve">to </w:t>
      </w:r>
      <w:r w:rsidR="00014171" w:rsidRPr="00001F7B">
        <w:rPr>
          <w:rFonts w:cstheme="minorHAnsi"/>
        </w:rPr>
        <w:t>or are not suitable for application to uniform private law can no longer be seriously sustained and should be strongly resisted.</w:t>
      </w:r>
    </w:p>
    <w:p w14:paraId="0BD51C2C" w14:textId="2E9BC21E" w:rsidR="00024DEF" w:rsidRPr="00001F7B" w:rsidRDefault="000427DF" w:rsidP="00001F7B">
      <w:pPr>
        <w:rPr>
          <w:rFonts w:cstheme="minorHAnsi"/>
        </w:rPr>
      </w:pPr>
      <w:r w:rsidRPr="00001F7B">
        <w:rPr>
          <w:rFonts w:cstheme="minorHAnsi"/>
          <w:b/>
          <w:bCs/>
        </w:rPr>
        <w:t>2.</w:t>
      </w:r>
      <w:r w:rsidRPr="00001F7B">
        <w:rPr>
          <w:rFonts w:cstheme="minorHAnsi"/>
        </w:rPr>
        <w:t xml:space="preserve"> </w:t>
      </w:r>
      <w:r w:rsidR="00024DEF" w:rsidRPr="00001F7B">
        <w:rPr>
          <w:rFonts w:cstheme="minorHAnsi"/>
        </w:rPr>
        <w:t>The fact that they can be regarded as a crystallisation of developing CIL is an answer to any lingering doubt that they cannot apply to CMR simply because it pre-dates the VCLT. Consequently, regardless of the exact constitutional position in a member state they should be regarded as applicable from a sense of international obligation whether directly or at least as an authoritative source of law.</w:t>
      </w:r>
    </w:p>
    <w:p w14:paraId="03C7E1AE" w14:textId="51CBAE0F" w:rsidR="00066F6D" w:rsidRPr="00001F7B" w:rsidRDefault="000427DF" w:rsidP="00001F7B">
      <w:pPr>
        <w:rPr>
          <w:rFonts w:cstheme="minorHAnsi"/>
        </w:rPr>
      </w:pPr>
      <w:r w:rsidRPr="00001F7B">
        <w:rPr>
          <w:rFonts w:cstheme="minorHAnsi"/>
          <w:b/>
          <w:bCs/>
        </w:rPr>
        <w:t>3.</w:t>
      </w:r>
      <w:r w:rsidRPr="00001F7B">
        <w:rPr>
          <w:rFonts w:cstheme="minorHAnsi"/>
        </w:rPr>
        <w:t xml:space="preserve"> </w:t>
      </w:r>
      <w:r w:rsidR="00066F6D" w:rsidRPr="00001F7B">
        <w:rPr>
          <w:rFonts w:cstheme="minorHAnsi"/>
        </w:rPr>
        <w:t xml:space="preserve">The fact that they may </w:t>
      </w:r>
      <w:r w:rsidR="006C4F6A" w:rsidRPr="00001F7B">
        <w:rPr>
          <w:rFonts w:cstheme="minorHAnsi"/>
        </w:rPr>
        <w:t>operate</w:t>
      </w:r>
      <w:r w:rsidR="00066F6D" w:rsidRPr="00001F7B">
        <w:rPr>
          <w:rFonts w:cstheme="minorHAnsi"/>
        </w:rPr>
        <w:t xml:space="preserve"> in a member state as CIL is not a reason for treating them merely as loose guidelines</w:t>
      </w:r>
      <w:r w:rsidR="0061578A" w:rsidRPr="00001F7B">
        <w:rPr>
          <w:rFonts w:cstheme="minorHAnsi"/>
        </w:rPr>
        <w:t xml:space="preserve"> </w:t>
      </w:r>
      <w:r w:rsidR="001A3F03" w:rsidRPr="00001F7B">
        <w:rPr>
          <w:rFonts w:cstheme="minorHAnsi"/>
        </w:rPr>
        <w:t xml:space="preserve">(see </w:t>
      </w:r>
      <w:r w:rsidR="001A3F03" w:rsidRPr="00001F7B">
        <w:rPr>
          <w:rFonts w:cstheme="minorHAnsi"/>
          <w:i/>
          <w:iCs/>
        </w:rPr>
        <w:t xml:space="preserve">Case Concerning the Auditing of Accounts </w:t>
      </w:r>
      <w:r w:rsidR="001A3F03" w:rsidRPr="00001F7B">
        <w:rPr>
          <w:rFonts w:cstheme="minorHAnsi"/>
        </w:rPr>
        <w:t xml:space="preserve">above </w:t>
      </w:r>
      <w:proofErr w:type="spellStart"/>
      <w:r w:rsidR="001A3F03" w:rsidRPr="00001F7B">
        <w:rPr>
          <w:rFonts w:cstheme="minorHAnsi"/>
        </w:rPr>
        <w:t>fn</w:t>
      </w:r>
      <w:proofErr w:type="spellEnd"/>
      <w:r w:rsidR="001A3F03" w:rsidRPr="00001F7B">
        <w:rPr>
          <w:rFonts w:cstheme="minorHAnsi"/>
        </w:rPr>
        <w:t xml:space="preserve"> 62) </w:t>
      </w:r>
      <w:r w:rsidR="0061578A" w:rsidRPr="00001F7B">
        <w:rPr>
          <w:rFonts w:cstheme="minorHAnsi"/>
        </w:rPr>
        <w:t xml:space="preserve">or simply reflective of previous CIL which is then applied in preference to the Rules themselves (see the </w:t>
      </w:r>
      <w:r w:rsidR="00E57920" w:rsidRPr="00001F7B">
        <w:rPr>
          <w:rFonts w:cstheme="minorHAnsi"/>
          <w:i/>
          <w:iCs/>
        </w:rPr>
        <w:t>Rhine Chlorides</w:t>
      </w:r>
      <w:r w:rsidR="0061578A" w:rsidRPr="00001F7B">
        <w:rPr>
          <w:rFonts w:cstheme="minorHAnsi"/>
        </w:rPr>
        <w:t xml:space="preserve"> case above</w:t>
      </w:r>
      <w:r w:rsidR="00E57920" w:rsidRPr="00001F7B">
        <w:rPr>
          <w:rFonts w:cstheme="minorHAnsi"/>
        </w:rPr>
        <w:t xml:space="preserve">, </w:t>
      </w:r>
      <w:proofErr w:type="spellStart"/>
      <w:r w:rsidR="0061578A" w:rsidRPr="00001F7B">
        <w:rPr>
          <w:rFonts w:cstheme="minorHAnsi"/>
        </w:rPr>
        <w:t>fn</w:t>
      </w:r>
      <w:proofErr w:type="spellEnd"/>
      <w:r w:rsidR="001A3F03" w:rsidRPr="00001F7B">
        <w:rPr>
          <w:rFonts w:cstheme="minorHAnsi"/>
        </w:rPr>
        <w:t xml:space="preserve"> </w:t>
      </w:r>
      <w:r w:rsidR="00E57920" w:rsidRPr="00001F7B">
        <w:rPr>
          <w:rFonts w:cstheme="minorHAnsi"/>
        </w:rPr>
        <w:t>47</w:t>
      </w:r>
      <w:r w:rsidR="0061578A" w:rsidRPr="00001F7B">
        <w:rPr>
          <w:rFonts w:cstheme="minorHAnsi"/>
        </w:rPr>
        <w:t>).</w:t>
      </w:r>
    </w:p>
    <w:p w14:paraId="6922EB28" w14:textId="74E55777" w:rsidR="000D26DA" w:rsidRPr="00001F7B" w:rsidRDefault="000427DF" w:rsidP="00001F7B">
      <w:pPr>
        <w:rPr>
          <w:rFonts w:cstheme="minorHAnsi"/>
        </w:rPr>
      </w:pPr>
      <w:r w:rsidRPr="00001F7B">
        <w:rPr>
          <w:rFonts w:cstheme="minorHAnsi"/>
          <w:b/>
          <w:bCs/>
        </w:rPr>
        <w:t>4.</w:t>
      </w:r>
      <w:r w:rsidRPr="00001F7B">
        <w:rPr>
          <w:rFonts w:cstheme="minorHAnsi"/>
        </w:rPr>
        <w:t xml:space="preserve"> </w:t>
      </w:r>
      <w:r w:rsidR="007B370F" w:rsidRPr="00001F7B">
        <w:rPr>
          <w:rFonts w:cstheme="minorHAnsi"/>
        </w:rPr>
        <w:t>In order to encourage member state</w:t>
      </w:r>
      <w:r w:rsidR="006C4F6A" w:rsidRPr="00001F7B">
        <w:rPr>
          <w:rFonts w:cstheme="minorHAnsi"/>
        </w:rPr>
        <w:t>s</w:t>
      </w:r>
      <w:r w:rsidR="007B370F" w:rsidRPr="00001F7B">
        <w:rPr>
          <w:rFonts w:cstheme="minorHAnsi"/>
        </w:rPr>
        <w:t xml:space="preserve"> which do not apply the Rules </w:t>
      </w:r>
      <w:r w:rsidR="00014171" w:rsidRPr="00001F7B">
        <w:rPr>
          <w:rFonts w:cstheme="minorHAnsi"/>
        </w:rPr>
        <w:t xml:space="preserve">or do so only loosely it should be emphasised </w:t>
      </w:r>
      <w:r w:rsidR="000D26DA" w:rsidRPr="00001F7B">
        <w:rPr>
          <w:rFonts w:cstheme="minorHAnsi"/>
        </w:rPr>
        <w:t xml:space="preserve">that by following them courts will have a uniform methodology </w:t>
      </w:r>
      <w:r w:rsidR="00014171" w:rsidRPr="00001F7B">
        <w:rPr>
          <w:rFonts w:cstheme="minorHAnsi"/>
        </w:rPr>
        <w:t xml:space="preserve">which </w:t>
      </w:r>
      <w:r w:rsidR="000D26DA" w:rsidRPr="00001F7B">
        <w:rPr>
          <w:rFonts w:cstheme="minorHAnsi"/>
        </w:rPr>
        <w:t>provi</w:t>
      </w:r>
      <w:r w:rsidR="00014171" w:rsidRPr="00001F7B">
        <w:rPr>
          <w:rFonts w:cstheme="minorHAnsi"/>
        </w:rPr>
        <w:t>des</w:t>
      </w:r>
      <w:r w:rsidR="000D26DA" w:rsidRPr="00001F7B">
        <w:rPr>
          <w:rFonts w:cstheme="minorHAnsi"/>
        </w:rPr>
        <w:t xml:space="preserve"> a base </w:t>
      </w:r>
      <w:r w:rsidR="00014171" w:rsidRPr="00001F7B">
        <w:rPr>
          <w:rFonts w:cstheme="minorHAnsi"/>
        </w:rPr>
        <w:t xml:space="preserve">both </w:t>
      </w:r>
      <w:r w:rsidR="000D26DA" w:rsidRPr="00001F7B">
        <w:rPr>
          <w:rFonts w:cstheme="minorHAnsi"/>
        </w:rPr>
        <w:t xml:space="preserve">for sound reasoning and </w:t>
      </w:r>
      <w:r w:rsidR="00014171" w:rsidRPr="00001F7B">
        <w:rPr>
          <w:rFonts w:cstheme="minorHAnsi"/>
        </w:rPr>
        <w:t xml:space="preserve">international </w:t>
      </w:r>
      <w:r w:rsidR="000D26DA" w:rsidRPr="00001F7B">
        <w:rPr>
          <w:rFonts w:cstheme="minorHAnsi"/>
        </w:rPr>
        <w:t>dialogue which should promote uniform results in decision making.</w:t>
      </w:r>
    </w:p>
    <w:p w14:paraId="56BBF6CA" w14:textId="2D174BF5" w:rsidR="00630CA5" w:rsidRPr="00001F7B" w:rsidRDefault="000427DF" w:rsidP="00001F7B">
      <w:pPr>
        <w:rPr>
          <w:rFonts w:cstheme="minorHAnsi"/>
        </w:rPr>
      </w:pPr>
      <w:r w:rsidRPr="00001F7B">
        <w:rPr>
          <w:rFonts w:cstheme="minorHAnsi"/>
          <w:b/>
          <w:bCs/>
        </w:rPr>
        <w:t>5.</w:t>
      </w:r>
      <w:r w:rsidRPr="00001F7B">
        <w:rPr>
          <w:rFonts w:cstheme="minorHAnsi"/>
        </w:rPr>
        <w:t xml:space="preserve"> </w:t>
      </w:r>
      <w:r w:rsidR="000D26DA" w:rsidRPr="00001F7B">
        <w:rPr>
          <w:rFonts w:cstheme="minorHAnsi"/>
        </w:rPr>
        <w:t xml:space="preserve">Research into their use </w:t>
      </w:r>
      <w:r w:rsidR="00A275AD" w:rsidRPr="00001F7B">
        <w:rPr>
          <w:rFonts w:cstheme="minorHAnsi"/>
        </w:rPr>
        <w:t xml:space="preserve">by Member States </w:t>
      </w:r>
      <w:r w:rsidR="000D26DA" w:rsidRPr="00001F7B">
        <w:rPr>
          <w:rFonts w:cstheme="minorHAnsi"/>
        </w:rPr>
        <w:t>would be helpful in identifying the extent and nature of their use to see how</w:t>
      </w:r>
      <w:r w:rsidR="00014171" w:rsidRPr="00001F7B">
        <w:rPr>
          <w:rFonts w:cstheme="minorHAnsi"/>
        </w:rPr>
        <w:t xml:space="preserve"> extensive the task of persuasion m</w:t>
      </w:r>
      <w:r w:rsidR="00A275AD" w:rsidRPr="00001F7B">
        <w:rPr>
          <w:rFonts w:cstheme="minorHAnsi"/>
        </w:rPr>
        <w:t>a</w:t>
      </w:r>
      <w:r w:rsidR="00014171" w:rsidRPr="00001F7B">
        <w:rPr>
          <w:rFonts w:cstheme="minorHAnsi"/>
        </w:rPr>
        <w:t xml:space="preserve">y be. </w:t>
      </w:r>
      <w:r w:rsidR="000D6139" w:rsidRPr="00001F7B">
        <w:rPr>
          <w:rFonts w:cstheme="minorHAnsi"/>
        </w:rPr>
        <w:t xml:space="preserve">The extent to which </w:t>
      </w:r>
      <w:r w:rsidR="00A275AD" w:rsidRPr="00001F7B">
        <w:rPr>
          <w:rFonts w:cstheme="minorHAnsi"/>
        </w:rPr>
        <w:t xml:space="preserve">member States are using them otherwise than in respect of CMR could </w:t>
      </w:r>
      <w:r w:rsidR="000D6139" w:rsidRPr="00001F7B">
        <w:rPr>
          <w:rFonts w:cstheme="minorHAnsi"/>
        </w:rPr>
        <w:t xml:space="preserve">also </w:t>
      </w:r>
      <w:r w:rsidR="00A275AD" w:rsidRPr="00001F7B">
        <w:rPr>
          <w:rFonts w:cstheme="minorHAnsi"/>
        </w:rPr>
        <w:t>be useful tool.</w:t>
      </w:r>
      <w:r w:rsidR="00630CA5" w:rsidRPr="00001F7B">
        <w:rPr>
          <w:rFonts w:cstheme="minorHAnsi"/>
        </w:rPr>
        <w:t xml:space="preserve"> </w:t>
      </w:r>
      <w:r w:rsidR="00D94869" w:rsidRPr="00001F7B">
        <w:rPr>
          <w:rFonts w:cstheme="minorHAnsi"/>
        </w:rPr>
        <w:t xml:space="preserve">The </w:t>
      </w:r>
      <w:hyperlink r:id="rId8" w:history="1">
        <w:r w:rsidR="00D94869" w:rsidRPr="00001F7B">
          <w:rPr>
            <w:rFonts w:cstheme="minorHAnsi"/>
            <w:color w:val="0000FF"/>
            <w:u w:val="single"/>
          </w:rPr>
          <w:t>Oxford Reports on International Law: Search Results (ouplaw.com)</w:t>
        </w:r>
      </w:hyperlink>
      <w:r w:rsidR="00D94869" w:rsidRPr="00001F7B">
        <w:rPr>
          <w:rFonts w:cstheme="minorHAnsi"/>
        </w:rPr>
        <w:t xml:space="preserve">  database may assist – typing in “Vienna Convention on the Law of Treaties” produced 1,114 hits but I have not yet researched them. </w:t>
      </w:r>
      <w:r w:rsidR="000553F9" w:rsidRPr="00001F7B">
        <w:rPr>
          <w:rFonts w:cstheme="minorHAnsi"/>
        </w:rPr>
        <w:t xml:space="preserve">In </w:t>
      </w:r>
      <w:r w:rsidR="006C4F6A" w:rsidRPr="00001F7B">
        <w:rPr>
          <w:rFonts w:cstheme="minorHAnsi"/>
        </w:rPr>
        <w:t>addition,</w:t>
      </w:r>
      <w:r w:rsidR="000553F9" w:rsidRPr="00001F7B">
        <w:rPr>
          <w:rFonts w:cstheme="minorHAnsi"/>
        </w:rPr>
        <w:t xml:space="preserve"> research into the approach taken by member states, especially in respect of CMR may be useful in determining the weight given to different factors relevant to interpretation whether in application of the Vienna Rules </w:t>
      </w:r>
      <w:r w:rsidR="003D06F1" w:rsidRPr="00001F7B">
        <w:rPr>
          <w:rFonts w:cstheme="minorHAnsi"/>
        </w:rPr>
        <w:t>or</w:t>
      </w:r>
      <w:r w:rsidR="000553F9" w:rsidRPr="00001F7B">
        <w:rPr>
          <w:rFonts w:cstheme="minorHAnsi"/>
        </w:rPr>
        <w:t xml:space="preserve"> apart from them. This could be a consideration in determining the weight of factors to be taken into account in the light of the object and purpose of CMR.</w:t>
      </w:r>
    </w:p>
    <w:p w14:paraId="498BD5F6" w14:textId="609A1184" w:rsidR="00A275AD" w:rsidRPr="00001F7B" w:rsidRDefault="000427DF" w:rsidP="00001F7B">
      <w:pPr>
        <w:rPr>
          <w:rFonts w:cstheme="minorHAnsi"/>
        </w:rPr>
      </w:pPr>
      <w:r w:rsidRPr="00001F7B">
        <w:rPr>
          <w:rFonts w:cstheme="minorHAnsi"/>
          <w:b/>
          <w:bCs/>
        </w:rPr>
        <w:t>6.</w:t>
      </w:r>
      <w:r w:rsidRPr="00001F7B">
        <w:rPr>
          <w:rFonts w:cstheme="minorHAnsi"/>
        </w:rPr>
        <w:t xml:space="preserve"> </w:t>
      </w:r>
      <w:r w:rsidR="00A275AD" w:rsidRPr="00001F7B">
        <w:rPr>
          <w:rFonts w:cstheme="minorHAnsi"/>
        </w:rPr>
        <w:t>Any view that the autonomous approach is an alternative and in opposition to the Vienna Rules is outdated and wrong. The autonomous app</w:t>
      </w:r>
      <w:r w:rsidR="00830B7D" w:rsidRPr="00001F7B">
        <w:rPr>
          <w:rFonts w:cstheme="minorHAnsi"/>
        </w:rPr>
        <w:t>roach</w:t>
      </w:r>
      <w:r w:rsidR="00A275AD" w:rsidRPr="00001F7B">
        <w:rPr>
          <w:rFonts w:cstheme="minorHAnsi"/>
        </w:rPr>
        <w:t xml:space="preserve"> is embedded in the Rules</w:t>
      </w:r>
      <w:r w:rsidR="00830B7D" w:rsidRPr="00001F7B">
        <w:rPr>
          <w:rFonts w:cstheme="minorHAnsi"/>
        </w:rPr>
        <w:t xml:space="preserve"> (see abov</w:t>
      </w:r>
      <w:r w:rsidR="00DE3D55" w:rsidRPr="00001F7B">
        <w:rPr>
          <w:rFonts w:cstheme="minorHAnsi"/>
        </w:rPr>
        <w:t xml:space="preserve">e </w:t>
      </w:r>
      <w:r w:rsidR="00DE3D55" w:rsidRPr="00001F7B">
        <w:rPr>
          <w:rFonts w:cstheme="minorHAnsi"/>
          <w:b/>
          <w:bCs/>
        </w:rPr>
        <w:t>2.4.1.1</w:t>
      </w:r>
      <w:r w:rsidR="00830B7D" w:rsidRPr="00001F7B">
        <w:rPr>
          <w:rFonts w:cstheme="minorHAnsi"/>
        </w:rPr>
        <w:t>)</w:t>
      </w:r>
      <w:r w:rsidR="005B1D45" w:rsidRPr="00001F7B">
        <w:rPr>
          <w:rFonts w:cstheme="minorHAnsi"/>
        </w:rPr>
        <w:t>. A further provisional conclusion about the autonomous approach is put froward below.</w:t>
      </w:r>
      <w:r w:rsidR="00A275AD" w:rsidRPr="00001F7B">
        <w:rPr>
          <w:rFonts w:cstheme="minorHAnsi"/>
        </w:rPr>
        <w:t xml:space="preserve"> </w:t>
      </w:r>
    </w:p>
    <w:p w14:paraId="530C60DA" w14:textId="19B436C4" w:rsidR="003B0B16" w:rsidRPr="00001F7B" w:rsidRDefault="000427DF" w:rsidP="00001F7B">
      <w:pPr>
        <w:rPr>
          <w:rFonts w:cstheme="minorHAnsi"/>
        </w:rPr>
      </w:pPr>
      <w:r w:rsidRPr="00001F7B">
        <w:rPr>
          <w:rFonts w:cstheme="minorHAnsi"/>
          <w:b/>
          <w:bCs/>
        </w:rPr>
        <w:t>7.</w:t>
      </w:r>
      <w:r w:rsidR="002C2CDE" w:rsidRPr="00001F7B">
        <w:rPr>
          <w:rFonts w:cstheme="minorHAnsi"/>
        </w:rPr>
        <w:t>T</w:t>
      </w:r>
      <w:r w:rsidR="00414424" w:rsidRPr="00001F7B">
        <w:rPr>
          <w:rFonts w:cstheme="minorHAnsi"/>
        </w:rPr>
        <w:t xml:space="preserve">he methodology adopted should be applied in accordance with </w:t>
      </w:r>
      <w:r w:rsidR="00DE3D55" w:rsidRPr="00001F7B">
        <w:rPr>
          <w:rFonts w:cstheme="minorHAnsi"/>
        </w:rPr>
        <w:t>the</w:t>
      </w:r>
      <w:r w:rsidR="00F327AE" w:rsidRPr="00001F7B">
        <w:rPr>
          <w:rFonts w:cstheme="minorHAnsi"/>
        </w:rPr>
        <w:t xml:space="preserve"> </w:t>
      </w:r>
      <w:r w:rsidR="004C7EEF" w:rsidRPr="00001F7B">
        <w:rPr>
          <w:rFonts w:cstheme="minorHAnsi"/>
        </w:rPr>
        <w:t xml:space="preserve">framework </w:t>
      </w:r>
      <w:r w:rsidR="00DE3D55" w:rsidRPr="00001F7B">
        <w:rPr>
          <w:rFonts w:cstheme="minorHAnsi"/>
        </w:rPr>
        <w:t xml:space="preserve">adopted by the Rules </w:t>
      </w:r>
      <w:r w:rsidR="004C7EEF" w:rsidRPr="00001F7B">
        <w:rPr>
          <w:rFonts w:cstheme="minorHAnsi"/>
        </w:rPr>
        <w:t xml:space="preserve">and </w:t>
      </w:r>
      <w:r w:rsidR="00DE3D55" w:rsidRPr="00001F7B">
        <w:rPr>
          <w:rFonts w:cstheme="minorHAnsi"/>
        </w:rPr>
        <w:t xml:space="preserve">generally in line with its </w:t>
      </w:r>
      <w:r w:rsidR="004C7EEF" w:rsidRPr="00001F7B">
        <w:rPr>
          <w:rFonts w:cstheme="minorHAnsi"/>
        </w:rPr>
        <w:t>core features</w:t>
      </w:r>
      <w:r w:rsidR="00DE3D55" w:rsidRPr="00001F7B">
        <w:rPr>
          <w:rFonts w:cstheme="minorHAnsi"/>
        </w:rPr>
        <w:t xml:space="preserve"> as considered below</w:t>
      </w:r>
      <w:r w:rsidR="0089725B" w:rsidRPr="00001F7B">
        <w:rPr>
          <w:rFonts w:cstheme="minorHAnsi"/>
        </w:rPr>
        <w:t xml:space="preserve">: </w:t>
      </w:r>
    </w:p>
    <w:p w14:paraId="62876F98" w14:textId="60C6E92B" w:rsidR="006E3EC6" w:rsidRPr="00001F7B" w:rsidRDefault="000427DF" w:rsidP="00001F7B">
      <w:pPr>
        <w:rPr>
          <w:rFonts w:cstheme="minorHAnsi"/>
        </w:rPr>
      </w:pPr>
      <w:r w:rsidRPr="00001F7B">
        <w:rPr>
          <w:rFonts w:cstheme="minorHAnsi"/>
          <w:b/>
          <w:bCs/>
        </w:rPr>
        <w:t>7.1</w:t>
      </w:r>
      <w:r w:rsidR="001F0A80" w:rsidRPr="00001F7B">
        <w:rPr>
          <w:rFonts w:cstheme="minorHAnsi"/>
          <w:b/>
          <w:bCs/>
        </w:rPr>
        <w:t>.</w:t>
      </w:r>
      <w:r w:rsidRPr="00001F7B">
        <w:rPr>
          <w:rFonts w:cstheme="minorHAnsi"/>
        </w:rPr>
        <w:t xml:space="preserve"> </w:t>
      </w:r>
      <w:r w:rsidR="006E3EC6" w:rsidRPr="00001F7B">
        <w:rPr>
          <w:rFonts w:cstheme="minorHAnsi"/>
        </w:rPr>
        <w:t xml:space="preserve">The Vienna Rules provide for a natural process of interpretation which takes into account traditional methodologies and brings them together rather than pits them against each other. National approaches which </w:t>
      </w:r>
      <w:r w:rsidR="006B1C8E" w:rsidRPr="00001F7B">
        <w:rPr>
          <w:rFonts w:cstheme="minorHAnsi"/>
        </w:rPr>
        <w:t>see the textual and teleological approach as alternative or opposing methods should be avoided.</w:t>
      </w:r>
    </w:p>
    <w:p w14:paraId="633AFE54" w14:textId="648A694C" w:rsidR="006B1C8E" w:rsidRPr="00001F7B" w:rsidRDefault="000427DF" w:rsidP="00001F7B">
      <w:pPr>
        <w:rPr>
          <w:rFonts w:cstheme="minorHAnsi"/>
        </w:rPr>
      </w:pPr>
      <w:r w:rsidRPr="00001F7B">
        <w:rPr>
          <w:rFonts w:cstheme="minorHAnsi"/>
          <w:b/>
          <w:bCs/>
        </w:rPr>
        <w:t>7.2</w:t>
      </w:r>
      <w:r w:rsidR="001F0A80" w:rsidRPr="00001F7B">
        <w:rPr>
          <w:rFonts w:cstheme="minorHAnsi"/>
          <w:b/>
          <w:bCs/>
        </w:rPr>
        <w:t>.</w:t>
      </w:r>
      <w:r w:rsidR="006B1C8E" w:rsidRPr="00001F7B">
        <w:rPr>
          <w:rFonts w:cstheme="minorHAnsi"/>
        </w:rPr>
        <w:t xml:space="preserve"> </w:t>
      </w:r>
      <w:r w:rsidR="004C7EEF" w:rsidRPr="00001F7B">
        <w:rPr>
          <w:rFonts w:cstheme="minorHAnsi"/>
        </w:rPr>
        <w:t xml:space="preserve">The process of interpretation should begin with consideration of the </w:t>
      </w:r>
      <w:r w:rsidR="0089725B" w:rsidRPr="00001F7B">
        <w:rPr>
          <w:rFonts w:cstheme="minorHAnsi"/>
        </w:rPr>
        <w:t>ordinary meaning of the words used in the context of the surrounding text</w:t>
      </w:r>
      <w:r w:rsidR="00583804">
        <w:rPr>
          <w:rFonts w:cstheme="minorHAnsi"/>
        </w:rPr>
        <w:t xml:space="preserve"> (art 31.1)</w:t>
      </w:r>
      <w:r w:rsidR="0089725B" w:rsidRPr="00001F7B">
        <w:rPr>
          <w:rFonts w:cstheme="minorHAnsi"/>
        </w:rPr>
        <w:t xml:space="preserve">. There may be more than one ordinary meaning including the ordinary legal meaning of words where this </w:t>
      </w:r>
      <w:r w:rsidR="00ED6246" w:rsidRPr="00001F7B">
        <w:rPr>
          <w:rFonts w:cstheme="minorHAnsi"/>
        </w:rPr>
        <w:t>clearly appears from the context</w:t>
      </w:r>
      <w:r w:rsidR="0089725B" w:rsidRPr="00001F7B">
        <w:rPr>
          <w:rFonts w:cstheme="minorHAnsi"/>
        </w:rPr>
        <w:t>.</w:t>
      </w:r>
      <w:r w:rsidR="00583804">
        <w:rPr>
          <w:rFonts w:cstheme="minorHAnsi"/>
        </w:rPr>
        <w:t xml:space="preserve"> </w:t>
      </w:r>
      <w:r w:rsidR="0089725B" w:rsidRPr="00001F7B">
        <w:rPr>
          <w:rFonts w:cstheme="minorHAnsi"/>
        </w:rPr>
        <w:t xml:space="preserve"> </w:t>
      </w:r>
    </w:p>
    <w:p w14:paraId="3C90F9E7" w14:textId="00D66942" w:rsidR="000F4EBA" w:rsidRPr="00001F7B" w:rsidRDefault="000427DF" w:rsidP="00001F7B">
      <w:pPr>
        <w:rPr>
          <w:rFonts w:cstheme="minorHAnsi"/>
        </w:rPr>
      </w:pPr>
      <w:r w:rsidRPr="00001F7B">
        <w:rPr>
          <w:rFonts w:cstheme="minorHAnsi"/>
          <w:b/>
          <w:bCs/>
        </w:rPr>
        <w:t>7.3</w:t>
      </w:r>
      <w:r w:rsidR="001F0A80" w:rsidRPr="00001F7B">
        <w:rPr>
          <w:rFonts w:cstheme="minorHAnsi"/>
          <w:b/>
          <w:bCs/>
        </w:rPr>
        <w:t>.</w:t>
      </w:r>
      <w:r w:rsidRPr="00001F7B">
        <w:rPr>
          <w:rFonts w:cstheme="minorHAnsi"/>
        </w:rPr>
        <w:t xml:space="preserve"> </w:t>
      </w:r>
      <w:r w:rsidR="00583804">
        <w:rPr>
          <w:rFonts w:cstheme="minorHAnsi"/>
        </w:rPr>
        <w:t xml:space="preserve">Good faith relates to the whole process of interpretation and incorporates elements of reasonableness and support for the effectiveness of the treaty (see generally above </w:t>
      </w:r>
      <w:r w:rsidR="00583804" w:rsidRPr="00583804">
        <w:rPr>
          <w:rFonts w:cstheme="minorHAnsi"/>
          <w:b/>
          <w:bCs/>
        </w:rPr>
        <w:t>3.2.1</w:t>
      </w:r>
      <w:r w:rsidR="00E14919">
        <w:rPr>
          <w:rFonts w:cstheme="minorHAnsi"/>
          <w:b/>
          <w:bCs/>
        </w:rPr>
        <w:t>.1</w:t>
      </w:r>
      <w:r w:rsidR="00583804">
        <w:rPr>
          <w:rFonts w:cstheme="minorHAnsi"/>
        </w:rPr>
        <w:t xml:space="preserve">) </w:t>
      </w:r>
      <w:r w:rsidR="006B1C8E" w:rsidRPr="00001F7B">
        <w:rPr>
          <w:rFonts w:cstheme="minorHAnsi"/>
        </w:rPr>
        <w:t xml:space="preserve">Consideration of </w:t>
      </w:r>
      <w:r w:rsidR="0035107D" w:rsidRPr="00001F7B">
        <w:rPr>
          <w:rFonts w:cstheme="minorHAnsi"/>
        </w:rPr>
        <w:t xml:space="preserve">the </w:t>
      </w:r>
      <w:r w:rsidR="006B1C8E" w:rsidRPr="00001F7B">
        <w:rPr>
          <w:rFonts w:cstheme="minorHAnsi"/>
        </w:rPr>
        <w:t xml:space="preserve">purpose </w:t>
      </w:r>
      <w:r w:rsidR="0035107D" w:rsidRPr="00001F7B">
        <w:rPr>
          <w:rFonts w:cstheme="minorHAnsi"/>
        </w:rPr>
        <w:t xml:space="preserve">of a provision </w:t>
      </w:r>
      <w:r w:rsidR="006B1C8E" w:rsidRPr="00001F7B">
        <w:rPr>
          <w:rFonts w:cstheme="minorHAnsi"/>
        </w:rPr>
        <w:t xml:space="preserve">is a natural part of the context </w:t>
      </w:r>
      <w:r w:rsidR="00ED6246" w:rsidRPr="00001F7B">
        <w:rPr>
          <w:rFonts w:cstheme="minorHAnsi"/>
        </w:rPr>
        <w:t xml:space="preserve">but should be closely related to the immediate context in which the words appear. Generalised statements of purpose must be treated with care if seeking to draw conclusions about a specific provision and as far as possible speculation about purpose should be avoided. </w:t>
      </w:r>
    </w:p>
    <w:p w14:paraId="026860FC" w14:textId="38D8C6A6" w:rsidR="002C2CDE" w:rsidRPr="00001F7B" w:rsidRDefault="000427DF" w:rsidP="00001F7B">
      <w:pPr>
        <w:rPr>
          <w:rFonts w:cstheme="minorHAnsi"/>
        </w:rPr>
      </w:pPr>
      <w:r w:rsidRPr="00001F7B">
        <w:rPr>
          <w:rFonts w:cstheme="minorHAnsi"/>
          <w:b/>
          <w:bCs/>
        </w:rPr>
        <w:t>7.4</w:t>
      </w:r>
      <w:r w:rsidR="001F0A80" w:rsidRPr="00001F7B">
        <w:rPr>
          <w:rFonts w:cstheme="minorHAnsi"/>
          <w:b/>
          <w:bCs/>
        </w:rPr>
        <w:t>.</w:t>
      </w:r>
      <w:r w:rsidR="0035107D" w:rsidRPr="00001F7B">
        <w:rPr>
          <w:rFonts w:cstheme="minorHAnsi"/>
        </w:rPr>
        <w:t xml:space="preserve"> The reference ‘in the light of its object and purpose’ is a reference to overall objective. In respect of CMR the preamble makes clear the objective of</w:t>
      </w:r>
      <w:r w:rsidR="002C2CDE" w:rsidRPr="00001F7B">
        <w:rPr>
          <w:rFonts w:cstheme="minorHAnsi"/>
        </w:rPr>
        <w:t xml:space="preserve"> standardisation of rules in a commercial context</w:t>
      </w:r>
      <w:r w:rsidR="0035107D" w:rsidRPr="00001F7B">
        <w:rPr>
          <w:rFonts w:cstheme="minorHAnsi"/>
        </w:rPr>
        <w:t xml:space="preserve">. </w:t>
      </w:r>
      <w:r w:rsidR="002C2CDE" w:rsidRPr="00001F7B">
        <w:rPr>
          <w:rFonts w:cstheme="minorHAnsi"/>
        </w:rPr>
        <w:t xml:space="preserve">From this follows attention to the need for certain and predictable rules applied consistently </w:t>
      </w:r>
      <w:r w:rsidR="002D2D4C" w:rsidRPr="00001F7B">
        <w:rPr>
          <w:rFonts w:cstheme="minorHAnsi"/>
        </w:rPr>
        <w:t>across</w:t>
      </w:r>
      <w:r w:rsidR="002C2CDE" w:rsidRPr="00001F7B">
        <w:rPr>
          <w:rFonts w:cstheme="minorHAnsi"/>
        </w:rPr>
        <w:t xml:space="preserve"> member states. </w:t>
      </w:r>
    </w:p>
    <w:p w14:paraId="28387F7A" w14:textId="7AD4DD2B" w:rsidR="00DB6F82" w:rsidRPr="00001F7B" w:rsidRDefault="000427DF" w:rsidP="00001F7B">
      <w:pPr>
        <w:rPr>
          <w:rFonts w:cstheme="minorHAnsi"/>
        </w:rPr>
      </w:pPr>
      <w:r w:rsidRPr="00001F7B">
        <w:rPr>
          <w:rFonts w:cstheme="minorHAnsi"/>
          <w:b/>
          <w:bCs/>
        </w:rPr>
        <w:t>7.5</w:t>
      </w:r>
      <w:r w:rsidR="001F0A80" w:rsidRPr="00001F7B">
        <w:rPr>
          <w:rFonts w:cstheme="minorHAnsi"/>
          <w:b/>
          <w:bCs/>
        </w:rPr>
        <w:t>.</w:t>
      </w:r>
      <w:r w:rsidRPr="00001F7B">
        <w:rPr>
          <w:rFonts w:cstheme="minorHAnsi"/>
        </w:rPr>
        <w:t xml:space="preserve"> </w:t>
      </w:r>
      <w:r w:rsidR="00E3472B" w:rsidRPr="00001F7B">
        <w:rPr>
          <w:rFonts w:cstheme="minorHAnsi"/>
        </w:rPr>
        <w:t>Reference to foreign decisions might possibly be regarded as falling within art 31</w:t>
      </w:r>
      <w:r w:rsidR="00E14919">
        <w:rPr>
          <w:rFonts w:cstheme="minorHAnsi"/>
        </w:rPr>
        <w:t>.3(b)</w:t>
      </w:r>
      <w:r w:rsidR="00E3472B" w:rsidRPr="00001F7B">
        <w:rPr>
          <w:rFonts w:cstheme="minorHAnsi"/>
        </w:rPr>
        <w:t xml:space="preserve"> as subsequent practice</w:t>
      </w:r>
      <w:r w:rsidR="000D6139" w:rsidRPr="00001F7B">
        <w:rPr>
          <w:rFonts w:cstheme="minorHAnsi"/>
        </w:rPr>
        <w:t xml:space="preserve">. However, technically it is only required </w:t>
      </w:r>
      <w:r w:rsidR="000D6139" w:rsidRPr="00001F7B">
        <w:rPr>
          <w:rFonts w:cstheme="minorHAnsi"/>
          <w:i/>
          <w:iCs/>
        </w:rPr>
        <w:t>to be taken into account</w:t>
      </w:r>
      <w:r w:rsidR="000D6139" w:rsidRPr="00001F7B">
        <w:rPr>
          <w:rFonts w:cstheme="minorHAnsi"/>
        </w:rPr>
        <w:t xml:space="preserve"> if it establishes the agreement of the parties</w:t>
      </w:r>
      <w:r w:rsidR="00D9647E" w:rsidRPr="00001F7B">
        <w:rPr>
          <w:rFonts w:cstheme="minorHAnsi"/>
        </w:rPr>
        <w:t xml:space="preserve"> (see above pp 24-25)</w:t>
      </w:r>
      <w:r w:rsidR="00E3472B" w:rsidRPr="00001F7B">
        <w:rPr>
          <w:rFonts w:cstheme="minorHAnsi"/>
        </w:rPr>
        <w:t xml:space="preserve">. </w:t>
      </w:r>
      <w:r w:rsidR="005B1D45" w:rsidRPr="00001F7B">
        <w:rPr>
          <w:rFonts w:cstheme="minorHAnsi"/>
        </w:rPr>
        <w:t>S</w:t>
      </w:r>
      <w:r w:rsidR="000D6139" w:rsidRPr="00001F7B">
        <w:rPr>
          <w:rFonts w:cstheme="minorHAnsi"/>
        </w:rPr>
        <w:t>trictly applied to a multilateral treaty such as CMR this requirement seems</w:t>
      </w:r>
      <w:r w:rsidR="000553F9" w:rsidRPr="00001F7B">
        <w:rPr>
          <w:rFonts w:cstheme="minorHAnsi"/>
        </w:rPr>
        <w:t xml:space="preserve"> unlikely to be fulfilled</w:t>
      </w:r>
      <w:r w:rsidR="000D6139" w:rsidRPr="00001F7B">
        <w:rPr>
          <w:rFonts w:cstheme="minorHAnsi"/>
        </w:rPr>
        <w:t xml:space="preserve">. </w:t>
      </w:r>
      <w:r w:rsidR="00BE5D85" w:rsidRPr="00001F7B">
        <w:rPr>
          <w:rFonts w:cstheme="minorHAnsi"/>
        </w:rPr>
        <w:t>If regarded as supplementary means</w:t>
      </w:r>
      <w:r w:rsidR="00E14919">
        <w:rPr>
          <w:rFonts w:cstheme="minorHAnsi"/>
        </w:rPr>
        <w:t xml:space="preserve"> under art 32</w:t>
      </w:r>
      <w:r w:rsidR="00BE5D85" w:rsidRPr="00001F7B">
        <w:rPr>
          <w:rFonts w:cstheme="minorHAnsi"/>
        </w:rPr>
        <w:t>,</w:t>
      </w:r>
      <w:r w:rsidR="004824A7" w:rsidRPr="00001F7B">
        <w:rPr>
          <w:rFonts w:cstheme="minorHAnsi"/>
        </w:rPr>
        <w:t xml:space="preserve"> however,</w:t>
      </w:r>
      <w:r w:rsidR="00BE5D85" w:rsidRPr="00001F7B">
        <w:rPr>
          <w:rFonts w:cstheme="minorHAnsi"/>
        </w:rPr>
        <w:t xml:space="preserve"> there is certainly n</w:t>
      </w:r>
      <w:r w:rsidR="00E3472B" w:rsidRPr="00001F7B">
        <w:rPr>
          <w:rFonts w:cstheme="minorHAnsi"/>
        </w:rPr>
        <w:t xml:space="preserve">o precondition such as a finding of ambiguity </w:t>
      </w:r>
      <w:r w:rsidR="00BE5D85" w:rsidRPr="00001F7B">
        <w:rPr>
          <w:rFonts w:cstheme="minorHAnsi"/>
        </w:rPr>
        <w:t>before</w:t>
      </w:r>
      <w:r w:rsidR="00E3472B" w:rsidRPr="00001F7B">
        <w:rPr>
          <w:rFonts w:cstheme="minorHAnsi"/>
        </w:rPr>
        <w:t xml:space="preserve"> consideration of </w:t>
      </w:r>
      <w:r w:rsidR="00BE5D85" w:rsidRPr="00001F7B">
        <w:rPr>
          <w:rFonts w:cstheme="minorHAnsi"/>
        </w:rPr>
        <w:t>them is permitted</w:t>
      </w:r>
      <w:r w:rsidR="00E3472B" w:rsidRPr="00001F7B">
        <w:rPr>
          <w:rFonts w:cstheme="minorHAnsi"/>
        </w:rPr>
        <w:t xml:space="preserve">. </w:t>
      </w:r>
      <w:r w:rsidR="002D2D4C" w:rsidRPr="00001F7B">
        <w:rPr>
          <w:rFonts w:cstheme="minorHAnsi"/>
        </w:rPr>
        <w:t>Arguably, t</w:t>
      </w:r>
      <w:r w:rsidR="00BE5D85" w:rsidRPr="00001F7B">
        <w:rPr>
          <w:rFonts w:cstheme="minorHAnsi"/>
        </w:rPr>
        <w:t xml:space="preserve">his may be a case where the object and purpose of CMR is given greater weight </w:t>
      </w:r>
      <w:r w:rsidR="00237D91" w:rsidRPr="00001F7B">
        <w:rPr>
          <w:rFonts w:cstheme="minorHAnsi"/>
        </w:rPr>
        <w:t xml:space="preserve">so that there should be a </w:t>
      </w:r>
      <w:r w:rsidR="00BE5D85" w:rsidRPr="00001F7B">
        <w:rPr>
          <w:rFonts w:cstheme="minorHAnsi"/>
        </w:rPr>
        <w:t>requir</w:t>
      </w:r>
      <w:r w:rsidR="00237D91" w:rsidRPr="00001F7B">
        <w:rPr>
          <w:rFonts w:cstheme="minorHAnsi"/>
        </w:rPr>
        <w:t xml:space="preserve">ement to seek out </w:t>
      </w:r>
      <w:r w:rsidR="004824A7" w:rsidRPr="00001F7B">
        <w:rPr>
          <w:rFonts w:cstheme="minorHAnsi"/>
        </w:rPr>
        <w:t xml:space="preserve">and consider </w:t>
      </w:r>
      <w:r w:rsidR="00237D91" w:rsidRPr="00001F7B">
        <w:rPr>
          <w:rFonts w:cstheme="minorHAnsi"/>
        </w:rPr>
        <w:t xml:space="preserve">foreign decisions. In an adversarial system a judge should at least feel an obligation </w:t>
      </w:r>
      <w:r w:rsidR="00D2543F" w:rsidRPr="00001F7B">
        <w:rPr>
          <w:rFonts w:cstheme="minorHAnsi"/>
        </w:rPr>
        <w:t xml:space="preserve">to </w:t>
      </w:r>
      <w:r w:rsidR="00237D91" w:rsidRPr="00001F7B">
        <w:rPr>
          <w:rFonts w:cstheme="minorHAnsi"/>
        </w:rPr>
        <w:t>invite counsel to</w:t>
      </w:r>
      <w:r w:rsidR="00D2543F" w:rsidRPr="00001F7B">
        <w:rPr>
          <w:rFonts w:cstheme="minorHAnsi"/>
        </w:rPr>
        <w:t xml:space="preserve"> </w:t>
      </w:r>
      <w:r w:rsidR="005E1351" w:rsidRPr="00001F7B">
        <w:rPr>
          <w:rFonts w:cstheme="minorHAnsi"/>
        </w:rPr>
        <w:t>refer to any that are</w:t>
      </w:r>
      <w:r w:rsidR="00D2543F" w:rsidRPr="00001F7B">
        <w:rPr>
          <w:rFonts w:cstheme="minorHAnsi"/>
        </w:rPr>
        <w:t xml:space="preserve"> available </w:t>
      </w:r>
      <w:r w:rsidR="005E1351" w:rsidRPr="00001F7B">
        <w:rPr>
          <w:rFonts w:cstheme="minorHAnsi"/>
        </w:rPr>
        <w:t>and</w:t>
      </w:r>
      <w:r w:rsidR="00D2543F" w:rsidRPr="00001F7B">
        <w:rPr>
          <w:rFonts w:cstheme="minorHAnsi"/>
        </w:rPr>
        <w:t xml:space="preserve"> on point</w:t>
      </w:r>
      <w:r w:rsidR="002D2D4C" w:rsidRPr="00001F7B">
        <w:rPr>
          <w:rFonts w:cstheme="minorHAnsi"/>
        </w:rPr>
        <w:t xml:space="preserve"> (cf., the text to </w:t>
      </w:r>
      <w:proofErr w:type="spellStart"/>
      <w:r w:rsidR="002D2D4C" w:rsidRPr="00001F7B">
        <w:rPr>
          <w:rFonts w:cstheme="minorHAnsi"/>
        </w:rPr>
        <w:t>fn</w:t>
      </w:r>
      <w:proofErr w:type="spellEnd"/>
      <w:r w:rsidR="002D2D4C" w:rsidRPr="00001F7B">
        <w:rPr>
          <w:rFonts w:cstheme="minorHAnsi"/>
        </w:rPr>
        <w:t xml:space="preserve"> 112</w:t>
      </w:r>
      <w:r w:rsidR="00A63BCA" w:rsidRPr="00001F7B">
        <w:rPr>
          <w:rFonts w:cstheme="minorHAnsi"/>
        </w:rPr>
        <w:t xml:space="preserve"> in the Review of UK </w:t>
      </w:r>
      <w:r w:rsidR="004824A7" w:rsidRPr="00001F7B">
        <w:rPr>
          <w:rFonts w:cstheme="minorHAnsi"/>
        </w:rPr>
        <w:t>Law</w:t>
      </w:r>
      <w:r w:rsidR="00A63BCA" w:rsidRPr="00001F7B">
        <w:rPr>
          <w:rFonts w:cstheme="minorHAnsi"/>
        </w:rPr>
        <w:t xml:space="preserve"> in the Annex Folder)</w:t>
      </w:r>
      <w:r w:rsidR="00D2543F" w:rsidRPr="00001F7B">
        <w:rPr>
          <w:rFonts w:cstheme="minorHAnsi"/>
        </w:rPr>
        <w:t xml:space="preserve">. </w:t>
      </w:r>
      <w:r w:rsidR="00BE5D85" w:rsidRPr="00001F7B">
        <w:rPr>
          <w:rFonts w:cstheme="minorHAnsi"/>
        </w:rPr>
        <w:t>The extent to which they should then be</w:t>
      </w:r>
      <w:r w:rsidR="00953359" w:rsidRPr="00001F7B">
        <w:rPr>
          <w:rFonts w:cstheme="minorHAnsi"/>
        </w:rPr>
        <w:t xml:space="preserve"> </w:t>
      </w:r>
      <w:r w:rsidR="00BE5D85" w:rsidRPr="00001F7B">
        <w:rPr>
          <w:rFonts w:cstheme="minorHAnsi"/>
        </w:rPr>
        <w:t>taken into account in determin</w:t>
      </w:r>
      <w:r w:rsidR="00237D91" w:rsidRPr="00001F7B">
        <w:rPr>
          <w:rFonts w:cstheme="minorHAnsi"/>
        </w:rPr>
        <w:t xml:space="preserve">ing or confirming meaning </w:t>
      </w:r>
      <w:r w:rsidR="00D2543F" w:rsidRPr="00001F7B">
        <w:rPr>
          <w:rFonts w:cstheme="minorHAnsi"/>
        </w:rPr>
        <w:t xml:space="preserve">would depend </w:t>
      </w:r>
      <w:r w:rsidR="00B75882" w:rsidRPr="00001F7B">
        <w:rPr>
          <w:rFonts w:cstheme="minorHAnsi"/>
        </w:rPr>
        <w:t xml:space="preserve">on the circumstances. </w:t>
      </w:r>
      <w:r w:rsidR="00E3472B" w:rsidRPr="00001F7B">
        <w:rPr>
          <w:rFonts w:cstheme="minorHAnsi"/>
        </w:rPr>
        <w:t>Naturally they are most valuable when a clear view is indicated by a line of cases especially</w:t>
      </w:r>
      <w:r w:rsidR="00AA6164" w:rsidRPr="00001F7B">
        <w:rPr>
          <w:rFonts w:cstheme="minorHAnsi"/>
        </w:rPr>
        <w:t xml:space="preserve"> </w:t>
      </w:r>
      <w:r w:rsidR="00E3472B" w:rsidRPr="00001F7B">
        <w:rPr>
          <w:rFonts w:cstheme="minorHAnsi"/>
        </w:rPr>
        <w:t>if the reasoning is persuasive. The fact that there may be contradictory decision</w:t>
      </w:r>
      <w:r w:rsidR="007B2343" w:rsidRPr="00001F7B">
        <w:rPr>
          <w:rFonts w:cstheme="minorHAnsi"/>
        </w:rPr>
        <w:t>s</w:t>
      </w:r>
      <w:r w:rsidR="00E3472B" w:rsidRPr="00001F7B">
        <w:rPr>
          <w:rFonts w:cstheme="minorHAnsi"/>
        </w:rPr>
        <w:t xml:space="preserve"> is not a reason for abandoning consideration of them</w:t>
      </w:r>
      <w:r w:rsidR="004824A7" w:rsidRPr="00001F7B">
        <w:rPr>
          <w:rFonts w:cstheme="minorHAnsi"/>
        </w:rPr>
        <w:t xml:space="preserve"> (see above </w:t>
      </w:r>
      <w:proofErr w:type="spellStart"/>
      <w:r w:rsidR="004824A7" w:rsidRPr="00001F7B">
        <w:rPr>
          <w:rFonts w:cstheme="minorHAnsi"/>
        </w:rPr>
        <w:t>fn</w:t>
      </w:r>
      <w:proofErr w:type="spellEnd"/>
      <w:r w:rsidR="004824A7" w:rsidRPr="00001F7B">
        <w:rPr>
          <w:rFonts w:cstheme="minorHAnsi"/>
        </w:rPr>
        <w:t xml:space="preserve"> </w:t>
      </w:r>
      <w:r w:rsidR="00953359" w:rsidRPr="00001F7B">
        <w:rPr>
          <w:rFonts w:cstheme="minorHAnsi"/>
        </w:rPr>
        <w:t>140)</w:t>
      </w:r>
      <w:r w:rsidR="004824A7" w:rsidRPr="00001F7B">
        <w:rPr>
          <w:rFonts w:cstheme="minorHAnsi"/>
        </w:rPr>
        <w:t>.</w:t>
      </w:r>
      <w:r w:rsidR="00E3472B" w:rsidRPr="00001F7B">
        <w:rPr>
          <w:rFonts w:cstheme="minorHAnsi"/>
        </w:rPr>
        <w:t xml:space="preserve">  As far as possible the rationale for the decisions should be extracted and compared. Naturally the level of court and the quality of the report </w:t>
      </w:r>
      <w:r w:rsidR="00953359" w:rsidRPr="00001F7B">
        <w:rPr>
          <w:rFonts w:cstheme="minorHAnsi"/>
        </w:rPr>
        <w:t>should</w:t>
      </w:r>
      <w:r w:rsidR="00E3472B" w:rsidRPr="00001F7B">
        <w:rPr>
          <w:rFonts w:cstheme="minorHAnsi"/>
        </w:rPr>
        <w:t xml:space="preserve"> be taken into account but sometimes lower court decisions can </w:t>
      </w:r>
      <w:r w:rsidR="00953359" w:rsidRPr="00001F7B">
        <w:rPr>
          <w:rFonts w:cstheme="minorHAnsi"/>
        </w:rPr>
        <w:t xml:space="preserve">still </w:t>
      </w:r>
      <w:r w:rsidR="00E3472B" w:rsidRPr="00001F7B">
        <w:rPr>
          <w:rFonts w:cstheme="minorHAnsi"/>
        </w:rPr>
        <w:t xml:space="preserve">provide valuable insights. </w:t>
      </w:r>
    </w:p>
    <w:p w14:paraId="24EB3ABF" w14:textId="743BCA47" w:rsidR="00D711BC" w:rsidRPr="00001F7B" w:rsidRDefault="000427DF" w:rsidP="00001F7B">
      <w:pPr>
        <w:rPr>
          <w:rFonts w:cstheme="minorHAnsi"/>
        </w:rPr>
      </w:pPr>
      <w:r w:rsidRPr="00001F7B">
        <w:rPr>
          <w:rFonts w:cstheme="minorHAnsi"/>
          <w:b/>
          <w:bCs/>
        </w:rPr>
        <w:t>7.6</w:t>
      </w:r>
      <w:r w:rsidR="001F0A80" w:rsidRPr="00001F7B">
        <w:rPr>
          <w:rFonts w:cstheme="minorHAnsi"/>
          <w:b/>
          <w:bCs/>
        </w:rPr>
        <w:t>.</w:t>
      </w:r>
      <w:r w:rsidRPr="00001F7B">
        <w:rPr>
          <w:rFonts w:cstheme="minorHAnsi"/>
        </w:rPr>
        <w:t xml:space="preserve"> </w:t>
      </w:r>
      <w:r w:rsidR="00D711BC" w:rsidRPr="00001F7B">
        <w:rPr>
          <w:rFonts w:cstheme="minorHAnsi"/>
        </w:rPr>
        <w:t xml:space="preserve">Any initial findings from the </w:t>
      </w:r>
      <w:r w:rsidR="00AE7C8F" w:rsidRPr="00001F7B">
        <w:rPr>
          <w:rFonts w:cstheme="minorHAnsi"/>
        </w:rPr>
        <w:t>first stage of enquiry should be reviewed against the remaining factors identified in arts 31 and 32. The process is not a rigid linear one and definite findings at an early stage should be avoided. The process is designed to lead to a final conclusion after consideration of all relevant factors.</w:t>
      </w:r>
      <w:r w:rsidR="00953359" w:rsidRPr="00001F7B">
        <w:rPr>
          <w:rFonts w:cstheme="minorHAnsi"/>
        </w:rPr>
        <w:t xml:space="preserve"> See above p 35</w:t>
      </w:r>
      <w:r w:rsidR="00E84393">
        <w:rPr>
          <w:rFonts w:cstheme="minorHAnsi"/>
        </w:rPr>
        <w:t xml:space="preserve">, especially </w:t>
      </w:r>
      <w:proofErr w:type="spellStart"/>
      <w:r w:rsidR="00E84393">
        <w:rPr>
          <w:rFonts w:cstheme="minorHAnsi"/>
        </w:rPr>
        <w:t>fn</w:t>
      </w:r>
      <w:proofErr w:type="spellEnd"/>
      <w:r w:rsidR="00E84393">
        <w:rPr>
          <w:rFonts w:cstheme="minorHAnsi"/>
        </w:rPr>
        <w:t xml:space="preserve"> 212 and the view that the process is one of ‘progressive encirclement’</w:t>
      </w:r>
      <w:r w:rsidR="00953359" w:rsidRPr="00001F7B">
        <w:rPr>
          <w:rFonts w:cstheme="minorHAnsi"/>
        </w:rPr>
        <w:t xml:space="preserve">. </w:t>
      </w:r>
      <w:r w:rsidR="00AE7C8F" w:rsidRPr="00001F7B">
        <w:rPr>
          <w:rFonts w:cstheme="minorHAnsi"/>
        </w:rPr>
        <w:t xml:space="preserve"> </w:t>
      </w:r>
    </w:p>
    <w:p w14:paraId="572575E3" w14:textId="096E4E1F" w:rsidR="0025520D" w:rsidRPr="00001F7B" w:rsidRDefault="000427DF" w:rsidP="00001F7B">
      <w:pPr>
        <w:rPr>
          <w:rFonts w:cstheme="minorHAnsi"/>
        </w:rPr>
      </w:pPr>
      <w:r w:rsidRPr="00001F7B">
        <w:rPr>
          <w:rFonts w:cstheme="minorHAnsi"/>
          <w:b/>
          <w:bCs/>
        </w:rPr>
        <w:t>7.7</w:t>
      </w:r>
      <w:r w:rsidR="001F0A80" w:rsidRPr="00001F7B">
        <w:rPr>
          <w:rFonts w:cstheme="minorHAnsi"/>
          <w:b/>
          <w:bCs/>
        </w:rPr>
        <w:t>.</w:t>
      </w:r>
      <w:r w:rsidRPr="00001F7B">
        <w:rPr>
          <w:rFonts w:cstheme="minorHAnsi"/>
        </w:rPr>
        <w:t xml:space="preserve"> </w:t>
      </w:r>
      <w:r w:rsidR="0025520D" w:rsidRPr="00001F7B">
        <w:rPr>
          <w:rFonts w:cstheme="minorHAnsi"/>
        </w:rPr>
        <w:t xml:space="preserve">Consideration of cognate conventions </w:t>
      </w:r>
      <w:r w:rsidR="00D711BC" w:rsidRPr="00001F7B">
        <w:rPr>
          <w:rFonts w:cstheme="minorHAnsi"/>
        </w:rPr>
        <w:t>might</w:t>
      </w:r>
      <w:r w:rsidR="0025520D" w:rsidRPr="00001F7B">
        <w:rPr>
          <w:rFonts w:cstheme="minorHAnsi"/>
        </w:rPr>
        <w:t xml:space="preserve"> form part of the authentic means</w:t>
      </w:r>
      <w:r w:rsidR="00E84393">
        <w:rPr>
          <w:rFonts w:cstheme="minorHAnsi"/>
        </w:rPr>
        <w:t xml:space="preserve"> (under art 31.3(c), see above pp</w:t>
      </w:r>
      <w:r w:rsidR="00604A80">
        <w:rPr>
          <w:rFonts w:cstheme="minorHAnsi"/>
        </w:rPr>
        <w:t xml:space="preserve"> 26-7)</w:t>
      </w:r>
      <w:r w:rsidR="00E84393">
        <w:rPr>
          <w:rFonts w:cstheme="minorHAnsi"/>
        </w:rPr>
        <w:t xml:space="preserve">, </w:t>
      </w:r>
      <w:r w:rsidR="0025520D" w:rsidRPr="00001F7B">
        <w:rPr>
          <w:rFonts w:cstheme="minorHAnsi"/>
        </w:rPr>
        <w:t xml:space="preserve">but it may not matter whether they are treated as such or regarded as supplementary. Either way there is no restriction on consideration of them. Special attention should be paid to the CIM Rules which were in the course of revision at the same </w:t>
      </w:r>
      <w:r w:rsidR="00EA5EEB" w:rsidRPr="00001F7B">
        <w:rPr>
          <w:rFonts w:cstheme="minorHAnsi"/>
        </w:rPr>
        <w:t xml:space="preserve">time </w:t>
      </w:r>
      <w:r w:rsidR="0025520D" w:rsidRPr="00001F7B">
        <w:rPr>
          <w:rFonts w:cstheme="minorHAnsi"/>
        </w:rPr>
        <w:t>as CMR was being developed.</w:t>
      </w:r>
    </w:p>
    <w:p w14:paraId="3EB1AE82" w14:textId="687DB548" w:rsidR="00B23BA2" w:rsidRPr="00001F7B" w:rsidRDefault="000427DF" w:rsidP="00001F7B">
      <w:pPr>
        <w:rPr>
          <w:rFonts w:cstheme="minorHAnsi"/>
        </w:rPr>
      </w:pPr>
      <w:r w:rsidRPr="00001F7B">
        <w:rPr>
          <w:rFonts w:cstheme="minorHAnsi"/>
          <w:b/>
          <w:bCs/>
        </w:rPr>
        <w:t>7.8</w:t>
      </w:r>
      <w:r w:rsidR="001F0A80" w:rsidRPr="00001F7B">
        <w:rPr>
          <w:rFonts w:cstheme="minorHAnsi"/>
          <w:b/>
          <w:bCs/>
        </w:rPr>
        <w:t>.</w:t>
      </w:r>
      <w:r w:rsidRPr="00001F7B">
        <w:rPr>
          <w:rFonts w:cstheme="minorHAnsi"/>
        </w:rPr>
        <w:t xml:space="preserve"> </w:t>
      </w:r>
      <w:r w:rsidR="002C2CDE" w:rsidRPr="00001F7B">
        <w:rPr>
          <w:rFonts w:cstheme="minorHAnsi"/>
        </w:rPr>
        <w:t xml:space="preserve">The preconditions for </w:t>
      </w:r>
      <w:r w:rsidR="001B7CD8" w:rsidRPr="00001F7B">
        <w:rPr>
          <w:rFonts w:cstheme="minorHAnsi"/>
        </w:rPr>
        <w:t xml:space="preserve">consideration of </w:t>
      </w:r>
      <w:r w:rsidR="001B7CD8" w:rsidRPr="00001F7B">
        <w:rPr>
          <w:rFonts w:cstheme="minorHAnsi"/>
          <w:i/>
          <w:iCs/>
        </w:rPr>
        <w:t>travaux</w:t>
      </w:r>
      <w:r w:rsidR="0035107D" w:rsidRPr="00001F7B">
        <w:rPr>
          <w:rFonts w:cstheme="minorHAnsi"/>
          <w:i/>
          <w:iCs/>
        </w:rPr>
        <w:t xml:space="preserve"> </w:t>
      </w:r>
      <w:proofErr w:type="spellStart"/>
      <w:r w:rsidR="00EA5EEB" w:rsidRPr="00001F7B">
        <w:rPr>
          <w:rFonts w:cstheme="minorHAnsi"/>
          <w:i/>
          <w:iCs/>
        </w:rPr>
        <w:t>préparatoires</w:t>
      </w:r>
      <w:proofErr w:type="spellEnd"/>
      <w:r w:rsidR="00EA5EEB" w:rsidRPr="00001F7B">
        <w:rPr>
          <w:rFonts w:cstheme="minorHAnsi"/>
        </w:rPr>
        <w:t xml:space="preserve"> </w:t>
      </w:r>
      <w:r w:rsidR="001B7CD8" w:rsidRPr="00001F7B">
        <w:rPr>
          <w:rFonts w:cstheme="minorHAnsi"/>
        </w:rPr>
        <w:t xml:space="preserve">do not include any requirement for a finding of ambiguity before they can be consulted. If accessible, consultation should be automatic. </w:t>
      </w:r>
      <w:r w:rsidR="00B75882" w:rsidRPr="00001F7B">
        <w:rPr>
          <w:rFonts w:cstheme="minorHAnsi"/>
        </w:rPr>
        <w:t>Again, the object and purpose of CMR, arguably, could mean that the weight put on this factor is such as to require consultation of them.</w:t>
      </w:r>
      <w:r w:rsidR="00B23BA2" w:rsidRPr="00001F7B">
        <w:rPr>
          <w:rFonts w:cstheme="minorHAnsi"/>
        </w:rPr>
        <w:t xml:space="preserve"> As long as they remain formally inaccessible this is not a practical possibility.</w:t>
      </w:r>
      <w:r w:rsidR="00B75882" w:rsidRPr="00001F7B">
        <w:rPr>
          <w:rFonts w:cstheme="minorHAnsi"/>
        </w:rPr>
        <w:t xml:space="preserve"> However, </w:t>
      </w:r>
      <w:r w:rsidR="00B23BA2" w:rsidRPr="00001F7B">
        <w:rPr>
          <w:rFonts w:cstheme="minorHAnsi"/>
        </w:rPr>
        <w:t>it is possible that this may change. If so, the fact that they may only recently have become more accessible is not an obstacle to their use in the future</w:t>
      </w:r>
      <w:r w:rsidR="00EA5EEB" w:rsidRPr="00001F7B">
        <w:rPr>
          <w:rFonts w:cstheme="minorHAnsi"/>
        </w:rPr>
        <w:t xml:space="preserve"> (see Review of UK Law in the Annex Folde</w:t>
      </w:r>
      <w:r w:rsidR="00BB0D0F" w:rsidRPr="00001F7B">
        <w:rPr>
          <w:rFonts w:cstheme="minorHAnsi"/>
        </w:rPr>
        <w:t>r p 20)</w:t>
      </w:r>
      <w:r w:rsidR="00B23BA2" w:rsidRPr="00001F7B">
        <w:rPr>
          <w:rFonts w:cstheme="minorHAnsi"/>
        </w:rPr>
        <w:t>. Apart from that</w:t>
      </w:r>
      <w:r w:rsidR="00BB0D0F" w:rsidRPr="00001F7B">
        <w:rPr>
          <w:rFonts w:cstheme="minorHAnsi"/>
        </w:rPr>
        <w:t>,</w:t>
      </w:r>
      <w:r w:rsidR="001B7CD8" w:rsidRPr="00001F7B">
        <w:rPr>
          <w:rFonts w:cstheme="minorHAnsi"/>
        </w:rPr>
        <w:t xml:space="preserve"> directly accessible information about the preliminary process </w:t>
      </w:r>
      <w:r w:rsidR="003C5EC4" w:rsidRPr="00001F7B">
        <w:rPr>
          <w:rFonts w:cstheme="minorHAnsi"/>
        </w:rPr>
        <w:t>should be considered if obtainable</w:t>
      </w:r>
      <w:r w:rsidR="001B7CD8" w:rsidRPr="00001F7B">
        <w:rPr>
          <w:rFonts w:cstheme="minorHAnsi"/>
        </w:rPr>
        <w:t xml:space="preserve"> from secondary sources </w:t>
      </w:r>
      <w:r w:rsidR="003C5EC4" w:rsidRPr="00001F7B">
        <w:rPr>
          <w:rFonts w:cstheme="minorHAnsi"/>
        </w:rPr>
        <w:t xml:space="preserve">with the requisite degree of </w:t>
      </w:r>
      <w:r w:rsidR="001B7CD8" w:rsidRPr="00001F7B">
        <w:rPr>
          <w:rFonts w:cstheme="minorHAnsi"/>
        </w:rPr>
        <w:t>authority</w:t>
      </w:r>
      <w:r w:rsidR="003C5EC4" w:rsidRPr="00001F7B">
        <w:rPr>
          <w:rFonts w:cstheme="minorHAnsi"/>
        </w:rPr>
        <w:t xml:space="preserve"> and precision. </w:t>
      </w:r>
    </w:p>
    <w:p w14:paraId="69966863" w14:textId="39A06FB6" w:rsidR="003C5EC4" w:rsidRPr="00001F7B" w:rsidRDefault="001F0A80" w:rsidP="00001F7B">
      <w:pPr>
        <w:rPr>
          <w:rFonts w:cstheme="minorHAnsi"/>
        </w:rPr>
      </w:pPr>
      <w:r w:rsidRPr="00001F7B">
        <w:rPr>
          <w:rFonts w:cstheme="minorHAnsi"/>
          <w:b/>
          <w:bCs/>
        </w:rPr>
        <w:t>7.9.</w:t>
      </w:r>
      <w:r w:rsidRPr="00001F7B">
        <w:rPr>
          <w:rFonts w:cstheme="minorHAnsi"/>
        </w:rPr>
        <w:t xml:space="preserve"> </w:t>
      </w:r>
      <w:r w:rsidR="00B23BA2" w:rsidRPr="00001F7B">
        <w:rPr>
          <w:rFonts w:cstheme="minorHAnsi"/>
        </w:rPr>
        <w:t xml:space="preserve">If the direct use of the CMR </w:t>
      </w:r>
      <w:r w:rsidR="00B23BA2" w:rsidRPr="00001F7B">
        <w:rPr>
          <w:rFonts w:cstheme="minorHAnsi"/>
          <w:i/>
          <w:iCs/>
        </w:rPr>
        <w:t>travaux</w:t>
      </w:r>
      <w:r w:rsidR="00B23BA2" w:rsidRPr="00001F7B">
        <w:rPr>
          <w:rFonts w:cstheme="minorHAnsi"/>
        </w:rPr>
        <w:t xml:space="preserve"> does become possible the</w:t>
      </w:r>
      <w:r w:rsidR="00BB0D0F" w:rsidRPr="00001F7B">
        <w:rPr>
          <w:rFonts w:cstheme="minorHAnsi"/>
        </w:rPr>
        <w:t>n</w:t>
      </w:r>
      <w:r w:rsidR="00B23BA2" w:rsidRPr="00001F7B">
        <w:rPr>
          <w:rFonts w:cstheme="minorHAnsi"/>
        </w:rPr>
        <w:t xml:space="preserve"> i</w:t>
      </w:r>
      <w:r w:rsidR="003C5EC4" w:rsidRPr="00001F7B">
        <w:rPr>
          <w:rFonts w:cstheme="minorHAnsi"/>
        </w:rPr>
        <w:t>f the</w:t>
      </w:r>
      <w:r w:rsidR="00B23BA2" w:rsidRPr="00001F7B">
        <w:rPr>
          <w:rFonts w:cstheme="minorHAnsi"/>
        </w:rPr>
        <w:t xml:space="preserve">y point </w:t>
      </w:r>
      <w:r w:rsidR="003C5EC4" w:rsidRPr="00001F7B">
        <w:rPr>
          <w:rFonts w:cstheme="minorHAnsi"/>
        </w:rPr>
        <w:t>to a clear view of the</w:t>
      </w:r>
      <w:r w:rsidR="00013B1E" w:rsidRPr="00001F7B">
        <w:rPr>
          <w:rFonts w:cstheme="minorHAnsi"/>
        </w:rPr>
        <w:t xml:space="preserve"> precise </w:t>
      </w:r>
      <w:r w:rsidR="003C5EC4" w:rsidRPr="00001F7B">
        <w:rPr>
          <w:rFonts w:cstheme="minorHAnsi"/>
        </w:rPr>
        <w:t xml:space="preserve">purpose of a provision </w:t>
      </w:r>
      <w:r w:rsidR="00B23BA2" w:rsidRPr="00001F7B">
        <w:rPr>
          <w:rFonts w:cstheme="minorHAnsi"/>
        </w:rPr>
        <w:t xml:space="preserve">they </w:t>
      </w:r>
      <w:r w:rsidR="00013B1E" w:rsidRPr="00001F7B">
        <w:rPr>
          <w:rFonts w:cstheme="minorHAnsi"/>
        </w:rPr>
        <w:t xml:space="preserve">can be </w:t>
      </w:r>
      <w:r w:rsidR="00BB0D0F" w:rsidRPr="00001F7B">
        <w:rPr>
          <w:rFonts w:cstheme="minorHAnsi"/>
        </w:rPr>
        <w:t xml:space="preserve">treated as </w:t>
      </w:r>
      <w:r w:rsidR="00013B1E" w:rsidRPr="00001F7B">
        <w:rPr>
          <w:rFonts w:cstheme="minorHAnsi"/>
        </w:rPr>
        <w:t>strong evidence of meaning</w:t>
      </w:r>
      <w:r w:rsidR="00B23BA2" w:rsidRPr="00001F7B">
        <w:rPr>
          <w:rFonts w:cstheme="minorHAnsi"/>
        </w:rPr>
        <w:t>. However</w:t>
      </w:r>
      <w:r w:rsidR="005B1D45" w:rsidRPr="00001F7B">
        <w:rPr>
          <w:rFonts w:cstheme="minorHAnsi"/>
        </w:rPr>
        <w:t>,</w:t>
      </w:r>
      <w:r w:rsidR="00B23BA2" w:rsidRPr="00001F7B">
        <w:rPr>
          <w:rFonts w:cstheme="minorHAnsi"/>
        </w:rPr>
        <w:t xml:space="preserve"> th</w:t>
      </w:r>
      <w:r w:rsidR="005B1D45" w:rsidRPr="00001F7B">
        <w:rPr>
          <w:rFonts w:cstheme="minorHAnsi"/>
        </w:rPr>
        <w:t>eir</w:t>
      </w:r>
      <w:r w:rsidR="00013B1E" w:rsidRPr="00001F7B">
        <w:rPr>
          <w:rFonts w:cstheme="minorHAnsi"/>
        </w:rPr>
        <w:t xml:space="preserve"> value is not confined to that. </w:t>
      </w:r>
      <w:r w:rsidR="005B1D45" w:rsidRPr="00001F7B">
        <w:rPr>
          <w:rFonts w:cstheme="minorHAnsi"/>
        </w:rPr>
        <w:t>They</w:t>
      </w:r>
      <w:r w:rsidR="00013B1E" w:rsidRPr="00001F7B">
        <w:rPr>
          <w:rFonts w:cstheme="minorHAnsi"/>
        </w:rPr>
        <w:t xml:space="preserve"> can provide evidence of wider aspects of context in terms of legislative histor</w:t>
      </w:r>
      <w:r w:rsidR="003B0B16" w:rsidRPr="00001F7B">
        <w:rPr>
          <w:rFonts w:cstheme="minorHAnsi"/>
        </w:rPr>
        <w:t>y and its contextual matrix, e.g., trading and logistical realities at the time, consideration of cognate rules etc. The absence of a ‘bulls-eye’ (see Review of UK Law</w:t>
      </w:r>
      <w:r w:rsidR="00BB0D0F" w:rsidRPr="00001F7B">
        <w:rPr>
          <w:rFonts w:cstheme="minorHAnsi"/>
        </w:rPr>
        <w:t xml:space="preserve"> in the Annex Folder p 20</w:t>
      </w:r>
      <w:r w:rsidR="003B0B16" w:rsidRPr="00001F7B">
        <w:rPr>
          <w:rFonts w:cstheme="minorHAnsi"/>
        </w:rPr>
        <w:t xml:space="preserve">) is not a reason for disregarding them. </w:t>
      </w:r>
      <w:r w:rsidR="00BB0D0F" w:rsidRPr="00001F7B">
        <w:rPr>
          <w:rFonts w:cstheme="minorHAnsi"/>
        </w:rPr>
        <w:t>Similarly,</w:t>
      </w:r>
      <w:r w:rsidR="005B1D45" w:rsidRPr="00001F7B">
        <w:rPr>
          <w:rFonts w:cstheme="minorHAnsi"/>
        </w:rPr>
        <w:t xml:space="preserve"> where authoritative secondary sources of information about them are available there should be no prohibition or precondition to consulting them as appropriate.</w:t>
      </w:r>
    </w:p>
    <w:p w14:paraId="76C54CA3" w14:textId="5AEA69D0" w:rsidR="00177E12" w:rsidRPr="00001F7B" w:rsidRDefault="001F0A80" w:rsidP="00001F7B">
      <w:pPr>
        <w:rPr>
          <w:rFonts w:cstheme="minorHAnsi"/>
        </w:rPr>
      </w:pPr>
      <w:r w:rsidRPr="00001F7B">
        <w:rPr>
          <w:rFonts w:cstheme="minorHAnsi"/>
          <w:b/>
          <w:bCs/>
        </w:rPr>
        <w:t>7.10.</w:t>
      </w:r>
      <w:r w:rsidRPr="00001F7B">
        <w:rPr>
          <w:rFonts w:cstheme="minorHAnsi"/>
        </w:rPr>
        <w:t xml:space="preserve"> </w:t>
      </w:r>
      <w:r w:rsidR="000855F7" w:rsidRPr="00001F7B">
        <w:rPr>
          <w:rFonts w:cstheme="minorHAnsi"/>
        </w:rPr>
        <w:t xml:space="preserve">There is no prohibition or precondition necessary to be satisfied before a court is </w:t>
      </w:r>
      <w:r w:rsidR="000855F7" w:rsidRPr="00001F7B">
        <w:rPr>
          <w:rFonts w:cstheme="minorHAnsi"/>
          <w:i/>
          <w:iCs/>
        </w:rPr>
        <w:t>permitted</w:t>
      </w:r>
      <w:r w:rsidR="000855F7" w:rsidRPr="00001F7B">
        <w:rPr>
          <w:rFonts w:cstheme="minorHAnsi"/>
        </w:rPr>
        <w:t xml:space="preserve"> to consider the text in either of the authentic languages. </w:t>
      </w:r>
      <w:r w:rsidR="005E52FF" w:rsidRPr="00001F7B">
        <w:rPr>
          <w:rFonts w:cstheme="minorHAnsi"/>
        </w:rPr>
        <w:t xml:space="preserve">Art 33 simply does not express a duty to do so. </w:t>
      </w:r>
      <w:r w:rsidR="000855F7" w:rsidRPr="00001F7B">
        <w:rPr>
          <w:rFonts w:cstheme="minorHAnsi"/>
        </w:rPr>
        <w:t xml:space="preserve">The only expressed duty is for a court to reconcile </w:t>
      </w:r>
      <w:r w:rsidR="005E52FF" w:rsidRPr="00001F7B">
        <w:rPr>
          <w:rFonts w:cstheme="minorHAnsi"/>
        </w:rPr>
        <w:t>differences</w:t>
      </w:r>
      <w:r w:rsidR="000855F7" w:rsidRPr="00001F7B">
        <w:rPr>
          <w:rFonts w:cstheme="minorHAnsi"/>
        </w:rPr>
        <w:t xml:space="preserve"> in the text</w:t>
      </w:r>
      <w:r w:rsidR="005E52FF" w:rsidRPr="00001F7B">
        <w:rPr>
          <w:rFonts w:cstheme="minorHAnsi"/>
        </w:rPr>
        <w:t xml:space="preserve"> (see above the discussion in part </w:t>
      </w:r>
      <w:r w:rsidR="005E52FF" w:rsidRPr="00001F7B">
        <w:rPr>
          <w:rFonts w:cstheme="minorHAnsi"/>
          <w:b/>
          <w:bCs/>
        </w:rPr>
        <w:t>2.4.1</w:t>
      </w:r>
      <w:r w:rsidR="005E52FF" w:rsidRPr="00001F7B">
        <w:rPr>
          <w:rFonts w:cstheme="minorHAnsi"/>
        </w:rPr>
        <w:t>)</w:t>
      </w:r>
      <w:r w:rsidR="008E22E3" w:rsidRPr="00001F7B">
        <w:rPr>
          <w:rFonts w:cstheme="minorHAnsi"/>
        </w:rPr>
        <w:t xml:space="preserve">. In most cases the fact that a case concerns an issue of interpretation in respect of which different meanings are argued for should raise sufficient doubt to suggest a need to compare both languages. This may be a duty which at least requires the court to make an invitation to counsel.  The suggestion </w:t>
      </w:r>
      <w:r w:rsidR="007C0468" w:rsidRPr="00001F7B">
        <w:rPr>
          <w:rFonts w:cstheme="minorHAnsi"/>
        </w:rPr>
        <w:t xml:space="preserve">by Lord Roskill in </w:t>
      </w:r>
      <w:proofErr w:type="spellStart"/>
      <w:r w:rsidR="007C0468" w:rsidRPr="00001F7B">
        <w:rPr>
          <w:rFonts w:cstheme="minorHAnsi"/>
          <w:i/>
          <w:iCs/>
        </w:rPr>
        <w:t>Fothergill</w:t>
      </w:r>
      <w:proofErr w:type="spellEnd"/>
      <w:r w:rsidR="00177E12" w:rsidRPr="00001F7B">
        <w:rPr>
          <w:rFonts w:cstheme="minorHAnsi"/>
        </w:rPr>
        <w:t>,</w:t>
      </w:r>
      <w:r w:rsidR="007C0468" w:rsidRPr="00001F7B">
        <w:rPr>
          <w:rFonts w:cstheme="minorHAnsi"/>
        </w:rPr>
        <w:t xml:space="preserve"> that as a question of fact </w:t>
      </w:r>
      <w:r w:rsidR="008E22E3" w:rsidRPr="00001F7B">
        <w:rPr>
          <w:rFonts w:cstheme="minorHAnsi"/>
        </w:rPr>
        <w:t xml:space="preserve">that reference </w:t>
      </w:r>
      <w:r w:rsidR="007C0468" w:rsidRPr="00001F7B">
        <w:rPr>
          <w:rFonts w:cstheme="minorHAnsi"/>
        </w:rPr>
        <w:t xml:space="preserve">to the meaning of a word in a foreign language </w:t>
      </w:r>
      <w:r w:rsidR="008E22E3" w:rsidRPr="00001F7B">
        <w:rPr>
          <w:rFonts w:cstheme="minorHAnsi"/>
        </w:rPr>
        <w:t>must be</w:t>
      </w:r>
      <w:r w:rsidR="007C0468" w:rsidRPr="00001F7B">
        <w:rPr>
          <w:rFonts w:cstheme="minorHAnsi"/>
        </w:rPr>
        <w:t xml:space="preserve"> </w:t>
      </w:r>
      <w:r w:rsidR="008E22E3" w:rsidRPr="00001F7B">
        <w:rPr>
          <w:rFonts w:cstheme="minorHAnsi"/>
        </w:rPr>
        <w:t>plead</w:t>
      </w:r>
      <w:r w:rsidR="007C0468" w:rsidRPr="00001F7B">
        <w:rPr>
          <w:rFonts w:cstheme="minorHAnsi"/>
        </w:rPr>
        <w:t>ed surely goes too far and seems not to fall within the guidance given by Lord Wilberforce in the same case</w:t>
      </w:r>
      <w:r w:rsidR="008E22E3" w:rsidRPr="00001F7B">
        <w:rPr>
          <w:rFonts w:cstheme="minorHAnsi"/>
        </w:rPr>
        <w:t xml:space="preserve"> </w:t>
      </w:r>
      <w:r w:rsidR="00177E12" w:rsidRPr="00001F7B">
        <w:rPr>
          <w:rFonts w:cstheme="minorHAnsi"/>
        </w:rPr>
        <w:t>(see p 15 of the Review of UK Law in the Annex Folder).</w:t>
      </w:r>
      <w:r w:rsidR="005E52FF" w:rsidRPr="00001F7B">
        <w:rPr>
          <w:rFonts w:cstheme="minorHAnsi"/>
        </w:rPr>
        <w:t xml:space="preserve"> </w:t>
      </w:r>
      <w:r w:rsidR="00065A12" w:rsidRPr="00001F7B">
        <w:rPr>
          <w:rFonts w:cstheme="minorHAnsi"/>
        </w:rPr>
        <w:t xml:space="preserve"> </w:t>
      </w:r>
    </w:p>
    <w:p w14:paraId="68D0E30D" w14:textId="6DEA4273" w:rsidR="00194037" w:rsidRPr="00001F7B" w:rsidRDefault="001F0A80" w:rsidP="00001F7B">
      <w:pPr>
        <w:rPr>
          <w:rFonts w:cstheme="minorHAnsi"/>
        </w:rPr>
      </w:pPr>
      <w:r w:rsidRPr="00001F7B">
        <w:rPr>
          <w:rFonts w:cstheme="minorHAnsi"/>
          <w:b/>
          <w:bCs/>
        </w:rPr>
        <w:t>7.11.</w:t>
      </w:r>
      <w:r w:rsidRPr="00001F7B">
        <w:rPr>
          <w:rFonts w:cstheme="minorHAnsi"/>
        </w:rPr>
        <w:t xml:space="preserve"> </w:t>
      </w:r>
      <w:r w:rsidR="004769AF" w:rsidRPr="00001F7B">
        <w:rPr>
          <w:rFonts w:cstheme="minorHAnsi"/>
        </w:rPr>
        <w:t xml:space="preserve">Since </w:t>
      </w:r>
      <w:r w:rsidR="00A02160" w:rsidRPr="00001F7B">
        <w:rPr>
          <w:rFonts w:cstheme="minorHAnsi"/>
        </w:rPr>
        <w:t>French</w:t>
      </w:r>
      <w:r w:rsidR="003629D2" w:rsidRPr="00001F7B">
        <w:rPr>
          <w:rFonts w:cstheme="minorHAnsi"/>
        </w:rPr>
        <w:t xml:space="preserve"> </w:t>
      </w:r>
      <w:r w:rsidR="004769AF" w:rsidRPr="00001F7B">
        <w:rPr>
          <w:rFonts w:cstheme="minorHAnsi"/>
        </w:rPr>
        <w:t xml:space="preserve">was the </w:t>
      </w:r>
      <w:r w:rsidR="00A02160" w:rsidRPr="00001F7B">
        <w:rPr>
          <w:rFonts w:cstheme="minorHAnsi"/>
        </w:rPr>
        <w:t xml:space="preserve"> working language </w:t>
      </w:r>
      <w:r w:rsidR="004769AF" w:rsidRPr="00001F7B">
        <w:rPr>
          <w:rFonts w:cstheme="minorHAnsi"/>
        </w:rPr>
        <w:t xml:space="preserve">for the provisions </w:t>
      </w:r>
      <w:r w:rsidR="00A02160" w:rsidRPr="00001F7B">
        <w:rPr>
          <w:rFonts w:cstheme="minorHAnsi"/>
        </w:rPr>
        <w:t>apart from art 2 (</w:t>
      </w:r>
      <w:proofErr w:type="spellStart"/>
      <w:r w:rsidR="00A02160" w:rsidRPr="00001F7B">
        <w:rPr>
          <w:rFonts w:cstheme="minorHAnsi"/>
        </w:rPr>
        <w:t>Herber</w:t>
      </w:r>
      <w:proofErr w:type="spellEnd"/>
      <w:r w:rsidR="004769AF" w:rsidRPr="00001F7B">
        <w:rPr>
          <w:rFonts w:cstheme="minorHAnsi"/>
        </w:rPr>
        <w:t xml:space="preserve">, </w:t>
      </w:r>
      <w:r w:rsidR="004769AF" w:rsidRPr="00001F7B">
        <w:rPr>
          <w:rFonts w:cstheme="minorHAnsi"/>
          <w:color w:val="000000"/>
          <w:shd w:val="clear" w:color="auto" w:fill="FFFFFF"/>
        </w:rPr>
        <w:t>‘</w:t>
      </w:r>
      <w:proofErr w:type="spellStart"/>
      <w:r w:rsidR="004769AF" w:rsidRPr="00001F7B">
        <w:rPr>
          <w:rFonts w:cstheme="minorHAnsi"/>
          <w:color w:val="000000"/>
          <w:shd w:val="clear" w:color="auto" w:fill="FFFFFF"/>
        </w:rPr>
        <w:t>Haftung</w:t>
      </w:r>
      <w:proofErr w:type="spellEnd"/>
      <w:r w:rsidR="004769AF" w:rsidRPr="00001F7B">
        <w:rPr>
          <w:rFonts w:cstheme="minorHAnsi"/>
          <w:color w:val="000000"/>
          <w:shd w:val="clear" w:color="auto" w:fill="FFFFFF"/>
        </w:rPr>
        <w:t xml:space="preserve"> </w:t>
      </w:r>
      <w:proofErr w:type="spellStart"/>
      <w:r w:rsidR="004769AF" w:rsidRPr="00001F7B">
        <w:rPr>
          <w:rFonts w:cstheme="minorHAnsi"/>
          <w:color w:val="000000"/>
          <w:shd w:val="clear" w:color="auto" w:fill="FFFFFF"/>
        </w:rPr>
        <w:t>beim</w:t>
      </w:r>
      <w:proofErr w:type="spellEnd"/>
      <w:r w:rsidR="004769AF" w:rsidRPr="00001F7B">
        <w:rPr>
          <w:rFonts w:cstheme="minorHAnsi"/>
          <w:color w:val="000000"/>
          <w:shd w:val="clear" w:color="auto" w:fill="FFFFFF"/>
        </w:rPr>
        <w:t xml:space="preserve"> Ro/Ro-</w:t>
      </w:r>
      <w:proofErr w:type="spellStart"/>
      <w:r w:rsidR="004769AF" w:rsidRPr="00001F7B">
        <w:rPr>
          <w:rFonts w:cstheme="minorHAnsi"/>
          <w:color w:val="000000"/>
          <w:shd w:val="clear" w:color="auto" w:fill="FFFFFF"/>
        </w:rPr>
        <w:t>Verkehr</w:t>
      </w:r>
      <w:proofErr w:type="spellEnd"/>
      <w:r w:rsidR="004769AF" w:rsidRPr="00001F7B">
        <w:rPr>
          <w:rFonts w:cstheme="minorHAnsi"/>
          <w:color w:val="000000"/>
          <w:shd w:val="clear" w:color="auto" w:fill="FFFFFF"/>
        </w:rPr>
        <w:t xml:space="preserve">’ (1994) </w:t>
      </w:r>
      <w:proofErr w:type="spellStart"/>
      <w:r w:rsidR="004769AF" w:rsidRPr="00001F7B">
        <w:rPr>
          <w:rFonts w:cstheme="minorHAnsi"/>
          <w:color w:val="000000"/>
          <w:shd w:val="clear" w:color="auto" w:fill="FFFFFF"/>
        </w:rPr>
        <w:t>TranspR</w:t>
      </w:r>
      <w:proofErr w:type="spellEnd"/>
      <w:r w:rsidR="004769AF" w:rsidRPr="00001F7B">
        <w:rPr>
          <w:rFonts w:cstheme="minorHAnsi"/>
          <w:color w:val="000000"/>
          <w:shd w:val="clear" w:color="auto" w:fill="FFFFFF"/>
        </w:rPr>
        <w:t xml:space="preserve"> 375, p 379</w:t>
      </w:r>
      <w:r w:rsidR="00A02160" w:rsidRPr="00001F7B">
        <w:rPr>
          <w:rFonts w:cstheme="minorHAnsi"/>
        </w:rPr>
        <w:t>)</w:t>
      </w:r>
      <w:r w:rsidR="004769AF" w:rsidRPr="00001F7B">
        <w:rPr>
          <w:rFonts w:cstheme="minorHAnsi"/>
        </w:rPr>
        <w:t xml:space="preserve">, </w:t>
      </w:r>
      <w:r w:rsidR="003629D2" w:rsidRPr="00001F7B">
        <w:rPr>
          <w:rFonts w:cstheme="minorHAnsi"/>
        </w:rPr>
        <w:t xml:space="preserve">there </w:t>
      </w:r>
      <w:r w:rsidR="004769AF" w:rsidRPr="00001F7B">
        <w:rPr>
          <w:rFonts w:cstheme="minorHAnsi"/>
        </w:rPr>
        <w:t>may be a case for giving greater weight to the French text</w:t>
      </w:r>
      <w:r w:rsidR="009D3337" w:rsidRPr="00001F7B">
        <w:rPr>
          <w:rFonts w:cstheme="minorHAnsi"/>
        </w:rPr>
        <w:t>.</w:t>
      </w:r>
      <w:r w:rsidR="004769AF" w:rsidRPr="00001F7B">
        <w:rPr>
          <w:rFonts w:cstheme="minorHAnsi"/>
        </w:rPr>
        <w:t xml:space="preserve"> See above p 43. Gardiner is not impressed by an inherent priority of the working language but </w:t>
      </w:r>
      <w:r w:rsidR="003629D2" w:rsidRPr="00001F7B">
        <w:rPr>
          <w:rFonts w:cstheme="minorHAnsi"/>
        </w:rPr>
        <w:t>notes that</w:t>
      </w:r>
      <w:r w:rsidR="00954544" w:rsidRPr="00001F7B">
        <w:rPr>
          <w:rFonts w:cstheme="minorHAnsi"/>
        </w:rPr>
        <w:t xml:space="preserve"> the</w:t>
      </w:r>
      <w:r w:rsidR="003629D2" w:rsidRPr="00001F7B">
        <w:rPr>
          <w:rFonts w:cstheme="minorHAnsi"/>
        </w:rPr>
        <w:t xml:space="preserve"> </w:t>
      </w:r>
      <w:r w:rsidR="003629D2" w:rsidRPr="00001F7B">
        <w:rPr>
          <w:rFonts w:cstheme="minorHAnsi"/>
          <w:i/>
          <w:iCs/>
        </w:rPr>
        <w:t>travaux</w:t>
      </w:r>
      <w:r w:rsidR="003629D2" w:rsidRPr="00001F7B">
        <w:rPr>
          <w:rFonts w:cstheme="minorHAnsi"/>
        </w:rPr>
        <w:t xml:space="preserve"> might point to a meaning captured by that language or provide a better view of context. At any rate this fact points to the importance of there being no unnecessary obstacles to consideration of the French text especially by an English court.  </w:t>
      </w:r>
      <w:r w:rsidR="004769AF" w:rsidRPr="00001F7B">
        <w:rPr>
          <w:rFonts w:cstheme="minorHAnsi"/>
        </w:rPr>
        <w:t xml:space="preserve"> </w:t>
      </w:r>
    </w:p>
    <w:p w14:paraId="448FA62E" w14:textId="4F043993" w:rsidR="004A6BE7" w:rsidRPr="00001F7B" w:rsidRDefault="001F0A80" w:rsidP="00001F7B">
      <w:pPr>
        <w:rPr>
          <w:rFonts w:cstheme="minorHAnsi"/>
        </w:rPr>
      </w:pPr>
      <w:r w:rsidRPr="00001F7B">
        <w:rPr>
          <w:rFonts w:cstheme="minorHAnsi"/>
          <w:b/>
          <w:bCs/>
        </w:rPr>
        <w:t>7.12.</w:t>
      </w:r>
      <w:r w:rsidRPr="00001F7B">
        <w:rPr>
          <w:rFonts w:cstheme="minorHAnsi"/>
        </w:rPr>
        <w:t xml:space="preserve"> </w:t>
      </w:r>
      <w:r w:rsidR="00194037" w:rsidRPr="00001F7B">
        <w:rPr>
          <w:rFonts w:cstheme="minorHAnsi"/>
        </w:rPr>
        <w:t>Courts must take seriously the obligation to reconcile the texts where a difference in meaning appears. Simply preferring one text over the other without searching for a common meaning should be avoided</w:t>
      </w:r>
      <w:r w:rsidR="00F063F4" w:rsidRPr="00001F7B">
        <w:rPr>
          <w:rFonts w:cstheme="minorHAnsi"/>
        </w:rPr>
        <w:t>.</w:t>
      </w:r>
      <w:r w:rsidR="00194037" w:rsidRPr="00001F7B">
        <w:rPr>
          <w:rFonts w:cstheme="minorHAnsi"/>
        </w:rPr>
        <w:t xml:space="preserve"> If this is not possible the court must extract from the treaty </w:t>
      </w:r>
      <w:r w:rsidR="00954544" w:rsidRPr="00001F7B">
        <w:rPr>
          <w:rFonts w:cstheme="minorHAnsi"/>
        </w:rPr>
        <w:t xml:space="preserve">the </w:t>
      </w:r>
      <w:r w:rsidR="00194037" w:rsidRPr="00001F7B">
        <w:rPr>
          <w:rFonts w:cstheme="minorHAnsi"/>
        </w:rPr>
        <w:t>best reconcil</w:t>
      </w:r>
      <w:r w:rsidR="00954544" w:rsidRPr="00001F7B">
        <w:rPr>
          <w:rFonts w:cstheme="minorHAnsi"/>
        </w:rPr>
        <w:t>iation of the differences</w:t>
      </w:r>
      <w:r w:rsidR="00F063F4" w:rsidRPr="00001F7B">
        <w:rPr>
          <w:rFonts w:cstheme="minorHAnsi"/>
        </w:rPr>
        <w:t xml:space="preserve"> (see above pp 41-42). </w:t>
      </w:r>
    </w:p>
    <w:p w14:paraId="5D866EBC" w14:textId="53B01F90" w:rsidR="00065A12" w:rsidRPr="00001F7B" w:rsidRDefault="001F0A80" w:rsidP="00001F7B">
      <w:pPr>
        <w:rPr>
          <w:rFonts w:cstheme="minorHAnsi"/>
        </w:rPr>
      </w:pPr>
      <w:r w:rsidRPr="00001F7B">
        <w:rPr>
          <w:rFonts w:cstheme="minorHAnsi"/>
          <w:b/>
          <w:bCs/>
        </w:rPr>
        <w:t>7.13.</w:t>
      </w:r>
      <w:r w:rsidRPr="00001F7B">
        <w:rPr>
          <w:rFonts w:cstheme="minorHAnsi"/>
        </w:rPr>
        <w:t xml:space="preserve"> </w:t>
      </w:r>
      <w:r w:rsidR="004A6BE7" w:rsidRPr="00001F7B">
        <w:rPr>
          <w:rFonts w:cstheme="minorHAnsi"/>
        </w:rPr>
        <w:t xml:space="preserve">Courts should </w:t>
      </w:r>
      <w:r w:rsidR="002946B0" w:rsidRPr="00001F7B">
        <w:rPr>
          <w:rFonts w:cstheme="minorHAnsi"/>
        </w:rPr>
        <w:t>be wary of</w:t>
      </w:r>
      <w:r w:rsidR="004A6BE7" w:rsidRPr="00001F7B">
        <w:rPr>
          <w:rFonts w:cstheme="minorHAnsi"/>
        </w:rPr>
        <w:t xml:space="preserve"> using the legal meaning of a word in a foreign language derived solely from the domestic law of a country that uses that language</w:t>
      </w:r>
      <w:r w:rsidR="002946B0" w:rsidRPr="00001F7B">
        <w:rPr>
          <w:rFonts w:cstheme="minorHAnsi"/>
        </w:rPr>
        <w:t xml:space="preserve"> (see above pp 43-44).</w:t>
      </w:r>
      <w:r w:rsidR="004A6BE7" w:rsidRPr="00001F7B">
        <w:rPr>
          <w:rFonts w:cstheme="minorHAnsi"/>
        </w:rPr>
        <w:t xml:space="preserve"> This is likely to distort the effort to find a common meaning and is contrary to the autonomous approach.</w:t>
      </w:r>
      <w:r w:rsidR="002946B0" w:rsidRPr="00001F7B">
        <w:rPr>
          <w:rFonts w:cstheme="minorHAnsi"/>
        </w:rPr>
        <w:t xml:space="preserve"> The position is different if the </w:t>
      </w:r>
      <w:r w:rsidR="002946B0" w:rsidRPr="00001F7B">
        <w:rPr>
          <w:rFonts w:cstheme="minorHAnsi"/>
          <w:i/>
          <w:iCs/>
        </w:rPr>
        <w:t>travaux</w:t>
      </w:r>
      <w:r w:rsidR="002946B0" w:rsidRPr="00001F7B">
        <w:rPr>
          <w:rFonts w:cstheme="minorHAnsi"/>
        </w:rPr>
        <w:t xml:space="preserve"> or context indicate clearly that a domestic law meaning is in fact meant </w:t>
      </w:r>
      <w:r w:rsidR="00DF0DBF">
        <w:rPr>
          <w:rFonts w:cstheme="minorHAnsi"/>
        </w:rPr>
        <w:t>or</w:t>
      </w:r>
      <w:r w:rsidR="002946B0" w:rsidRPr="00001F7B">
        <w:rPr>
          <w:rFonts w:cstheme="minorHAnsi"/>
        </w:rPr>
        <w:t xml:space="preserve"> if the reference is to foreign language decisions determining the </w:t>
      </w:r>
      <w:r w:rsidR="00FF2102" w:rsidRPr="00001F7B">
        <w:rPr>
          <w:rFonts w:cstheme="minorHAnsi"/>
        </w:rPr>
        <w:t xml:space="preserve">meaning </w:t>
      </w:r>
      <w:r w:rsidR="002946B0" w:rsidRPr="00001F7B">
        <w:rPr>
          <w:rFonts w:cstheme="minorHAnsi"/>
        </w:rPr>
        <w:t>of the word in the context of CMR (unless it can be critic</w:t>
      </w:r>
      <w:r w:rsidR="00C2469D" w:rsidRPr="00001F7B">
        <w:rPr>
          <w:rFonts w:cstheme="minorHAnsi"/>
        </w:rPr>
        <w:t>ise</w:t>
      </w:r>
      <w:r w:rsidR="002946B0" w:rsidRPr="00001F7B">
        <w:rPr>
          <w:rFonts w:cstheme="minorHAnsi"/>
        </w:rPr>
        <w:t xml:space="preserve">d </w:t>
      </w:r>
      <w:r w:rsidR="00C2469D" w:rsidRPr="00001F7B">
        <w:rPr>
          <w:rFonts w:cstheme="minorHAnsi"/>
        </w:rPr>
        <w:t>for using its own domestic law to determine the meaning). Wider consideration of the domestic law of other member states is preferable and more likely to find a common meaning.</w:t>
      </w:r>
    </w:p>
    <w:p w14:paraId="626C8069" w14:textId="26B7AC0F" w:rsidR="00475F71" w:rsidRPr="00001F7B" w:rsidRDefault="001F0A80" w:rsidP="00001F7B">
      <w:pPr>
        <w:rPr>
          <w:rFonts w:cstheme="minorHAnsi"/>
        </w:rPr>
      </w:pPr>
      <w:r w:rsidRPr="00001F7B">
        <w:rPr>
          <w:rFonts w:cstheme="minorHAnsi"/>
          <w:b/>
          <w:bCs/>
        </w:rPr>
        <w:t>7.14.</w:t>
      </w:r>
      <w:r w:rsidRPr="00001F7B">
        <w:rPr>
          <w:rFonts w:cstheme="minorHAnsi"/>
        </w:rPr>
        <w:t xml:space="preserve"> </w:t>
      </w:r>
      <w:r w:rsidR="00C2469D" w:rsidRPr="00001F7B">
        <w:rPr>
          <w:rFonts w:cstheme="minorHAnsi"/>
        </w:rPr>
        <w:t xml:space="preserve">The courts must generally strive for an </w:t>
      </w:r>
      <w:r w:rsidR="00475F71" w:rsidRPr="00001F7B">
        <w:rPr>
          <w:rFonts w:cstheme="minorHAnsi"/>
        </w:rPr>
        <w:t>autonomous meaning</w:t>
      </w:r>
      <w:r w:rsidR="00C2469D" w:rsidRPr="00001F7B">
        <w:rPr>
          <w:rFonts w:cstheme="minorHAnsi"/>
        </w:rPr>
        <w:t xml:space="preserve"> even in the case of perceived gaps</w:t>
      </w:r>
      <w:r w:rsidR="00475F71" w:rsidRPr="00001F7B">
        <w:rPr>
          <w:rFonts w:cstheme="minorHAnsi"/>
        </w:rPr>
        <w:t xml:space="preserve">. </w:t>
      </w:r>
      <w:r w:rsidR="002D4BC4" w:rsidRPr="00001F7B">
        <w:rPr>
          <w:rFonts w:cstheme="minorHAnsi"/>
        </w:rPr>
        <w:t xml:space="preserve">The range of possibilities are discussed above in part </w:t>
      </w:r>
      <w:r w:rsidR="002D4BC4" w:rsidRPr="00001F7B">
        <w:rPr>
          <w:rFonts w:cstheme="minorHAnsi"/>
          <w:b/>
          <w:bCs/>
        </w:rPr>
        <w:t>5</w:t>
      </w:r>
      <w:r w:rsidR="002D4BC4" w:rsidRPr="00001F7B">
        <w:rPr>
          <w:rFonts w:cstheme="minorHAnsi"/>
        </w:rPr>
        <w:t xml:space="preserve">. </w:t>
      </w:r>
      <w:r w:rsidR="00864C1E" w:rsidRPr="00001F7B">
        <w:rPr>
          <w:rFonts w:cstheme="minorHAnsi"/>
        </w:rPr>
        <w:t xml:space="preserve">In determining the parameters of CMR both as regards its overall application or the application of particular rules </w:t>
      </w:r>
      <w:r w:rsidR="007B2343" w:rsidRPr="00001F7B">
        <w:rPr>
          <w:rFonts w:cstheme="minorHAnsi"/>
        </w:rPr>
        <w:t>courts mu</w:t>
      </w:r>
      <w:r w:rsidR="00583804">
        <w:rPr>
          <w:rFonts w:cstheme="minorHAnsi"/>
        </w:rPr>
        <w:t>s</w:t>
      </w:r>
      <w:r w:rsidR="007B2343" w:rsidRPr="00001F7B">
        <w:rPr>
          <w:rFonts w:cstheme="minorHAnsi"/>
        </w:rPr>
        <w:t>t avoid a preference for domestic characterisations</w:t>
      </w:r>
      <w:r w:rsidR="00734329" w:rsidRPr="00001F7B">
        <w:rPr>
          <w:rFonts w:cstheme="minorHAnsi"/>
        </w:rPr>
        <w:t xml:space="preserve"> which may be thought to unnecessarily restrict the application of CMR </w:t>
      </w:r>
      <w:r w:rsidR="00E20AE9" w:rsidRPr="00001F7B">
        <w:rPr>
          <w:rFonts w:cstheme="minorHAnsi"/>
        </w:rPr>
        <w:t xml:space="preserve">or </w:t>
      </w:r>
      <w:r w:rsidR="00734329" w:rsidRPr="00001F7B">
        <w:rPr>
          <w:rFonts w:cstheme="minorHAnsi"/>
        </w:rPr>
        <w:t>distort the scheme of liability or compensation it lays down. An important context here is in respect of the evolution of transport and logistics which have the potential to reduce the effectiveness of the Convention</w:t>
      </w:r>
      <w:r w:rsidR="00FE3EEE" w:rsidRPr="00001F7B">
        <w:rPr>
          <w:rFonts w:cstheme="minorHAnsi"/>
        </w:rPr>
        <w:t xml:space="preserve"> (see the examples in </w:t>
      </w:r>
      <w:proofErr w:type="spellStart"/>
      <w:r w:rsidR="00FE3EEE" w:rsidRPr="00001F7B">
        <w:rPr>
          <w:rFonts w:cstheme="minorHAnsi"/>
        </w:rPr>
        <w:t>Verheyen</w:t>
      </w:r>
      <w:proofErr w:type="spellEnd"/>
      <w:r w:rsidR="00FE3EEE" w:rsidRPr="00001F7B">
        <w:rPr>
          <w:rFonts w:cstheme="minorHAnsi"/>
        </w:rPr>
        <w:t xml:space="preserve">, </w:t>
      </w:r>
      <w:r w:rsidR="00E20AE9" w:rsidRPr="00001F7B">
        <w:rPr>
          <w:rFonts w:cstheme="minorHAnsi"/>
        </w:rPr>
        <w:t xml:space="preserve">cited </w:t>
      </w:r>
      <w:r w:rsidR="00FE3EEE" w:rsidRPr="00001F7B">
        <w:rPr>
          <w:rFonts w:cstheme="minorHAnsi"/>
        </w:rPr>
        <w:t xml:space="preserve">above </w:t>
      </w:r>
      <w:proofErr w:type="spellStart"/>
      <w:r w:rsidR="00FE3EEE" w:rsidRPr="00001F7B">
        <w:rPr>
          <w:rFonts w:cstheme="minorHAnsi"/>
        </w:rPr>
        <w:t>fn</w:t>
      </w:r>
      <w:proofErr w:type="spellEnd"/>
      <w:r w:rsidR="00FE3EEE" w:rsidRPr="00001F7B">
        <w:rPr>
          <w:rFonts w:cstheme="minorHAnsi"/>
        </w:rPr>
        <w:t xml:space="preserve"> 272)</w:t>
      </w:r>
      <w:r w:rsidR="00734329" w:rsidRPr="00001F7B">
        <w:rPr>
          <w:rFonts w:cstheme="minorHAnsi"/>
        </w:rPr>
        <w:t xml:space="preserve">.  Considerations of good faith </w:t>
      </w:r>
      <w:r w:rsidR="001F3A1D" w:rsidRPr="00001F7B">
        <w:rPr>
          <w:rFonts w:cstheme="minorHAnsi"/>
        </w:rPr>
        <w:t xml:space="preserve">and object and purpose </w:t>
      </w:r>
      <w:r w:rsidR="00FE3EEE" w:rsidRPr="00001F7B">
        <w:rPr>
          <w:rFonts w:cstheme="minorHAnsi"/>
        </w:rPr>
        <w:t>in terms of effectiveness</w:t>
      </w:r>
      <w:r w:rsidR="000336BD" w:rsidRPr="00001F7B">
        <w:rPr>
          <w:rFonts w:cstheme="minorHAnsi"/>
        </w:rPr>
        <w:t xml:space="preserve"> </w:t>
      </w:r>
      <w:r w:rsidR="00FE3EEE" w:rsidRPr="00001F7B">
        <w:rPr>
          <w:rFonts w:cstheme="minorHAnsi"/>
        </w:rPr>
        <w:t xml:space="preserve">(see above </w:t>
      </w:r>
      <w:proofErr w:type="spellStart"/>
      <w:r w:rsidR="00FE3EEE" w:rsidRPr="00001F7B">
        <w:rPr>
          <w:rFonts w:cstheme="minorHAnsi"/>
        </w:rPr>
        <w:t>fn</w:t>
      </w:r>
      <w:proofErr w:type="spellEnd"/>
      <w:r w:rsidR="00FE3EEE" w:rsidRPr="00001F7B">
        <w:rPr>
          <w:rFonts w:cstheme="minorHAnsi"/>
        </w:rPr>
        <w:t xml:space="preserve"> 120) </w:t>
      </w:r>
      <w:r w:rsidR="000336BD" w:rsidRPr="00001F7B">
        <w:rPr>
          <w:rFonts w:cstheme="minorHAnsi"/>
        </w:rPr>
        <w:t>must be taken into account in respect of such developments</w:t>
      </w:r>
      <w:r w:rsidR="00734329" w:rsidRPr="00001F7B">
        <w:rPr>
          <w:rFonts w:cstheme="minorHAnsi"/>
        </w:rPr>
        <w:t xml:space="preserve">. </w:t>
      </w:r>
      <w:r w:rsidR="00475F71" w:rsidRPr="00001F7B">
        <w:rPr>
          <w:rFonts w:cstheme="minorHAnsi"/>
        </w:rPr>
        <w:t>Do</w:t>
      </w:r>
      <w:r w:rsidR="002D4BC4" w:rsidRPr="00001F7B">
        <w:rPr>
          <w:rFonts w:cstheme="minorHAnsi"/>
        </w:rPr>
        <w:t>mestic</w:t>
      </w:r>
      <w:r w:rsidR="00475F71" w:rsidRPr="00001F7B">
        <w:rPr>
          <w:rFonts w:cstheme="minorHAnsi"/>
        </w:rPr>
        <w:t xml:space="preserve"> law</w:t>
      </w:r>
      <w:r w:rsidR="002D4BC4" w:rsidRPr="00001F7B">
        <w:rPr>
          <w:rFonts w:cstheme="minorHAnsi"/>
        </w:rPr>
        <w:t>,</w:t>
      </w:r>
      <w:r w:rsidR="00475F71" w:rsidRPr="00001F7B">
        <w:rPr>
          <w:rFonts w:cstheme="minorHAnsi"/>
        </w:rPr>
        <w:t xml:space="preserve"> </w:t>
      </w:r>
      <w:r w:rsidR="000336BD" w:rsidRPr="00001F7B">
        <w:rPr>
          <w:rFonts w:cstheme="minorHAnsi"/>
        </w:rPr>
        <w:t xml:space="preserve">especially if </w:t>
      </w:r>
      <w:r w:rsidR="002D4BC4" w:rsidRPr="00001F7B">
        <w:rPr>
          <w:rFonts w:cstheme="minorHAnsi"/>
        </w:rPr>
        <w:t>considered</w:t>
      </w:r>
      <w:r w:rsidR="00475F71" w:rsidRPr="00001F7B">
        <w:rPr>
          <w:rFonts w:cstheme="minorHAnsi"/>
        </w:rPr>
        <w:t xml:space="preserve"> on a comparative basis</w:t>
      </w:r>
      <w:r w:rsidR="000336BD" w:rsidRPr="00001F7B">
        <w:rPr>
          <w:rFonts w:cstheme="minorHAnsi"/>
        </w:rPr>
        <w:t xml:space="preserve"> can be considered to be</w:t>
      </w:r>
      <w:r w:rsidR="00475F71" w:rsidRPr="00001F7B">
        <w:rPr>
          <w:rFonts w:cstheme="minorHAnsi"/>
        </w:rPr>
        <w:t xml:space="preserve"> acceptable and useful</w:t>
      </w:r>
      <w:r w:rsidR="000336BD" w:rsidRPr="00001F7B">
        <w:rPr>
          <w:rFonts w:cstheme="minorHAnsi"/>
        </w:rPr>
        <w:t xml:space="preserve"> in some cases of determining meaning (see above </w:t>
      </w:r>
      <w:proofErr w:type="spellStart"/>
      <w:r w:rsidR="000336BD" w:rsidRPr="00001F7B">
        <w:rPr>
          <w:rFonts w:cstheme="minorHAnsi"/>
        </w:rPr>
        <w:t>fn</w:t>
      </w:r>
      <w:proofErr w:type="spellEnd"/>
      <w:r w:rsidR="000336BD" w:rsidRPr="00001F7B">
        <w:rPr>
          <w:rFonts w:cstheme="minorHAnsi"/>
        </w:rPr>
        <w:t xml:space="preserve"> 17)</w:t>
      </w:r>
      <w:r w:rsidR="00475F71" w:rsidRPr="00001F7B">
        <w:rPr>
          <w:rFonts w:cstheme="minorHAnsi"/>
        </w:rPr>
        <w:t>. In so</w:t>
      </w:r>
      <w:r w:rsidR="002D4BC4" w:rsidRPr="00001F7B">
        <w:rPr>
          <w:rFonts w:cstheme="minorHAnsi"/>
        </w:rPr>
        <w:t>m</w:t>
      </w:r>
      <w:r w:rsidR="00475F71" w:rsidRPr="00001F7B">
        <w:rPr>
          <w:rFonts w:cstheme="minorHAnsi"/>
        </w:rPr>
        <w:t xml:space="preserve">e areas the </w:t>
      </w:r>
      <w:r w:rsidR="002D4BC4" w:rsidRPr="00001F7B">
        <w:rPr>
          <w:rFonts w:cstheme="minorHAnsi"/>
        </w:rPr>
        <w:t>inconvenience</w:t>
      </w:r>
      <w:r w:rsidR="00475F71" w:rsidRPr="00001F7B">
        <w:rPr>
          <w:rFonts w:cstheme="minorHAnsi"/>
        </w:rPr>
        <w:t xml:space="preserve"> of </w:t>
      </w:r>
      <w:r w:rsidR="002D4BC4" w:rsidRPr="00001F7B">
        <w:rPr>
          <w:rFonts w:cstheme="minorHAnsi"/>
        </w:rPr>
        <w:t>searching</w:t>
      </w:r>
      <w:r w:rsidR="00475F71" w:rsidRPr="00001F7B">
        <w:rPr>
          <w:rFonts w:cstheme="minorHAnsi"/>
        </w:rPr>
        <w:t xml:space="preserve"> for an </w:t>
      </w:r>
      <w:r w:rsidR="002D4BC4" w:rsidRPr="00001F7B">
        <w:rPr>
          <w:rFonts w:cstheme="minorHAnsi"/>
        </w:rPr>
        <w:t>autonomous</w:t>
      </w:r>
      <w:r w:rsidR="00475F71" w:rsidRPr="00001F7B">
        <w:rPr>
          <w:rFonts w:cstheme="minorHAnsi"/>
        </w:rPr>
        <w:t xml:space="preserve"> meaning may allow a court to apply</w:t>
      </w:r>
      <w:r w:rsidR="002D4BC4" w:rsidRPr="00001F7B">
        <w:rPr>
          <w:rFonts w:cstheme="minorHAnsi"/>
        </w:rPr>
        <w:t xml:space="preserve"> its own national law</w:t>
      </w:r>
      <w:r w:rsidR="00475F71" w:rsidRPr="00001F7B">
        <w:rPr>
          <w:rFonts w:cstheme="minorHAnsi"/>
        </w:rPr>
        <w:t xml:space="preserve"> procedural or evidential rules on the basis </w:t>
      </w:r>
      <w:r w:rsidR="002D4BC4" w:rsidRPr="00001F7B">
        <w:rPr>
          <w:rFonts w:cstheme="minorHAnsi"/>
        </w:rPr>
        <w:t xml:space="preserve">of familiarity </w:t>
      </w:r>
      <w:r w:rsidR="00E141CC" w:rsidRPr="00001F7B">
        <w:rPr>
          <w:rFonts w:cstheme="minorHAnsi"/>
        </w:rPr>
        <w:t>(</w:t>
      </w:r>
      <w:r w:rsidR="002D4BC4" w:rsidRPr="00001F7B">
        <w:rPr>
          <w:rFonts w:cstheme="minorHAnsi"/>
        </w:rPr>
        <w:t xml:space="preserve">see </w:t>
      </w:r>
      <w:proofErr w:type="spellStart"/>
      <w:r w:rsidR="00E141CC" w:rsidRPr="00001F7B">
        <w:rPr>
          <w:rFonts w:cstheme="minorHAnsi"/>
        </w:rPr>
        <w:t>fn</w:t>
      </w:r>
      <w:proofErr w:type="spellEnd"/>
      <w:r w:rsidR="00E141CC" w:rsidRPr="00001F7B">
        <w:rPr>
          <w:rFonts w:cstheme="minorHAnsi"/>
        </w:rPr>
        <w:t xml:space="preserve"> 299)</w:t>
      </w:r>
      <w:r w:rsidR="002D4BC4" w:rsidRPr="00001F7B">
        <w:rPr>
          <w:rFonts w:cstheme="minorHAnsi"/>
        </w:rPr>
        <w:t>.</w:t>
      </w:r>
      <w:r w:rsidR="00E141CC" w:rsidRPr="00001F7B">
        <w:rPr>
          <w:rFonts w:cstheme="minorHAnsi"/>
        </w:rPr>
        <w:t xml:space="preserve"> </w:t>
      </w:r>
      <w:r w:rsidR="002D4BC4" w:rsidRPr="00001F7B">
        <w:rPr>
          <w:rFonts w:cstheme="minorHAnsi"/>
        </w:rPr>
        <w:t>T</w:t>
      </w:r>
      <w:r w:rsidR="00157E07" w:rsidRPr="00001F7B">
        <w:rPr>
          <w:rFonts w:cstheme="minorHAnsi"/>
        </w:rPr>
        <w:t xml:space="preserve">hese  </w:t>
      </w:r>
      <w:r w:rsidR="002D4BC4" w:rsidRPr="00001F7B">
        <w:rPr>
          <w:rFonts w:cstheme="minorHAnsi"/>
        </w:rPr>
        <w:t>Rules are not</w:t>
      </w:r>
      <w:r w:rsidR="00157E07" w:rsidRPr="00001F7B">
        <w:rPr>
          <w:rFonts w:cstheme="minorHAnsi"/>
        </w:rPr>
        <w:t xml:space="preserve"> normally </w:t>
      </w:r>
      <w:r w:rsidR="00581F18" w:rsidRPr="00001F7B">
        <w:rPr>
          <w:rFonts w:cstheme="minorHAnsi"/>
        </w:rPr>
        <w:t xml:space="preserve">relevant </w:t>
      </w:r>
      <w:r w:rsidR="00157E07" w:rsidRPr="00001F7B">
        <w:rPr>
          <w:rFonts w:cstheme="minorHAnsi"/>
        </w:rPr>
        <w:t xml:space="preserve">to the outcome </w:t>
      </w:r>
      <w:r w:rsidR="00581F18" w:rsidRPr="00001F7B">
        <w:rPr>
          <w:rFonts w:cstheme="minorHAnsi"/>
        </w:rPr>
        <w:t xml:space="preserve">of a case </w:t>
      </w:r>
      <w:r w:rsidR="00157E07" w:rsidRPr="00001F7B">
        <w:rPr>
          <w:rFonts w:cstheme="minorHAnsi"/>
        </w:rPr>
        <w:t xml:space="preserve">in terms of the substantive rule applied to the issue. At the very least however a court should ensure that no aspect of its rules </w:t>
      </w:r>
      <w:r w:rsidR="00581F18" w:rsidRPr="00001F7B">
        <w:rPr>
          <w:rFonts w:cstheme="minorHAnsi"/>
        </w:rPr>
        <w:t>is</w:t>
      </w:r>
      <w:r w:rsidR="00157E07" w:rsidRPr="00001F7B">
        <w:rPr>
          <w:rFonts w:cstheme="minorHAnsi"/>
        </w:rPr>
        <w:t xml:space="preserve"> so out of line with those operated elsewhere in m</w:t>
      </w:r>
      <w:r w:rsidR="00581F18" w:rsidRPr="00001F7B">
        <w:rPr>
          <w:rFonts w:cstheme="minorHAnsi"/>
        </w:rPr>
        <w:t>em</w:t>
      </w:r>
      <w:r w:rsidR="00157E07" w:rsidRPr="00001F7B">
        <w:rPr>
          <w:rFonts w:cstheme="minorHAnsi"/>
        </w:rPr>
        <w:t>b</w:t>
      </w:r>
      <w:r w:rsidR="00581F18" w:rsidRPr="00001F7B">
        <w:rPr>
          <w:rFonts w:cstheme="minorHAnsi"/>
        </w:rPr>
        <w:t>er</w:t>
      </w:r>
      <w:r w:rsidR="00157E07" w:rsidRPr="00001F7B">
        <w:rPr>
          <w:rFonts w:cstheme="minorHAnsi"/>
        </w:rPr>
        <w:t xml:space="preserve"> states that it could </w:t>
      </w:r>
      <w:r w:rsidR="00581F18" w:rsidRPr="00001F7B">
        <w:rPr>
          <w:rFonts w:cstheme="minorHAnsi"/>
        </w:rPr>
        <w:t>have</w:t>
      </w:r>
      <w:r w:rsidR="00157E07" w:rsidRPr="00001F7B">
        <w:rPr>
          <w:rFonts w:cstheme="minorHAnsi"/>
        </w:rPr>
        <w:t xml:space="preserve"> a serious </w:t>
      </w:r>
      <w:r w:rsidR="00581F18" w:rsidRPr="00001F7B">
        <w:rPr>
          <w:rFonts w:cstheme="minorHAnsi"/>
        </w:rPr>
        <w:t>effect</w:t>
      </w:r>
      <w:r w:rsidR="00157E07" w:rsidRPr="00001F7B">
        <w:rPr>
          <w:rFonts w:cstheme="minorHAnsi"/>
        </w:rPr>
        <w:t xml:space="preserve"> on outcome and </w:t>
      </w:r>
      <w:r w:rsidR="00E20AE9" w:rsidRPr="00001F7B">
        <w:rPr>
          <w:rFonts w:cstheme="minorHAnsi"/>
        </w:rPr>
        <w:t xml:space="preserve">so be </w:t>
      </w:r>
      <w:r w:rsidR="00157E07" w:rsidRPr="00001F7B">
        <w:rPr>
          <w:rFonts w:cstheme="minorHAnsi"/>
        </w:rPr>
        <w:t>a strong inducement to forum shopping.</w:t>
      </w:r>
    </w:p>
    <w:p w14:paraId="13805AEE" w14:textId="5AD6CF45" w:rsidR="00F66419" w:rsidRPr="00001F7B" w:rsidRDefault="001F0A80" w:rsidP="00001F7B">
      <w:pPr>
        <w:rPr>
          <w:rFonts w:cstheme="minorHAnsi"/>
        </w:rPr>
      </w:pPr>
      <w:r w:rsidRPr="00001F7B">
        <w:rPr>
          <w:rFonts w:cstheme="minorHAnsi"/>
          <w:b/>
          <w:bCs/>
        </w:rPr>
        <w:t>8.</w:t>
      </w:r>
      <w:r w:rsidR="00F66419" w:rsidRPr="00001F7B">
        <w:rPr>
          <w:rFonts w:cstheme="minorHAnsi"/>
        </w:rPr>
        <w:t xml:space="preserve"> The more evidence we can collect as to methodologies and principles used to interpret CMR the more a picture can emerge of how far today reference is actually made to VCLT in CMR cases and whether its principles are used systematically and accurately in decision making. </w:t>
      </w:r>
      <w:r w:rsidR="00BF75A7" w:rsidRPr="00001F7B">
        <w:rPr>
          <w:rFonts w:cstheme="minorHAnsi"/>
        </w:rPr>
        <w:t xml:space="preserve">In </w:t>
      </w:r>
      <w:r w:rsidR="008E5F65" w:rsidRPr="00001F7B">
        <w:rPr>
          <w:rFonts w:cstheme="minorHAnsi"/>
        </w:rPr>
        <w:t>addition,</w:t>
      </w:r>
      <w:r w:rsidR="00BF75A7" w:rsidRPr="00001F7B">
        <w:rPr>
          <w:rFonts w:cstheme="minorHAnsi"/>
        </w:rPr>
        <w:t xml:space="preserve"> we might be able to determine whether </w:t>
      </w:r>
      <w:r w:rsidR="00C63D1F" w:rsidRPr="00001F7B">
        <w:rPr>
          <w:rFonts w:cstheme="minorHAnsi"/>
        </w:rPr>
        <w:t>there</w:t>
      </w:r>
      <w:r w:rsidR="00BF75A7" w:rsidRPr="00001F7B">
        <w:rPr>
          <w:rFonts w:cstheme="minorHAnsi"/>
        </w:rPr>
        <w:t xml:space="preserve"> is any consistency in the weight given to different parts of the principles and whether any further principles or construction are at play which might enable us to view CMR cases overall as evidencing a subset of interpretation principles.</w:t>
      </w:r>
    </w:p>
    <w:p w14:paraId="040FE86E" w14:textId="4A652875" w:rsidR="009D2192" w:rsidRPr="00001F7B" w:rsidRDefault="001F0A80" w:rsidP="00001F7B">
      <w:pPr>
        <w:rPr>
          <w:rFonts w:cstheme="minorHAnsi"/>
        </w:rPr>
      </w:pPr>
      <w:r w:rsidRPr="00001F7B">
        <w:rPr>
          <w:rFonts w:cstheme="minorHAnsi"/>
          <w:b/>
          <w:bCs/>
        </w:rPr>
        <w:t>9.</w:t>
      </w:r>
      <w:r w:rsidRPr="00001F7B">
        <w:rPr>
          <w:rFonts w:cstheme="minorHAnsi"/>
        </w:rPr>
        <w:t xml:space="preserve"> </w:t>
      </w:r>
      <w:r w:rsidR="009D2192" w:rsidRPr="00001F7B">
        <w:rPr>
          <w:rFonts w:cstheme="minorHAnsi"/>
        </w:rPr>
        <w:t xml:space="preserve">We should ensure that our advisory opinions always make reference to the VCLT and try to use them in a systematic way as courts should be expected to do. </w:t>
      </w:r>
      <w:r w:rsidR="00074562" w:rsidRPr="00001F7B">
        <w:rPr>
          <w:rFonts w:cstheme="minorHAnsi"/>
        </w:rPr>
        <w:t>This will be different from the CISG AC where, from the few opinions I have looked at, there is little o</w:t>
      </w:r>
      <w:r w:rsidR="008E5F65" w:rsidRPr="00001F7B">
        <w:rPr>
          <w:rFonts w:cstheme="minorHAnsi"/>
        </w:rPr>
        <w:t>r</w:t>
      </w:r>
      <w:r w:rsidR="00074562" w:rsidRPr="00001F7B">
        <w:rPr>
          <w:rFonts w:cstheme="minorHAnsi"/>
        </w:rPr>
        <w:t xml:space="preserve"> no reference to them.</w:t>
      </w:r>
    </w:p>
    <w:p w14:paraId="25CDF7AF" w14:textId="77777777" w:rsidR="001F0A80" w:rsidRPr="00001F7B" w:rsidRDefault="001F0A80" w:rsidP="00001F7B">
      <w:pPr>
        <w:rPr>
          <w:rFonts w:cstheme="minorHAnsi"/>
        </w:rPr>
      </w:pPr>
    </w:p>
    <w:p w14:paraId="4D59DEC0" w14:textId="0BC34FA2" w:rsidR="009672AB" w:rsidRPr="00001F7B" w:rsidRDefault="009672AB" w:rsidP="00001F7B">
      <w:pPr>
        <w:rPr>
          <w:rFonts w:cstheme="minorHAnsi"/>
        </w:rPr>
      </w:pPr>
    </w:p>
    <w:p w14:paraId="5ED2B232" w14:textId="540B18C8" w:rsidR="009672AB" w:rsidRPr="00001F7B" w:rsidRDefault="009672AB" w:rsidP="00001F7B">
      <w:pPr>
        <w:rPr>
          <w:rFonts w:cstheme="minorHAnsi"/>
        </w:rPr>
      </w:pPr>
    </w:p>
    <w:p w14:paraId="48C28AB8" w14:textId="6A509B6B" w:rsidR="009672AB" w:rsidRPr="00001F7B" w:rsidRDefault="009672AB" w:rsidP="00001F7B">
      <w:pPr>
        <w:rPr>
          <w:rFonts w:cstheme="minorHAnsi"/>
        </w:rPr>
      </w:pPr>
    </w:p>
    <w:p w14:paraId="31674B43" w14:textId="62BF18B0" w:rsidR="009672AB" w:rsidRPr="00001F7B" w:rsidRDefault="009672AB" w:rsidP="00001F7B">
      <w:pPr>
        <w:rPr>
          <w:rFonts w:cstheme="minorHAnsi"/>
        </w:rPr>
      </w:pPr>
    </w:p>
    <w:p w14:paraId="5822FF7D" w14:textId="51B0394C" w:rsidR="009672AB" w:rsidRPr="00001F7B" w:rsidRDefault="009672AB" w:rsidP="00001F7B">
      <w:pPr>
        <w:rPr>
          <w:rFonts w:cstheme="minorHAnsi"/>
        </w:rPr>
      </w:pPr>
    </w:p>
    <w:p w14:paraId="7092FF1C" w14:textId="5251C198" w:rsidR="009672AB" w:rsidRPr="00001F7B" w:rsidRDefault="009672AB" w:rsidP="00001F7B">
      <w:pPr>
        <w:rPr>
          <w:rFonts w:cstheme="minorHAnsi"/>
        </w:rPr>
      </w:pPr>
    </w:p>
    <w:p w14:paraId="257CB7C4" w14:textId="3CA2A1FC" w:rsidR="009672AB" w:rsidRPr="00001F7B" w:rsidRDefault="009672AB" w:rsidP="00001F7B">
      <w:pPr>
        <w:rPr>
          <w:rFonts w:cstheme="minorHAnsi"/>
        </w:rPr>
      </w:pPr>
    </w:p>
    <w:p w14:paraId="462D1AD6" w14:textId="4B6B58DC" w:rsidR="009672AB" w:rsidRPr="00001F7B" w:rsidRDefault="009672AB" w:rsidP="00001F7B">
      <w:pPr>
        <w:rPr>
          <w:rFonts w:cstheme="minorHAnsi"/>
        </w:rPr>
      </w:pPr>
    </w:p>
    <w:p w14:paraId="703CD6F2" w14:textId="690EF8C0" w:rsidR="009672AB" w:rsidRPr="00001F7B" w:rsidRDefault="009672AB" w:rsidP="00001F7B">
      <w:pPr>
        <w:rPr>
          <w:rFonts w:cstheme="minorHAnsi"/>
        </w:rPr>
      </w:pPr>
    </w:p>
    <w:p w14:paraId="7E69BAE2" w14:textId="77777777" w:rsidR="009672AB" w:rsidRDefault="009672AB" w:rsidP="001F6FBF"/>
    <w:sectPr w:rsidR="009672AB">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022A0" w14:textId="77777777" w:rsidR="00BF6071" w:rsidRDefault="00BF6071" w:rsidP="00DB0866">
      <w:pPr>
        <w:spacing w:after="0" w:line="240" w:lineRule="auto"/>
      </w:pPr>
      <w:r>
        <w:separator/>
      </w:r>
    </w:p>
  </w:endnote>
  <w:endnote w:type="continuationSeparator" w:id="0">
    <w:p w14:paraId="40803385" w14:textId="77777777" w:rsidR="00BF6071" w:rsidRDefault="00BF6071" w:rsidP="00DB0866">
      <w:pPr>
        <w:spacing w:after="0" w:line="240" w:lineRule="auto"/>
      </w:pPr>
      <w:r>
        <w:continuationSeparator/>
      </w:r>
    </w:p>
  </w:endnote>
  <w:endnote w:type="continuationNotice" w:id="1">
    <w:p w14:paraId="29EF2F3B" w14:textId="77777777" w:rsidR="00BF6071" w:rsidRDefault="00BF60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378366"/>
      <w:docPartObj>
        <w:docPartGallery w:val="Page Numbers (Bottom of Page)"/>
        <w:docPartUnique/>
      </w:docPartObj>
    </w:sdtPr>
    <w:sdtEndPr>
      <w:rPr>
        <w:noProof/>
      </w:rPr>
    </w:sdtEndPr>
    <w:sdtContent>
      <w:p w14:paraId="461154D5" w14:textId="1CED5BB9" w:rsidR="00A66723" w:rsidRDefault="00A66723">
        <w:pPr>
          <w:pStyle w:val="Footer"/>
        </w:pPr>
        <w:r>
          <w:fldChar w:fldCharType="begin"/>
        </w:r>
        <w:r>
          <w:instrText xml:space="preserve"> PAGE   \* MERGEFORMAT </w:instrText>
        </w:r>
        <w:r>
          <w:fldChar w:fldCharType="separate"/>
        </w:r>
        <w:r>
          <w:rPr>
            <w:noProof/>
          </w:rPr>
          <w:t>2</w:t>
        </w:r>
        <w:r>
          <w:rPr>
            <w:noProof/>
          </w:rPr>
          <w:fldChar w:fldCharType="end"/>
        </w:r>
      </w:p>
    </w:sdtContent>
  </w:sdt>
  <w:p w14:paraId="3B834AE6" w14:textId="77777777" w:rsidR="00A66723" w:rsidRDefault="00A667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BDA68" w14:textId="77777777" w:rsidR="00BF6071" w:rsidRDefault="00BF6071" w:rsidP="00DB0866">
      <w:pPr>
        <w:spacing w:after="0" w:line="240" w:lineRule="auto"/>
      </w:pPr>
      <w:r>
        <w:separator/>
      </w:r>
    </w:p>
  </w:footnote>
  <w:footnote w:type="continuationSeparator" w:id="0">
    <w:p w14:paraId="5A24E430" w14:textId="77777777" w:rsidR="00BF6071" w:rsidRDefault="00BF6071" w:rsidP="00DB0866">
      <w:pPr>
        <w:spacing w:after="0" w:line="240" w:lineRule="auto"/>
      </w:pPr>
      <w:r>
        <w:continuationSeparator/>
      </w:r>
    </w:p>
  </w:footnote>
  <w:footnote w:type="continuationNotice" w:id="1">
    <w:p w14:paraId="0A71D6CA" w14:textId="77777777" w:rsidR="00BF6071" w:rsidRDefault="00BF6071">
      <w:pPr>
        <w:spacing w:after="0" w:line="240" w:lineRule="auto"/>
      </w:pPr>
    </w:p>
  </w:footnote>
  <w:footnote w:id="2">
    <w:p w14:paraId="7BB29330" w14:textId="64A54A96" w:rsidR="00D86AAF" w:rsidRPr="00001F7B" w:rsidRDefault="00D86AAF">
      <w:pPr>
        <w:pStyle w:val="FootnoteText"/>
        <w:rPr>
          <w:rFonts w:cstheme="minorHAnsi"/>
        </w:rPr>
      </w:pPr>
      <w:r w:rsidRPr="00001F7B">
        <w:rPr>
          <w:rStyle w:val="FootnoteReference"/>
          <w:rFonts w:cstheme="minorHAnsi"/>
        </w:rPr>
        <w:footnoteRef/>
      </w:r>
      <w:r w:rsidRPr="00001F7B">
        <w:rPr>
          <w:rFonts w:cstheme="minorHAnsi"/>
        </w:rPr>
        <w:t xml:space="preserve"> M Roth and R </w:t>
      </w:r>
      <w:proofErr w:type="spellStart"/>
      <w:r w:rsidRPr="00001F7B">
        <w:rPr>
          <w:rFonts w:cstheme="minorHAnsi"/>
        </w:rPr>
        <w:t>Happ</w:t>
      </w:r>
      <w:proofErr w:type="spellEnd"/>
      <w:r w:rsidRPr="00001F7B">
        <w:rPr>
          <w:rFonts w:cstheme="minorHAnsi"/>
        </w:rPr>
        <w:t xml:space="preserve">, ‘Interpretation of Uniform Law Instruments According to Principles of International Law’ </w:t>
      </w:r>
      <w:r w:rsidR="003118E9" w:rsidRPr="00001F7B">
        <w:rPr>
          <w:rFonts w:cstheme="minorHAnsi"/>
        </w:rPr>
        <w:t>[</w:t>
      </w:r>
      <w:r w:rsidRPr="00001F7B">
        <w:rPr>
          <w:rFonts w:cstheme="minorHAnsi"/>
        </w:rPr>
        <w:t>1997</w:t>
      </w:r>
      <w:r w:rsidR="003118E9" w:rsidRPr="00001F7B">
        <w:rPr>
          <w:rFonts w:cstheme="minorHAnsi"/>
        </w:rPr>
        <w:t xml:space="preserve">] </w:t>
      </w:r>
      <w:r w:rsidRPr="00001F7B">
        <w:rPr>
          <w:rFonts w:cstheme="minorHAnsi"/>
        </w:rPr>
        <w:t>ULR 700, 701-2.</w:t>
      </w:r>
      <w:r w:rsidRPr="00001F7B">
        <w:rPr>
          <w:rStyle w:val="FootnoteReference"/>
          <w:rFonts w:cstheme="minorHAnsi"/>
        </w:rPr>
        <w:t xml:space="preserve"> </w:t>
      </w:r>
      <w:r w:rsidR="00FB45C8" w:rsidRPr="00001F7B">
        <w:rPr>
          <w:rFonts w:cstheme="minorHAnsi"/>
        </w:rPr>
        <w:t xml:space="preserve"> Writing in 2000 </w:t>
      </w:r>
      <w:proofErr w:type="spellStart"/>
      <w:r w:rsidR="00FB45C8" w:rsidRPr="00001F7B">
        <w:rPr>
          <w:rFonts w:cstheme="minorHAnsi"/>
        </w:rPr>
        <w:t>Gebauer</w:t>
      </w:r>
      <w:proofErr w:type="spellEnd"/>
      <w:r w:rsidR="00FB45C8" w:rsidRPr="00001F7B">
        <w:rPr>
          <w:rFonts w:cstheme="minorHAnsi"/>
        </w:rPr>
        <w:t>, ‘Uniform Law, general Principles and Autonomous Interpretation</w:t>
      </w:r>
      <w:r w:rsidR="00FA3D7B">
        <w:rPr>
          <w:rFonts w:cstheme="minorHAnsi"/>
        </w:rPr>
        <w:t>’</w:t>
      </w:r>
      <w:r w:rsidR="00FB45C8" w:rsidRPr="00001F7B">
        <w:rPr>
          <w:rFonts w:cstheme="minorHAnsi"/>
        </w:rPr>
        <w:t xml:space="preserve"> </w:t>
      </w:r>
      <w:r w:rsidR="003118E9" w:rsidRPr="00001F7B">
        <w:rPr>
          <w:rFonts w:cstheme="minorHAnsi"/>
        </w:rPr>
        <w:t>[</w:t>
      </w:r>
      <w:r w:rsidR="00FB45C8" w:rsidRPr="00001F7B">
        <w:rPr>
          <w:rFonts w:cstheme="minorHAnsi"/>
        </w:rPr>
        <w:t>2000</w:t>
      </w:r>
      <w:r w:rsidR="003118E9" w:rsidRPr="00001F7B">
        <w:rPr>
          <w:rFonts w:cstheme="minorHAnsi"/>
        </w:rPr>
        <w:t xml:space="preserve">] </w:t>
      </w:r>
      <w:r w:rsidR="00FB45C8" w:rsidRPr="00001F7B">
        <w:rPr>
          <w:rFonts w:cstheme="minorHAnsi"/>
        </w:rPr>
        <w:t xml:space="preserve">ULR </w:t>
      </w:r>
      <w:r w:rsidR="00691072" w:rsidRPr="00001F7B">
        <w:rPr>
          <w:rFonts w:cstheme="minorHAnsi"/>
        </w:rPr>
        <w:t xml:space="preserve">683 </w:t>
      </w:r>
      <w:r w:rsidR="001F751D" w:rsidRPr="00001F7B">
        <w:rPr>
          <w:rFonts w:cstheme="minorHAnsi"/>
        </w:rPr>
        <w:t xml:space="preserve">still </w:t>
      </w:r>
      <w:r w:rsidR="00691072" w:rsidRPr="00001F7B">
        <w:rPr>
          <w:rFonts w:cstheme="minorHAnsi"/>
        </w:rPr>
        <w:t>felt able to say that “National courts and jurists tend to resolve the problems that arise in uniform law by treating them as they would in applying domestic law</w:t>
      </w:r>
      <w:r w:rsidR="00231FDD" w:rsidRPr="00001F7B">
        <w:rPr>
          <w:rFonts w:cstheme="minorHAnsi"/>
        </w:rPr>
        <w:t>”</w:t>
      </w:r>
      <w:r w:rsidR="003332D8" w:rsidRPr="00001F7B">
        <w:rPr>
          <w:rFonts w:cstheme="minorHAnsi"/>
        </w:rPr>
        <w:t xml:space="preserve">.  He cites Munday </w:t>
      </w:r>
      <w:r w:rsidR="00F3674D" w:rsidRPr="00001F7B">
        <w:rPr>
          <w:rFonts w:cstheme="minorHAnsi"/>
        </w:rPr>
        <w:t>‘Interpretation of International Conventions’ (1978) 27 ICLQ 450 in support who says at p</w:t>
      </w:r>
      <w:r w:rsidR="00CD45B0" w:rsidRPr="00001F7B">
        <w:rPr>
          <w:rFonts w:cstheme="minorHAnsi"/>
        </w:rPr>
        <w:t xml:space="preserve"> </w:t>
      </w:r>
      <w:r w:rsidR="00F3674D" w:rsidRPr="00001F7B">
        <w:rPr>
          <w:rFonts w:cstheme="minorHAnsi"/>
        </w:rPr>
        <w:t>451 “...conflicting national interpretations of uniform conventions constitute a fact of international legal life</w:t>
      </w:r>
      <w:r w:rsidR="00CD45B0" w:rsidRPr="00001F7B">
        <w:rPr>
          <w:rFonts w:cstheme="minorHAnsi"/>
        </w:rPr>
        <w:t>.</w:t>
      </w:r>
      <w:r w:rsidR="00F3674D" w:rsidRPr="00001F7B">
        <w:rPr>
          <w:rFonts w:cstheme="minorHAnsi"/>
        </w:rPr>
        <w:t>”</w:t>
      </w:r>
    </w:p>
  </w:footnote>
  <w:footnote w:id="3">
    <w:p w14:paraId="11841105" w14:textId="36405FE0" w:rsidR="00D86AAF" w:rsidRPr="00001F7B" w:rsidRDefault="00D86AAF">
      <w:pPr>
        <w:pStyle w:val="FootnoteText"/>
        <w:rPr>
          <w:rFonts w:cstheme="minorHAnsi"/>
        </w:rPr>
      </w:pPr>
      <w:r w:rsidRPr="00001F7B">
        <w:rPr>
          <w:rStyle w:val="FootnoteReference"/>
          <w:rFonts w:cstheme="minorHAnsi"/>
        </w:rPr>
        <w:footnoteRef/>
      </w:r>
      <w:r w:rsidR="00861EF9" w:rsidRPr="00001F7B">
        <w:rPr>
          <w:rFonts w:cstheme="minorHAnsi"/>
        </w:rPr>
        <w:t xml:space="preserve"> </w:t>
      </w:r>
      <w:r w:rsidR="001E1E38" w:rsidRPr="00001F7B">
        <w:rPr>
          <w:rFonts w:cstheme="minorHAnsi"/>
        </w:rPr>
        <w:t xml:space="preserve">See </w:t>
      </w:r>
      <w:r w:rsidR="00187147" w:rsidRPr="00001F7B">
        <w:rPr>
          <w:rFonts w:cstheme="minorHAnsi"/>
        </w:rPr>
        <w:t>the</w:t>
      </w:r>
      <w:r w:rsidR="001E1E38" w:rsidRPr="00001F7B">
        <w:rPr>
          <w:rFonts w:cstheme="minorHAnsi"/>
        </w:rPr>
        <w:t xml:space="preserve"> Annex</w:t>
      </w:r>
      <w:r w:rsidR="00187147" w:rsidRPr="00001F7B">
        <w:rPr>
          <w:rFonts w:cstheme="minorHAnsi"/>
        </w:rPr>
        <w:t xml:space="preserve"> </w:t>
      </w:r>
      <w:r w:rsidR="003118E9" w:rsidRPr="00001F7B">
        <w:rPr>
          <w:rFonts w:cstheme="minorHAnsi"/>
        </w:rPr>
        <w:t xml:space="preserve">Folder </w:t>
      </w:r>
      <w:r w:rsidR="00187147" w:rsidRPr="00001F7B">
        <w:rPr>
          <w:rFonts w:cstheme="minorHAnsi"/>
        </w:rPr>
        <w:t xml:space="preserve">for details </w:t>
      </w:r>
      <w:r w:rsidR="00FB364F" w:rsidRPr="00001F7B">
        <w:rPr>
          <w:rFonts w:cstheme="minorHAnsi"/>
        </w:rPr>
        <w:t xml:space="preserve">of the developments in different </w:t>
      </w:r>
      <w:r w:rsidR="00C04F87" w:rsidRPr="00001F7B">
        <w:rPr>
          <w:rFonts w:cstheme="minorHAnsi"/>
        </w:rPr>
        <w:t>jurisdictions.</w:t>
      </w:r>
    </w:p>
  </w:footnote>
  <w:footnote w:id="4">
    <w:p w14:paraId="67137516" w14:textId="53449DD9" w:rsidR="00D86AAF" w:rsidRPr="00001F7B" w:rsidRDefault="006D00C0" w:rsidP="00187147">
      <w:pPr>
        <w:rPr>
          <w:rFonts w:cstheme="minorHAnsi"/>
          <w:sz w:val="20"/>
          <w:szCs w:val="20"/>
        </w:rPr>
      </w:pPr>
      <w:r w:rsidRPr="00001F7B">
        <w:rPr>
          <w:rStyle w:val="FootnoteReference"/>
          <w:rFonts w:cstheme="minorHAnsi"/>
          <w:sz w:val="20"/>
          <w:szCs w:val="20"/>
        </w:rPr>
        <w:footnoteRef/>
      </w:r>
      <w:r w:rsidR="00D86AAF" w:rsidRPr="00001F7B">
        <w:rPr>
          <w:rFonts w:cstheme="minorHAnsi"/>
          <w:sz w:val="20"/>
          <w:szCs w:val="20"/>
        </w:rPr>
        <w:t xml:space="preserve"> </w:t>
      </w:r>
      <w:r w:rsidR="0037571D" w:rsidRPr="00001F7B">
        <w:rPr>
          <w:rFonts w:cstheme="minorHAnsi"/>
          <w:sz w:val="20"/>
          <w:szCs w:val="20"/>
        </w:rPr>
        <w:t>See however Waibel,</w:t>
      </w:r>
      <w:r w:rsidR="00187147" w:rsidRPr="00001F7B">
        <w:rPr>
          <w:rFonts w:cstheme="minorHAnsi"/>
          <w:sz w:val="20"/>
          <w:szCs w:val="20"/>
        </w:rPr>
        <w:t xml:space="preserve"> </w:t>
      </w:r>
      <w:r w:rsidR="006817C1" w:rsidRPr="00001F7B">
        <w:rPr>
          <w:rFonts w:cstheme="minorHAnsi"/>
          <w:sz w:val="20"/>
          <w:szCs w:val="20"/>
        </w:rPr>
        <w:t>‘</w:t>
      </w:r>
      <w:r w:rsidR="0037571D" w:rsidRPr="00001F7B">
        <w:rPr>
          <w:rFonts w:cstheme="minorHAnsi"/>
          <w:sz w:val="20"/>
          <w:szCs w:val="20"/>
        </w:rPr>
        <w:t>Principles of Treaty Interpretation: Developed for and Applied by National Courts?</w:t>
      </w:r>
      <w:r w:rsidR="006817C1" w:rsidRPr="00001F7B">
        <w:rPr>
          <w:rFonts w:cstheme="minorHAnsi"/>
          <w:sz w:val="20"/>
          <w:szCs w:val="20"/>
        </w:rPr>
        <w:t>’</w:t>
      </w:r>
      <w:r w:rsidR="0037571D" w:rsidRPr="00001F7B">
        <w:rPr>
          <w:rFonts w:cstheme="minorHAnsi"/>
          <w:sz w:val="20"/>
          <w:szCs w:val="20"/>
        </w:rPr>
        <w:t xml:space="preserve">  </w:t>
      </w:r>
      <w:r w:rsidR="006817C1" w:rsidRPr="00001F7B">
        <w:rPr>
          <w:rFonts w:cstheme="minorHAnsi"/>
          <w:sz w:val="20"/>
          <w:szCs w:val="20"/>
        </w:rPr>
        <w:t>i</w:t>
      </w:r>
      <w:r w:rsidR="0037571D" w:rsidRPr="00001F7B">
        <w:rPr>
          <w:rFonts w:cstheme="minorHAnsi"/>
          <w:sz w:val="20"/>
          <w:szCs w:val="20"/>
        </w:rPr>
        <w:t xml:space="preserve">n </w:t>
      </w:r>
      <w:proofErr w:type="spellStart"/>
      <w:r w:rsidR="0037571D" w:rsidRPr="00001F7B">
        <w:rPr>
          <w:rFonts w:cstheme="minorHAnsi"/>
          <w:sz w:val="20"/>
          <w:szCs w:val="20"/>
        </w:rPr>
        <w:t>Aust</w:t>
      </w:r>
      <w:proofErr w:type="spellEnd"/>
      <w:r w:rsidR="0037571D" w:rsidRPr="00001F7B">
        <w:rPr>
          <w:rFonts w:cstheme="minorHAnsi"/>
          <w:sz w:val="20"/>
          <w:szCs w:val="20"/>
        </w:rPr>
        <w:t xml:space="preserve"> and Nolte (eds) </w:t>
      </w:r>
      <w:r w:rsidR="0037571D" w:rsidRPr="00001F7B">
        <w:rPr>
          <w:rFonts w:cstheme="minorHAnsi"/>
          <w:i/>
          <w:iCs/>
          <w:sz w:val="20"/>
          <w:szCs w:val="20"/>
        </w:rPr>
        <w:t xml:space="preserve">Interpretation of International Law by Domestic </w:t>
      </w:r>
      <w:r w:rsidR="001E564E" w:rsidRPr="00001F7B">
        <w:rPr>
          <w:rFonts w:cstheme="minorHAnsi"/>
          <w:i/>
          <w:iCs/>
          <w:sz w:val="20"/>
          <w:szCs w:val="20"/>
        </w:rPr>
        <w:t xml:space="preserve">Courts: Uniformity, Diversity, Convergence </w:t>
      </w:r>
      <w:r w:rsidR="0037571D" w:rsidRPr="00001F7B">
        <w:rPr>
          <w:rFonts w:cstheme="minorHAnsi"/>
          <w:sz w:val="20"/>
          <w:szCs w:val="20"/>
        </w:rPr>
        <w:t xml:space="preserve"> </w:t>
      </w:r>
      <w:r w:rsidR="001E564E" w:rsidRPr="00001F7B">
        <w:rPr>
          <w:rFonts w:cstheme="minorHAnsi"/>
          <w:sz w:val="20"/>
          <w:szCs w:val="20"/>
        </w:rPr>
        <w:t xml:space="preserve">OUP, </w:t>
      </w:r>
      <w:r w:rsidR="001E14A8" w:rsidRPr="00001F7B">
        <w:rPr>
          <w:rFonts w:cstheme="minorHAnsi"/>
          <w:sz w:val="20"/>
          <w:szCs w:val="20"/>
        </w:rPr>
        <w:t xml:space="preserve">2016, </w:t>
      </w:r>
      <w:proofErr w:type="spellStart"/>
      <w:r w:rsidR="0037571D" w:rsidRPr="00001F7B">
        <w:rPr>
          <w:rFonts w:cstheme="minorHAnsi"/>
          <w:sz w:val="20"/>
          <w:szCs w:val="20"/>
        </w:rPr>
        <w:t>ch</w:t>
      </w:r>
      <w:proofErr w:type="spellEnd"/>
      <w:r w:rsidR="00B85495" w:rsidRPr="00001F7B">
        <w:rPr>
          <w:rFonts w:cstheme="minorHAnsi"/>
          <w:sz w:val="20"/>
          <w:szCs w:val="20"/>
        </w:rPr>
        <w:t xml:space="preserve"> </w:t>
      </w:r>
      <w:r w:rsidR="0037571D" w:rsidRPr="00001F7B">
        <w:rPr>
          <w:rFonts w:cstheme="minorHAnsi"/>
          <w:sz w:val="20"/>
          <w:szCs w:val="20"/>
        </w:rPr>
        <w:t>2 pp</w:t>
      </w:r>
      <w:r w:rsidR="00B85495" w:rsidRPr="00001F7B">
        <w:rPr>
          <w:rFonts w:cstheme="minorHAnsi"/>
          <w:sz w:val="20"/>
          <w:szCs w:val="20"/>
        </w:rPr>
        <w:t xml:space="preserve"> </w:t>
      </w:r>
      <w:r w:rsidR="0037571D" w:rsidRPr="00001F7B">
        <w:rPr>
          <w:rFonts w:cstheme="minorHAnsi"/>
          <w:sz w:val="20"/>
          <w:szCs w:val="20"/>
        </w:rPr>
        <w:t>9, 14-19</w:t>
      </w:r>
      <w:r w:rsidR="006817C1" w:rsidRPr="00001F7B">
        <w:rPr>
          <w:rFonts w:cstheme="minorHAnsi"/>
          <w:sz w:val="20"/>
          <w:szCs w:val="20"/>
        </w:rPr>
        <w:t>. I</w:t>
      </w:r>
      <w:r w:rsidR="0037571D" w:rsidRPr="00001F7B">
        <w:rPr>
          <w:rFonts w:cstheme="minorHAnsi"/>
          <w:sz w:val="20"/>
          <w:szCs w:val="20"/>
        </w:rPr>
        <w:t xml:space="preserve">nstitutional difficulties </w:t>
      </w:r>
      <w:r w:rsidR="00BF2D6B" w:rsidRPr="00001F7B">
        <w:rPr>
          <w:rFonts w:cstheme="minorHAnsi"/>
          <w:sz w:val="20"/>
          <w:szCs w:val="20"/>
        </w:rPr>
        <w:t xml:space="preserve">are noted </w:t>
      </w:r>
      <w:r w:rsidR="0037571D" w:rsidRPr="00001F7B">
        <w:rPr>
          <w:rFonts w:cstheme="minorHAnsi"/>
          <w:sz w:val="20"/>
          <w:szCs w:val="20"/>
        </w:rPr>
        <w:t xml:space="preserve">which may place limits on national courts compared to international tribunals </w:t>
      </w:r>
      <w:r w:rsidR="006817C1" w:rsidRPr="00001F7B">
        <w:rPr>
          <w:rFonts w:cstheme="minorHAnsi"/>
          <w:sz w:val="20"/>
          <w:szCs w:val="20"/>
        </w:rPr>
        <w:t>e.g.,</w:t>
      </w:r>
      <w:r w:rsidR="0037571D" w:rsidRPr="00001F7B">
        <w:rPr>
          <w:rFonts w:cstheme="minorHAnsi"/>
          <w:sz w:val="20"/>
          <w:szCs w:val="20"/>
        </w:rPr>
        <w:t xml:space="preserve"> the doctrine of precedent </w:t>
      </w:r>
      <w:r w:rsidR="006817C1" w:rsidRPr="00001F7B">
        <w:rPr>
          <w:rFonts w:cstheme="minorHAnsi"/>
          <w:sz w:val="20"/>
          <w:szCs w:val="20"/>
        </w:rPr>
        <w:t>along with</w:t>
      </w:r>
      <w:r w:rsidR="0037571D" w:rsidRPr="00001F7B">
        <w:rPr>
          <w:rFonts w:cstheme="minorHAnsi"/>
          <w:sz w:val="20"/>
          <w:szCs w:val="20"/>
        </w:rPr>
        <w:t xml:space="preserve"> the cultural factors that may lead national courts to remain inward looking in their approach to uniform law.</w:t>
      </w:r>
    </w:p>
  </w:footnote>
  <w:footnote w:id="5">
    <w:p w14:paraId="4CFA731E" w14:textId="21D0987C" w:rsidR="008521F1" w:rsidRPr="00001F7B" w:rsidRDefault="008521F1" w:rsidP="001E14A8">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001E14A8" w:rsidRPr="00001F7B">
        <w:rPr>
          <w:rFonts w:cstheme="minorHAnsi"/>
        </w:rPr>
        <w:t>Haak</w:t>
      </w:r>
      <w:proofErr w:type="spellEnd"/>
      <w:r w:rsidR="001E14A8" w:rsidRPr="00001F7B">
        <w:rPr>
          <w:rFonts w:cstheme="minorHAnsi"/>
        </w:rPr>
        <w:t xml:space="preserve">, in </w:t>
      </w:r>
      <w:r w:rsidR="001E14A8" w:rsidRPr="00001F7B">
        <w:rPr>
          <w:rFonts w:cstheme="minorHAnsi"/>
          <w:i/>
          <w:iCs/>
        </w:rPr>
        <w:t>The Liability of the Carrier under the CMR</w:t>
      </w:r>
      <w:r w:rsidR="001E14A8" w:rsidRPr="00001F7B">
        <w:rPr>
          <w:rFonts w:cstheme="minorHAnsi"/>
        </w:rPr>
        <w:t xml:space="preserve"> </w:t>
      </w:r>
      <w:proofErr w:type="spellStart"/>
      <w:r w:rsidR="001E14A8" w:rsidRPr="00001F7B">
        <w:rPr>
          <w:rFonts w:cstheme="minorHAnsi"/>
        </w:rPr>
        <w:t>Stichting</w:t>
      </w:r>
      <w:proofErr w:type="spellEnd"/>
      <w:r w:rsidR="001E14A8" w:rsidRPr="00001F7B">
        <w:rPr>
          <w:rFonts w:cstheme="minorHAnsi"/>
        </w:rPr>
        <w:t xml:space="preserve"> </w:t>
      </w:r>
      <w:proofErr w:type="spellStart"/>
      <w:r w:rsidR="001E14A8" w:rsidRPr="00001F7B">
        <w:rPr>
          <w:rFonts w:cstheme="minorHAnsi"/>
        </w:rPr>
        <w:t>Ve</w:t>
      </w:r>
      <w:r w:rsidR="00315382" w:rsidRPr="00001F7B">
        <w:rPr>
          <w:rFonts w:cstheme="minorHAnsi"/>
        </w:rPr>
        <w:t>r</w:t>
      </w:r>
      <w:r w:rsidR="001E14A8" w:rsidRPr="00001F7B">
        <w:rPr>
          <w:rFonts w:cstheme="minorHAnsi"/>
        </w:rPr>
        <w:t>v</w:t>
      </w:r>
      <w:r w:rsidR="00315382" w:rsidRPr="00001F7B">
        <w:rPr>
          <w:rFonts w:cstheme="minorHAnsi"/>
        </w:rPr>
        <w:t>o</w:t>
      </w:r>
      <w:r w:rsidR="001E14A8" w:rsidRPr="00001F7B">
        <w:rPr>
          <w:rFonts w:cstheme="minorHAnsi"/>
        </w:rPr>
        <w:t>eradres</w:t>
      </w:r>
      <w:proofErr w:type="spellEnd"/>
      <w:r w:rsidR="001E14A8" w:rsidRPr="00001F7B">
        <w:rPr>
          <w:rFonts w:cstheme="minorHAnsi"/>
        </w:rPr>
        <w:t xml:space="preserve">, 1986, </w:t>
      </w:r>
      <w:r w:rsidR="003C39ED" w:rsidRPr="00001F7B">
        <w:rPr>
          <w:rFonts w:cstheme="minorHAnsi"/>
        </w:rPr>
        <w:t>p 1</w:t>
      </w:r>
      <w:r w:rsidR="00315382" w:rsidRPr="00001F7B">
        <w:rPr>
          <w:rFonts w:cstheme="minorHAnsi"/>
        </w:rPr>
        <w:t>0</w:t>
      </w:r>
      <w:r w:rsidR="003C39ED" w:rsidRPr="00001F7B">
        <w:rPr>
          <w:rFonts w:cstheme="minorHAnsi"/>
        </w:rPr>
        <w:t xml:space="preserve"> and in </w:t>
      </w:r>
      <w:r w:rsidR="003C39ED" w:rsidRPr="00001F7B">
        <w:rPr>
          <w:rFonts w:cstheme="minorHAnsi"/>
          <w:i/>
          <w:iCs/>
        </w:rPr>
        <w:t>International Carriage of Goods by Road (CMR)</w:t>
      </w:r>
      <w:r w:rsidR="003C39ED" w:rsidRPr="00001F7B">
        <w:rPr>
          <w:rFonts w:cstheme="minorHAnsi"/>
        </w:rPr>
        <w:t xml:space="preserve">, ed </w:t>
      </w:r>
      <w:proofErr w:type="spellStart"/>
      <w:r w:rsidR="003C39ED" w:rsidRPr="00001F7B">
        <w:rPr>
          <w:rFonts w:cstheme="minorHAnsi"/>
        </w:rPr>
        <w:t>Theunis</w:t>
      </w:r>
      <w:proofErr w:type="spellEnd"/>
      <w:r w:rsidR="003C39ED" w:rsidRPr="00001F7B">
        <w:rPr>
          <w:rFonts w:cstheme="minorHAnsi"/>
        </w:rPr>
        <w:t xml:space="preserve">, 1987 LLP </w:t>
      </w:r>
      <w:proofErr w:type="spellStart"/>
      <w:r w:rsidR="003C39ED" w:rsidRPr="00001F7B">
        <w:rPr>
          <w:rFonts w:cstheme="minorHAnsi"/>
        </w:rPr>
        <w:t>ch</w:t>
      </w:r>
      <w:proofErr w:type="spellEnd"/>
      <w:r w:rsidR="003C39ED" w:rsidRPr="00001F7B">
        <w:rPr>
          <w:rFonts w:cstheme="minorHAnsi"/>
        </w:rPr>
        <w:t xml:space="preserve"> 13, p </w:t>
      </w:r>
      <w:r w:rsidR="00E13AF1" w:rsidRPr="00001F7B">
        <w:rPr>
          <w:rFonts w:cstheme="minorHAnsi"/>
        </w:rPr>
        <w:t>225,</w:t>
      </w:r>
      <w:r w:rsidR="0024200A" w:rsidRPr="00001F7B">
        <w:rPr>
          <w:rFonts w:cstheme="minorHAnsi"/>
        </w:rPr>
        <w:t xml:space="preserve"> says</w:t>
      </w:r>
      <w:r w:rsidR="003C39ED" w:rsidRPr="00001F7B">
        <w:rPr>
          <w:rFonts w:cstheme="minorHAnsi"/>
        </w:rPr>
        <w:t xml:space="preserve"> </w:t>
      </w:r>
      <w:r w:rsidR="001E14A8" w:rsidRPr="00001F7B">
        <w:rPr>
          <w:rFonts w:cstheme="minorHAnsi"/>
        </w:rPr>
        <w:t xml:space="preserve">that the notion that uniform law is autonomous in character is, with various terminological differences, generally accepted by practitioners of uniform law. See also </w:t>
      </w:r>
      <w:proofErr w:type="spellStart"/>
      <w:r w:rsidRPr="00001F7B">
        <w:rPr>
          <w:rFonts w:cstheme="minorHAnsi"/>
        </w:rPr>
        <w:t>Traschler</w:t>
      </w:r>
      <w:proofErr w:type="spellEnd"/>
      <w:r w:rsidRPr="00001F7B">
        <w:rPr>
          <w:rFonts w:cstheme="minorHAnsi"/>
        </w:rPr>
        <w:t>, ‘</w:t>
      </w:r>
      <w:r w:rsidR="00543960" w:rsidRPr="00001F7B">
        <w:rPr>
          <w:rFonts w:cstheme="minorHAnsi"/>
        </w:rPr>
        <w:t>A uniform application of Article 13 of the Cape Town Convention via an autonomous interpretation’ (2016) 21 ULR 640.</w:t>
      </w:r>
    </w:p>
  </w:footnote>
  <w:footnote w:id="6">
    <w:p w14:paraId="4247E158" w14:textId="6F483FC8" w:rsidR="00D5357B" w:rsidRPr="00001F7B" w:rsidRDefault="00D5357B">
      <w:pPr>
        <w:pStyle w:val="FootnoteText"/>
        <w:rPr>
          <w:rFonts w:cstheme="minorHAnsi"/>
        </w:rPr>
      </w:pPr>
      <w:r w:rsidRPr="00001F7B">
        <w:rPr>
          <w:rStyle w:val="FootnoteReference"/>
          <w:rFonts w:cstheme="minorHAnsi"/>
        </w:rPr>
        <w:footnoteRef/>
      </w:r>
      <w:r w:rsidRPr="00001F7B">
        <w:rPr>
          <w:rFonts w:cstheme="minorHAnsi"/>
        </w:rPr>
        <w:t xml:space="preserve"> The reference throughout </w:t>
      </w:r>
      <w:r w:rsidR="00E43B41" w:rsidRPr="00001F7B">
        <w:rPr>
          <w:rFonts w:cstheme="minorHAnsi"/>
        </w:rPr>
        <w:t>w</w:t>
      </w:r>
      <w:r w:rsidRPr="00001F7B">
        <w:rPr>
          <w:rFonts w:cstheme="minorHAnsi"/>
        </w:rPr>
        <w:t>ill be to the Vienna Rules (or the Rules) rather than principles.</w:t>
      </w:r>
      <w:r w:rsidR="00E43B41" w:rsidRPr="00001F7B">
        <w:rPr>
          <w:rFonts w:cstheme="minorHAnsi"/>
        </w:rPr>
        <w:t xml:space="preserve"> Gardiner, </w:t>
      </w:r>
      <w:r w:rsidR="00E43B41" w:rsidRPr="00001F7B">
        <w:rPr>
          <w:rFonts w:cstheme="minorHAnsi"/>
          <w:i/>
          <w:iCs/>
        </w:rPr>
        <w:t>Treaty Interpretation</w:t>
      </w:r>
      <w:r w:rsidR="00E43B41" w:rsidRPr="00001F7B">
        <w:rPr>
          <w:rFonts w:cstheme="minorHAnsi"/>
        </w:rPr>
        <w:t xml:space="preserve"> </w:t>
      </w:r>
      <w:r w:rsidR="004A070C" w:rsidRPr="00001F7B">
        <w:rPr>
          <w:rFonts w:cstheme="minorHAnsi"/>
        </w:rPr>
        <w:t>2</w:t>
      </w:r>
      <w:r w:rsidR="004A070C" w:rsidRPr="00001F7B">
        <w:rPr>
          <w:rFonts w:cstheme="minorHAnsi"/>
          <w:vertAlign w:val="superscript"/>
        </w:rPr>
        <w:t>nd</w:t>
      </w:r>
      <w:r w:rsidR="004A070C" w:rsidRPr="00001F7B">
        <w:rPr>
          <w:rFonts w:cstheme="minorHAnsi"/>
        </w:rPr>
        <w:t xml:space="preserve"> ed, </w:t>
      </w:r>
      <w:r w:rsidR="0024200A" w:rsidRPr="00001F7B">
        <w:rPr>
          <w:rFonts w:cstheme="minorHAnsi"/>
        </w:rPr>
        <w:t xml:space="preserve">2015, </w:t>
      </w:r>
      <w:r w:rsidR="004A070C" w:rsidRPr="00001F7B">
        <w:rPr>
          <w:rFonts w:cstheme="minorHAnsi"/>
        </w:rPr>
        <w:t xml:space="preserve">OUP, </w:t>
      </w:r>
      <w:r w:rsidR="00E43B41" w:rsidRPr="00001F7B">
        <w:rPr>
          <w:rFonts w:cstheme="minorHAnsi"/>
        </w:rPr>
        <w:t>p 39</w:t>
      </w:r>
      <w:r w:rsidR="0024200A" w:rsidRPr="00001F7B">
        <w:rPr>
          <w:rFonts w:cstheme="minorHAnsi"/>
        </w:rPr>
        <w:t>,</w:t>
      </w:r>
      <w:r w:rsidR="0026347D" w:rsidRPr="00001F7B">
        <w:rPr>
          <w:rFonts w:cstheme="minorHAnsi"/>
        </w:rPr>
        <w:t xml:space="preserve"> notes that this is the label commonly attached to them and that they are habitually referred to as Rules by courts and tribunals (whi</w:t>
      </w:r>
      <w:r w:rsidR="003E021A" w:rsidRPr="00001F7B">
        <w:rPr>
          <w:rFonts w:cstheme="minorHAnsi"/>
        </w:rPr>
        <w:t>lst often applying them more as principles).</w:t>
      </w:r>
    </w:p>
  </w:footnote>
  <w:footnote w:id="7">
    <w:p w14:paraId="63B5718E" w14:textId="009A770A" w:rsidR="00025B3E" w:rsidRPr="00001F7B" w:rsidRDefault="00025B3E" w:rsidP="00D567F0">
      <w:pPr>
        <w:pStyle w:val="FootnoteText"/>
        <w:rPr>
          <w:rFonts w:cstheme="minorHAnsi"/>
        </w:rPr>
      </w:pPr>
      <w:r w:rsidRPr="00001F7B">
        <w:rPr>
          <w:rStyle w:val="FootnoteReference"/>
          <w:rFonts w:cstheme="minorHAnsi"/>
        </w:rPr>
        <w:footnoteRef/>
      </w:r>
      <w:r w:rsidRPr="00001F7B">
        <w:rPr>
          <w:rFonts w:cstheme="minorHAnsi"/>
        </w:rPr>
        <w:t xml:space="preserve"> See </w:t>
      </w:r>
      <w:r w:rsidR="006817C1" w:rsidRPr="00001F7B">
        <w:rPr>
          <w:rFonts w:cstheme="minorHAnsi"/>
        </w:rPr>
        <w:t>e.g.,</w:t>
      </w:r>
      <w:r w:rsidRPr="00001F7B">
        <w:rPr>
          <w:rFonts w:cstheme="minorHAnsi"/>
        </w:rPr>
        <w:t xml:space="preserve"> Roth and </w:t>
      </w:r>
      <w:proofErr w:type="spellStart"/>
      <w:r w:rsidRPr="00001F7B">
        <w:rPr>
          <w:rFonts w:cstheme="minorHAnsi"/>
        </w:rPr>
        <w:t>Happ</w:t>
      </w:r>
      <w:proofErr w:type="spellEnd"/>
      <w:r w:rsidRPr="00001F7B">
        <w:rPr>
          <w:rFonts w:cstheme="minorHAnsi"/>
        </w:rPr>
        <w:t xml:space="preserve">, </w:t>
      </w:r>
      <w:r w:rsidR="00944771" w:rsidRPr="00001F7B">
        <w:rPr>
          <w:rFonts w:cstheme="minorHAnsi"/>
        </w:rPr>
        <w:t>above</w:t>
      </w:r>
      <w:r w:rsidR="00BD5A10" w:rsidRPr="00001F7B">
        <w:rPr>
          <w:rFonts w:cstheme="minorHAnsi"/>
        </w:rPr>
        <w:t>,</w:t>
      </w:r>
      <w:r w:rsidR="00944771" w:rsidRPr="00001F7B">
        <w:rPr>
          <w:rFonts w:cstheme="minorHAnsi"/>
        </w:rPr>
        <w:t xml:space="preserve"> </w:t>
      </w:r>
      <w:proofErr w:type="spellStart"/>
      <w:r w:rsidR="00944771" w:rsidRPr="00001F7B">
        <w:rPr>
          <w:rFonts w:cstheme="minorHAnsi"/>
        </w:rPr>
        <w:t>fn</w:t>
      </w:r>
      <w:proofErr w:type="spellEnd"/>
      <w:r w:rsidR="00244D03" w:rsidRPr="00001F7B">
        <w:rPr>
          <w:rFonts w:cstheme="minorHAnsi"/>
        </w:rPr>
        <w:t xml:space="preserve"> 1</w:t>
      </w:r>
      <w:r w:rsidR="00944771" w:rsidRPr="00001F7B">
        <w:rPr>
          <w:rFonts w:cstheme="minorHAnsi"/>
        </w:rPr>
        <w:t xml:space="preserve">, </w:t>
      </w:r>
      <w:r w:rsidRPr="00001F7B">
        <w:rPr>
          <w:rFonts w:cstheme="minorHAnsi"/>
        </w:rPr>
        <w:t xml:space="preserve">p </w:t>
      </w:r>
      <w:r w:rsidR="00D567F0" w:rsidRPr="00001F7B">
        <w:rPr>
          <w:rFonts w:cstheme="minorHAnsi"/>
        </w:rPr>
        <w:t xml:space="preserve">702 who assert that the prevailing view (of advocates of autonomy – at least in 1997) rejects the application of international principles of interpretation to uniform law instruments. </w:t>
      </w:r>
      <w:r w:rsidR="00CA25D7" w:rsidRPr="00001F7B">
        <w:rPr>
          <w:rFonts w:cstheme="minorHAnsi"/>
        </w:rPr>
        <w:t>In other area</w:t>
      </w:r>
      <w:r w:rsidR="00040315" w:rsidRPr="00001F7B">
        <w:rPr>
          <w:rFonts w:cstheme="minorHAnsi"/>
        </w:rPr>
        <w:t>s</w:t>
      </w:r>
      <w:r w:rsidR="00CA25D7" w:rsidRPr="00001F7B">
        <w:rPr>
          <w:rFonts w:cstheme="minorHAnsi"/>
        </w:rPr>
        <w:t xml:space="preserve"> of law making conventions</w:t>
      </w:r>
      <w:r w:rsidR="0024200A" w:rsidRPr="00001F7B">
        <w:rPr>
          <w:rFonts w:cstheme="minorHAnsi"/>
        </w:rPr>
        <w:t>,</w:t>
      </w:r>
      <w:r w:rsidR="00CA25D7" w:rsidRPr="00001F7B">
        <w:rPr>
          <w:rFonts w:cstheme="minorHAnsi"/>
        </w:rPr>
        <w:t xml:space="preserve"> the use of th</w:t>
      </w:r>
      <w:r w:rsidR="00380C2F" w:rsidRPr="00001F7B">
        <w:rPr>
          <w:rFonts w:cstheme="minorHAnsi"/>
        </w:rPr>
        <w:t>e</w:t>
      </w:r>
      <w:r w:rsidR="00CA25D7" w:rsidRPr="00001F7B">
        <w:rPr>
          <w:rFonts w:cstheme="minorHAnsi"/>
        </w:rPr>
        <w:t xml:space="preserve"> Vienna Rules has also been a matter of controversy as in the area of human rights, </w:t>
      </w:r>
      <w:r w:rsidR="00944771" w:rsidRPr="00001F7B">
        <w:rPr>
          <w:rFonts w:cstheme="minorHAnsi"/>
        </w:rPr>
        <w:t xml:space="preserve">see </w:t>
      </w:r>
      <w:r w:rsidR="00CA25D7" w:rsidRPr="00001F7B">
        <w:rPr>
          <w:rFonts w:cstheme="minorHAnsi"/>
        </w:rPr>
        <w:t>Nolte (Special Rapporteur to the ILC), ‘Fourth report on subsequent agreements and subsequent practice in relation to the interpretation of treaties’, 4.3.16, UN Doc A/CN.4/694</w:t>
      </w:r>
      <w:r w:rsidR="00040315" w:rsidRPr="00001F7B">
        <w:rPr>
          <w:rFonts w:cstheme="minorHAnsi"/>
        </w:rPr>
        <w:t>, para 41</w:t>
      </w:r>
      <w:r w:rsidR="00CA25D7" w:rsidRPr="00001F7B">
        <w:rPr>
          <w:rFonts w:cstheme="minorHAnsi"/>
        </w:rPr>
        <w:t>.</w:t>
      </w:r>
    </w:p>
  </w:footnote>
  <w:footnote w:id="8">
    <w:p w14:paraId="4AA643AD" w14:textId="3ADF5081" w:rsidR="008E7369" w:rsidRPr="00001F7B" w:rsidRDefault="008E7369" w:rsidP="00033555">
      <w:pPr>
        <w:pStyle w:val="FootnoteText"/>
        <w:rPr>
          <w:rFonts w:cstheme="minorHAnsi"/>
        </w:rPr>
      </w:pPr>
      <w:r w:rsidRPr="00001F7B">
        <w:rPr>
          <w:rStyle w:val="FootnoteReference"/>
          <w:rFonts w:cstheme="minorHAnsi"/>
        </w:rPr>
        <w:footnoteRef/>
      </w:r>
      <w:r w:rsidRPr="00001F7B">
        <w:rPr>
          <w:rFonts w:cstheme="minorHAnsi"/>
        </w:rPr>
        <w:t xml:space="preserve"> A leading example is </w:t>
      </w:r>
      <w:bookmarkStart w:id="0" w:name="_Hlk113046021"/>
      <w:proofErr w:type="spellStart"/>
      <w:r w:rsidRPr="00001F7B">
        <w:rPr>
          <w:rFonts w:cstheme="minorHAnsi"/>
        </w:rPr>
        <w:t>Schlechtriem</w:t>
      </w:r>
      <w:bookmarkEnd w:id="0"/>
      <w:proofErr w:type="spellEnd"/>
      <w:r w:rsidRPr="00001F7B">
        <w:rPr>
          <w:rFonts w:cstheme="minorHAnsi"/>
        </w:rPr>
        <w:t xml:space="preserve"> and </w:t>
      </w:r>
      <w:proofErr w:type="spellStart"/>
      <w:r w:rsidRPr="00001F7B">
        <w:rPr>
          <w:rFonts w:cstheme="minorHAnsi"/>
        </w:rPr>
        <w:t>Schwenzer</w:t>
      </w:r>
      <w:proofErr w:type="spellEnd"/>
      <w:r w:rsidRPr="00001F7B">
        <w:rPr>
          <w:rFonts w:cstheme="minorHAnsi"/>
        </w:rPr>
        <w:t xml:space="preserve">, </w:t>
      </w:r>
      <w:r w:rsidRPr="00001F7B">
        <w:rPr>
          <w:rFonts w:cstheme="minorHAnsi"/>
          <w:i/>
          <w:iCs/>
        </w:rPr>
        <w:t>Commentary on the UN Convention on The International Sale of Goods</w:t>
      </w:r>
      <w:r w:rsidRPr="00001F7B">
        <w:rPr>
          <w:rFonts w:cstheme="minorHAnsi"/>
        </w:rPr>
        <w:t xml:space="preserve"> 2</w:t>
      </w:r>
      <w:r w:rsidRPr="00001F7B">
        <w:rPr>
          <w:rFonts w:cstheme="minorHAnsi"/>
          <w:vertAlign w:val="superscript"/>
        </w:rPr>
        <w:t>nd</w:t>
      </w:r>
      <w:r w:rsidRPr="00001F7B">
        <w:rPr>
          <w:rFonts w:cstheme="minorHAnsi"/>
        </w:rPr>
        <w:t xml:space="preserve"> English ed 2005, Article 7, para 12</w:t>
      </w:r>
      <w:r w:rsidR="00B347A7" w:rsidRPr="00001F7B">
        <w:rPr>
          <w:rFonts w:cstheme="minorHAnsi"/>
        </w:rPr>
        <w:t>, although it is indicated at para 19 that with increased experience of domestic courts with methods of interpretation, such methods do not fundamentally differ from each other.</w:t>
      </w:r>
      <w:r w:rsidR="00FF55EB" w:rsidRPr="00001F7B">
        <w:rPr>
          <w:rFonts w:cstheme="minorHAnsi"/>
        </w:rPr>
        <w:t xml:space="preserve"> </w:t>
      </w:r>
      <w:r w:rsidR="00FD17A4" w:rsidRPr="00001F7B">
        <w:rPr>
          <w:rFonts w:cstheme="minorHAnsi"/>
        </w:rPr>
        <w:t>I</w:t>
      </w:r>
      <w:r w:rsidR="00FF55EB" w:rsidRPr="00001F7B">
        <w:rPr>
          <w:rFonts w:cstheme="minorHAnsi"/>
        </w:rPr>
        <w:t>n the 4</w:t>
      </w:r>
      <w:r w:rsidR="00FF55EB" w:rsidRPr="00001F7B">
        <w:rPr>
          <w:rFonts w:cstheme="minorHAnsi"/>
          <w:vertAlign w:val="superscript"/>
        </w:rPr>
        <w:t>th</w:t>
      </w:r>
      <w:r w:rsidR="00FF55EB" w:rsidRPr="00001F7B">
        <w:rPr>
          <w:rFonts w:cstheme="minorHAnsi"/>
        </w:rPr>
        <w:t xml:space="preserve"> edition by </w:t>
      </w:r>
      <w:proofErr w:type="spellStart"/>
      <w:r w:rsidR="00FF55EB" w:rsidRPr="00001F7B">
        <w:rPr>
          <w:rFonts w:cstheme="minorHAnsi"/>
        </w:rPr>
        <w:t>Schwenzer</w:t>
      </w:r>
      <w:proofErr w:type="spellEnd"/>
      <w:r w:rsidR="00197624" w:rsidRPr="00001F7B">
        <w:rPr>
          <w:rFonts w:cstheme="minorHAnsi"/>
        </w:rPr>
        <w:t xml:space="preserve"> (2016), </w:t>
      </w:r>
      <w:r w:rsidR="00B347A7" w:rsidRPr="00001F7B">
        <w:rPr>
          <w:rFonts w:cstheme="minorHAnsi"/>
        </w:rPr>
        <w:t xml:space="preserve">these comments are repeated </w:t>
      </w:r>
      <w:r w:rsidR="00197624" w:rsidRPr="00001F7B">
        <w:rPr>
          <w:rFonts w:cstheme="minorHAnsi"/>
        </w:rPr>
        <w:t>(in reverse order) in paras 20 and 23 with references over to the 2</w:t>
      </w:r>
      <w:r w:rsidR="00197624" w:rsidRPr="00001F7B">
        <w:rPr>
          <w:rFonts w:cstheme="minorHAnsi"/>
          <w:vertAlign w:val="superscript"/>
        </w:rPr>
        <w:t>nd</w:t>
      </w:r>
      <w:r w:rsidR="00197624" w:rsidRPr="00001F7B">
        <w:rPr>
          <w:rFonts w:cstheme="minorHAnsi"/>
        </w:rPr>
        <w:t xml:space="preserve"> ed. </w:t>
      </w:r>
      <w:r w:rsidR="00FF55EB" w:rsidRPr="00001F7B">
        <w:rPr>
          <w:rFonts w:cstheme="minorHAnsi"/>
        </w:rPr>
        <w:t xml:space="preserve"> </w:t>
      </w:r>
      <w:r w:rsidR="00BC70C3" w:rsidRPr="00001F7B">
        <w:rPr>
          <w:rFonts w:cstheme="minorHAnsi"/>
        </w:rPr>
        <w:t xml:space="preserve">Mola and </w:t>
      </w:r>
      <w:proofErr w:type="spellStart"/>
      <w:r w:rsidR="00BC70C3" w:rsidRPr="00001F7B">
        <w:rPr>
          <w:rFonts w:cstheme="minorHAnsi"/>
        </w:rPr>
        <w:t>Poncib</w:t>
      </w:r>
      <w:r w:rsidR="009C68D5" w:rsidRPr="00001F7B">
        <w:rPr>
          <w:rFonts w:cstheme="minorHAnsi"/>
        </w:rPr>
        <w:t>ò</w:t>
      </w:r>
      <w:proofErr w:type="spellEnd"/>
      <w:r w:rsidR="008511DA" w:rsidRPr="00001F7B">
        <w:rPr>
          <w:rFonts w:cstheme="minorHAnsi"/>
        </w:rPr>
        <w:t>,</w:t>
      </w:r>
      <w:r w:rsidR="00BC70C3" w:rsidRPr="00001F7B">
        <w:rPr>
          <w:rFonts w:cstheme="minorHAnsi"/>
        </w:rPr>
        <w:t xml:space="preserve"> </w:t>
      </w:r>
      <w:r w:rsidR="00070951" w:rsidRPr="00001F7B">
        <w:rPr>
          <w:rFonts w:cstheme="minorHAnsi"/>
        </w:rPr>
        <w:t>‘The Autonomous Interpretation Standard of International Uniform Private Law: A Dialogue on Methods of Interpretation from the Perspectives of Comparative Private Law and International Public Law’</w:t>
      </w:r>
      <w:r w:rsidR="006817C1" w:rsidRPr="00001F7B">
        <w:rPr>
          <w:rFonts w:cstheme="minorHAnsi"/>
        </w:rPr>
        <w:t xml:space="preserve"> </w:t>
      </w:r>
      <w:r w:rsidR="00227456" w:rsidRPr="00001F7B">
        <w:rPr>
          <w:rFonts w:cstheme="minorHAnsi"/>
        </w:rPr>
        <w:t xml:space="preserve">(2018) 29 EBLR </w:t>
      </w:r>
      <w:r w:rsidR="00070951" w:rsidRPr="00001F7B">
        <w:rPr>
          <w:rFonts w:cstheme="minorHAnsi"/>
        </w:rPr>
        <w:t xml:space="preserve"> </w:t>
      </w:r>
      <w:r w:rsidR="00227456" w:rsidRPr="00001F7B">
        <w:rPr>
          <w:rFonts w:cstheme="minorHAnsi"/>
        </w:rPr>
        <w:t xml:space="preserve">851, p 862 </w:t>
      </w:r>
      <w:r w:rsidR="00BC70C3" w:rsidRPr="00001F7B">
        <w:rPr>
          <w:rFonts w:cstheme="minorHAnsi"/>
        </w:rPr>
        <w:t>indicate that</w:t>
      </w:r>
      <w:r w:rsidR="002A736D" w:rsidRPr="00001F7B">
        <w:rPr>
          <w:rFonts w:cstheme="minorHAnsi"/>
        </w:rPr>
        <w:t xml:space="preserve"> it was an </w:t>
      </w:r>
      <w:r w:rsidR="00BC70C3" w:rsidRPr="00001F7B">
        <w:rPr>
          <w:rFonts w:cstheme="minorHAnsi"/>
        </w:rPr>
        <w:t>early thes</w:t>
      </w:r>
      <w:r w:rsidR="002A736D" w:rsidRPr="00001F7B">
        <w:rPr>
          <w:rFonts w:cstheme="minorHAnsi"/>
        </w:rPr>
        <w:t>is</w:t>
      </w:r>
      <w:r w:rsidR="00BC70C3" w:rsidRPr="00001F7B">
        <w:rPr>
          <w:rFonts w:cstheme="minorHAnsi"/>
        </w:rPr>
        <w:t xml:space="preserve"> that </w:t>
      </w:r>
      <w:r w:rsidR="002A736D" w:rsidRPr="00001F7B">
        <w:rPr>
          <w:rFonts w:cstheme="minorHAnsi"/>
        </w:rPr>
        <w:t>autonomy from</w:t>
      </w:r>
      <w:r w:rsidR="00BC70C3" w:rsidRPr="00001F7B">
        <w:rPr>
          <w:rFonts w:cstheme="minorHAnsi"/>
        </w:rPr>
        <w:t xml:space="preserve"> both domestic and international </w:t>
      </w:r>
      <w:r w:rsidR="00894F1D" w:rsidRPr="00001F7B">
        <w:rPr>
          <w:rFonts w:cstheme="minorHAnsi"/>
        </w:rPr>
        <w:t xml:space="preserve">law </w:t>
      </w:r>
      <w:r w:rsidR="00BC70C3" w:rsidRPr="00001F7B">
        <w:rPr>
          <w:rFonts w:cstheme="minorHAnsi"/>
        </w:rPr>
        <w:t xml:space="preserve">rules was </w:t>
      </w:r>
      <w:r w:rsidR="002A736D" w:rsidRPr="00001F7B">
        <w:rPr>
          <w:rFonts w:cstheme="minorHAnsi"/>
        </w:rPr>
        <w:t>required</w:t>
      </w:r>
      <w:r w:rsidR="00227456" w:rsidRPr="00001F7B">
        <w:rPr>
          <w:rFonts w:cstheme="minorHAnsi"/>
        </w:rPr>
        <w:t>. S</w:t>
      </w:r>
      <w:r w:rsidR="00033555" w:rsidRPr="00001F7B">
        <w:rPr>
          <w:rFonts w:cstheme="minorHAnsi"/>
        </w:rPr>
        <w:t xml:space="preserve">ee also Allen, </w:t>
      </w:r>
      <w:r w:rsidR="00227456" w:rsidRPr="00001F7B">
        <w:rPr>
          <w:rFonts w:cstheme="minorHAnsi"/>
        </w:rPr>
        <w:t>‘</w:t>
      </w:r>
      <w:r w:rsidR="00033555" w:rsidRPr="00001F7B">
        <w:rPr>
          <w:rFonts w:cstheme="minorHAnsi"/>
        </w:rPr>
        <w:t>General Principles of International Law and the Autonomous Interpretation of the Convention of Contracts for the International Sale of Goods</w:t>
      </w:r>
      <w:r w:rsidR="00227456" w:rsidRPr="00001F7B">
        <w:rPr>
          <w:rFonts w:cstheme="minorHAnsi"/>
        </w:rPr>
        <w:t>’</w:t>
      </w:r>
      <w:r w:rsidR="00033555" w:rsidRPr="00001F7B">
        <w:rPr>
          <w:rFonts w:cstheme="minorHAnsi"/>
        </w:rPr>
        <w:t xml:space="preserve"> (2012) 8 J Islamic St</w:t>
      </w:r>
      <w:r w:rsidR="00F81EC0" w:rsidRPr="00001F7B">
        <w:rPr>
          <w:rFonts w:cstheme="minorHAnsi"/>
        </w:rPr>
        <w:t xml:space="preserve"> </w:t>
      </w:r>
      <w:r w:rsidR="00033555" w:rsidRPr="00001F7B">
        <w:rPr>
          <w:rFonts w:cstheme="minorHAnsi"/>
        </w:rPr>
        <w:t xml:space="preserve">PRAC </w:t>
      </w:r>
      <w:proofErr w:type="spellStart"/>
      <w:r w:rsidR="00033555" w:rsidRPr="00001F7B">
        <w:rPr>
          <w:rFonts w:cstheme="minorHAnsi"/>
        </w:rPr>
        <w:t>INT'l</w:t>
      </w:r>
      <w:proofErr w:type="spellEnd"/>
      <w:r w:rsidR="00033555" w:rsidRPr="00001F7B">
        <w:rPr>
          <w:rFonts w:cstheme="minorHAnsi"/>
        </w:rPr>
        <w:t xml:space="preserve"> L 91, p 95</w:t>
      </w:r>
      <w:r w:rsidR="002A736D" w:rsidRPr="00001F7B">
        <w:rPr>
          <w:rFonts w:cstheme="minorHAnsi"/>
        </w:rPr>
        <w:t>. In respect of the CISG, this was said to contain its own principles of interpretation without the need for reference</w:t>
      </w:r>
      <w:r w:rsidR="00227456" w:rsidRPr="00001F7B">
        <w:rPr>
          <w:rFonts w:cstheme="minorHAnsi"/>
        </w:rPr>
        <w:t xml:space="preserve"> </w:t>
      </w:r>
      <w:r w:rsidR="002A736D" w:rsidRPr="00001F7B">
        <w:rPr>
          <w:rFonts w:cstheme="minorHAnsi"/>
        </w:rPr>
        <w:t xml:space="preserve">to domestic or international means, </w:t>
      </w:r>
      <w:r w:rsidR="00227456" w:rsidRPr="00001F7B">
        <w:rPr>
          <w:rFonts w:cstheme="minorHAnsi"/>
        </w:rPr>
        <w:t xml:space="preserve">Mola and </w:t>
      </w:r>
      <w:proofErr w:type="spellStart"/>
      <w:r w:rsidR="00227456" w:rsidRPr="00001F7B">
        <w:rPr>
          <w:rFonts w:cstheme="minorHAnsi"/>
        </w:rPr>
        <w:t>Poncib</w:t>
      </w:r>
      <w:r w:rsidR="009C68D5" w:rsidRPr="00001F7B">
        <w:rPr>
          <w:rFonts w:cstheme="minorHAnsi"/>
        </w:rPr>
        <w:t>ò</w:t>
      </w:r>
      <w:proofErr w:type="spellEnd"/>
      <w:r w:rsidR="000E6A75" w:rsidRPr="00001F7B">
        <w:rPr>
          <w:rFonts w:cstheme="minorHAnsi"/>
        </w:rPr>
        <w:t xml:space="preserve">, </w:t>
      </w:r>
      <w:r w:rsidR="000E6A75" w:rsidRPr="00001F7B">
        <w:rPr>
          <w:rFonts w:cstheme="minorHAnsi"/>
          <w:i/>
          <w:iCs/>
        </w:rPr>
        <w:t xml:space="preserve">op </w:t>
      </w:r>
      <w:proofErr w:type="spellStart"/>
      <w:r w:rsidR="000E6A75" w:rsidRPr="00001F7B">
        <w:rPr>
          <w:rFonts w:cstheme="minorHAnsi"/>
          <w:i/>
          <w:iCs/>
        </w:rPr>
        <w:t>cit</w:t>
      </w:r>
      <w:proofErr w:type="spellEnd"/>
      <w:r w:rsidR="000E6A75" w:rsidRPr="00001F7B">
        <w:rPr>
          <w:rFonts w:cstheme="minorHAnsi"/>
        </w:rPr>
        <w:t>,</w:t>
      </w:r>
      <w:r w:rsidR="00227456" w:rsidRPr="00001F7B">
        <w:rPr>
          <w:rFonts w:cstheme="minorHAnsi"/>
        </w:rPr>
        <w:t xml:space="preserve"> at p </w:t>
      </w:r>
      <w:r w:rsidR="009C68D5" w:rsidRPr="00001F7B">
        <w:rPr>
          <w:rFonts w:cstheme="minorHAnsi"/>
        </w:rPr>
        <w:t>862</w:t>
      </w:r>
      <w:r w:rsidR="008511DA" w:rsidRPr="00001F7B">
        <w:rPr>
          <w:rFonts w:cstheme="minorHAnsi"/>
        </w:rPr>
        <w:t xml:space="preserve"> </w:t>
      </w:r>
      <w:r w:rsidR="002A736D" w:rsidRPr="00001F7B">
        <w:rPr>
          <w:rFonts w:cstheme="minorHAnsi"/>
        </w:rPr>
        <w:t xml:space="preserve">citing </w:t>
      </w:r>
      <w:proofErr w:type="spellStart"/>
      <w:r w:rsidR="002A736D" w:rsidRPr="00001F7B">
        <w:rPr>
          <w:rFonts w:cstheme="minorHAnsi"/>
        </w:rPr>
        <w:t>Honnold</w:t>
      </w:r>
      <w:proofErr w:type="spellEnd"/>
      <w:r w:rsidR="00093FB0" w:rsidRPr="00001F7B">
        <w:rPr>
          <w:rFonts w:cstheme="minorHAnsi"/>
        </w:rPr>
        <w:t xml:space="preserve">, </w:t>
      </w:r>
      <w:r w:rsidR="00093FB0" w:rsidRPr="00001F7B">
        <w:rPr>
          <w:rFonts w:cstheme="minorHAnsi"/>
          <w:i/>
          <w:iCs/>
        </w:rPr>
        <w:t>Uniform Law for International Sales under the United Nations Convention</w:t>
      </w:r>
      <w:r w:rsidR="00093FB0" w:rsidRPr="00001F7B">
        <w:rPr>
          <w:rFonts w:cstheme="minorHAnsi"/>
        </w:rPr>
        <w:t>, (1999) 3</w:t>
      </w:r>
      <w:r w:rsidR="00093FB0" w:rsidRPr="00001F7B">
        <w:rPr>
          <w:rFonts w:cstheme="minorHAnsi"/>
          <w:vertAlign w:val="superscript"/>
        </w:rPr>
        <w:t>rd</w:t>
      </w:r>
      <w:r w:rsidR="00093FB0" w:rsidRPr="00001F7B">
        <w:rPr>
          <w:rFonts w:cstheme="minorHAnsi"/>
        </w:rPr>
        <w:t xml:space="preserve"> ed, 89.</w:t>
      </w:r>
      <w:r w:rsidR="00033555" w:rsidRPr="00001F7B">
        <w:rPr>
          <w:rFonts w:cstheme="minorHAnsi"/>
        </w:rPr>
        <w:t xml:space="preserve"> </w:t>
      </w:r>
    </w:p>
  </w:footnote>
  <w:footnote w:id="9">
    <w:p w14:paraId="0F05CBCD" w14:textId="6C9B995B" w:rsidR="00E430DB" w:rsidRPr="00001F7B" w:rsidRDefault="00E430DB">
      <w:pPr>
        <w:pStyle w:val="FootnoteText"/>
        <w:rPr>
          <w:rFonts w:cstheme="minorHAnsi"/>
        </w:rPr>
      </w:pPr>
      <w:r w:rsidRPr="00001F7B">
        <w:rPr>
          <w:rStyle w:val="FootnoteReference"/>
          <w:rFonts w:cstheme="minorHAnsi"/>
        </w:rPr>
        <w:footnoteRef/>
      </w:r>
      <w:r w:rsidRPr="00001F7B">
        <w:rPr>
          <w:rFonts w:cstheme="minorHAnsi"/>
        </w:rPr>
        <w:t xml:space="preserve"> </w:t>
      </w:r>
      <w:r w:rsidR="00B32E04" w:rsidRPr="00001F7B">
        <w:rPr>
          <w:rFonts w:cstheme="minorHAnsi"/>
        </w:rPr>
        <w:t xml:space="preserve">See </w:t>
      </w:r>
      <w:r w:rsidR="00AD5D3F" w:rsidRPr="00001F7B">
        <w:rPr>
          <w:rFonts w:cstheme="minorHAnsi"/>
        </w:rPr>
        <w:t xml:space="preserve">e.g. </w:t>
      </w:r>
      <w:r w:rsidRPr="00001F7B">
        <w:rPr>
          <w:rFonts w:cstheme="minorHAnsi"/>
        </w:rPr>
        <w:t xml:space="preserve">Roth and </w:t>
      </w:r>
      <w:proofErr w:type="spellStart"/>
      <w:r w:rsidRPr="00001F7B">
        <w:rPr>
          <w:rFonts w:cstheme="minorHAnsi"/>
        </w:rPr>
        <w:t>Happ</w:t>
      </w:r>
      <w:proofErr w:type="spellEnd"/>
      <w:r w:rsidRPr="00001F7B">
        <w:rPr>
          <w:rFonts w:cstheme="minorHAnsi"/>
        </w:rPr>
        <w:t>,</w:t>
      </w:r>
      <w:r w:rsidR="0076406B" w:rsidRPr="00001F7B">
        <w:rPr>
          <w:rFonts w:cstheme="minorHAnsi"/>
        </w:rPr>
        <w:t xml:space="preserve"> above, </w:t>
      </w:r>
      <w:proofErr w:type="spellStart"/>
      <w:r w:rsidR="0076406B" w:rsidRPr="00001F7B">
        <w:rPr>
          <w:rFonts w:cstheme="minorHAnsi"/>
        </w:rPr>
        <w:t>fn</w:t>
      </w:r>
      <w:proofErr w:type="spellEnd"/>
      <w:r w:rsidR="0076406B" w:rsidRPr="00001F7B">
        <w:rPr>
          <w:rFonts w:cstheme="minorHAnsi"/>
        </w:rPr>
        <w:t xml:space="preserve"> </w:t>
      </w:r>
      <w:r w:rsidR="000E6A75" w:rsidRPr="00001F7B">
        <w:rPr>
          <w:rFonts w:cstheme="minorHAnsi"/>
        </w:rPr>
        <w:t>1</w:t>
      </w:r>
      <w:r w:rsidR="0076406B" w:rsidRPr="00001F7B">
        <w:rPr>
          <w:rFonts w:cstheme="minorHAnsi"/>
        </w:rPr>
        <w:t xml:space="preserve">, </w:t>
      </w:r>
      <w:r w:rsidR="00B32E04" w:rsidRPr="00001F7B">
        <w:rPr>
          <w:rFonts w:cstheme="minorHAnsi"/>
        </w:rPr>
        <w:t>pp 705-707, noting in particular the false di</w:t>
      </w:r>
      <w:r w:rsidR="00AD5D3F" w:rsidRPr="00001F7B">
        <w:rPr>
          <w:rFonts w:cstheme="minorHAnsi"/>
        </w:rPr>
        <w:t>stinction drawn</w:t>
      </w:r>
      <w:r w:rsidR="00B32E04" w:rsidRPr="00001F7B">
        <w:rPr>
          <w:rFonts w:cstheme="minorHAnsi"/>
        </w:rPr>
        <w:t xml:space="preserve"> between bilateral and multilater</w:t>
      </w:r>
      <w:r w:rsidR="00AD5D3F" w:rsidRPr="00001F7B">
        <w:rPr>
          <w:rFonts w:cstheme="minorHAnsi"/>
        </w:rPr>
        <w:t>al treaties since both types of treaty can involve law-making elements</w:t>
      </w:r>
      <w:r w:rsidR="00D53637" w:rsidRPr="00001F7B">
        <w:rPr>
          <w:rFonts w:cstheme="minorHAnsi"/>
        </w:rPr>
        <w:t xml:space="preserve"> and that political ideas, compromises and package deals can </w:t>
      </w:r>
      <w:r w:rsidR="009540CC" w:rsidRPr="00001F7B">
        <w:rPr>
          <w:rFonts w:cstheme="minorHAnsi"/>
        </w:rPr>
        <w:t>equally</w:t>
      </w:r>
      <w:r w:rsidR="00D53637" w:rsidRPr="00001F7B">
        <w:rPr>
          <w:rFonts w:cstheme="minorHAnsi"/>
        </w:rPr>
        <w:t xml:space="preserve"> be a part of uniform law making. </w:t>
      </w:r>
      <w:r w:rsidR="00F56AC8" w:rsidRPr="00001F7B">
        <w:rPr>
          <w:rFonts w:cstheme="minorHAnsi"/>
        </w:rPr>
        <w:t xml:space="preserve">See also </w:t>
      </w:r>
      <w:proofErr w:type="spellStart"/>
      <w:r w:rsidR="00F56AC8" w:rsidRPr="00001F7B">
        <w:rPr>
          <w:rFonts w:cstheme="minorHAnsi"/>
        </w:rPr>
        <w:t>Basedow</w:t>
      </w:r>
      <w:proofErr w:type="spellEnd"/>
      <w:r w:rsidR="00F56AC8" w:rsidRPr="00001F7B">
        <w:rPr>
          <w:rFonts w:cstheme="minorHAnsi"/>
        </w:rPr>
        <w:t xml:space="preserve">, ‘Uniform Private Law Conventions and the Law of Treaties’ (2006) 11(4) U.L.R. 731, </w:t>
      </w:r>
      <w:r w:rsidR="008511DA" w:rsidRPr="00001F7B">
        <w:rPr>
          <w:rFonts w:cstheme="minorHAnsi"/>
        </w:rPr>
        <w:t xml:space="preserve">pp </w:t>
      </w:r>
      <w:r w:rsidR="006D7818" w:rsidRPr="00001F7B">
        <w:rPr>
          <w:rFonts w:cstheme="minorHAnsi"/>
        </w:rPr>
        <w:t>742-3 and Mann,</w:t>
      </w:r>
      <w:r w:rsidR="004A61F9" w:rsidRPr="00001F7B">
        <w:rPr>
          <w:rFonts w:cstheme="minorHAnsi"/>
        </w:rPr>
        <w:t xml:space="preserve"> ‘Uniform Statutes in English Law’ (1983) 99 LQR 376</w:t>
      </w:r>
      <w:r w:rsidR="008511DA" w:rsidRPr="00001F7B">
        <w:rPr>
          <w:rFonts w:cstheme="minorHAnsi"/>
        </w:rPr>
        <w:t>,</w:t>
      </w:r>
      <w:r w:rsidR="006D7818" w:rsidRPr="00001F7B">
        <w:rPr>
          <w:rFonts w:cstheme="minorHAnsi"/>
        </w:rPr>
        <w:t xml:space="preserve"> pp 377-379</w:t>
      </w:r>
      <w:r w:rsidR="001A61A0" w:rsidRPr="00001F7B">
        <w:rPr>
          <w:rFonts w:cstheme="minorHAnsi"/>
        </w:rPr>
        <w:t xml:space="preserve"> and more generally Allen, </w:t>
      </w:r>
      <w:r w:rsidR="00BD5A10" w:rsidRPr="00001F7B">
        <w:rPr>
          <w:rFonts w:cstheme="minorHAnsi"/>
        </w:rPr>
        <w:t xml:space="preserve">above, </w:t>
      </w:r>
      <w:proofErr w:type="spellStart"/>
      <w:r w:rsidR="003C470D" w:rsidRPr="00001F7B">
        <w:rPr>
          <w:rFonts w:cstheme="minorHAnsi"/>
        </w:rPr>
        <w:t>fn</w:t>
      </w:r>
      <w:proofErr w:type="spellEnd"/>
      <w:r w:rsidR="003C470D" w:rsidRPr="00001F7B">
        <w:rPr>
          <w:rFonts w:cstheme="minorHAnsi"/>
        </w:rPr>
        <w:t xml:space="preserve"> </w:t>
      </w:r>
      <w:r w:rsidR="00894F1D" w:rsidRPr="00001F7B">
        <w:rPr>
          <w:rFonts w:cstheme="minorHAnsi"/>
        </w:rPr>
        <w:t>7</w:t>
      </w:r>
      <w:r w:rsidR="003C470D" w:rsidRPr="00001F7B">
        <w:rPr>
          <w:rFonts w:cstheme="minorHAnsi"/>
        </w:rPr>
        <w:t>,</w:t>
      </w:r>
      <w:r w:rsidR="001A61A0" w:rsidRPr="00001F7B">
        <w:rPr>
          <w:rFonts w:cstheme="minorHAnsi"/>
        </w:rPr>
        <w:t xml:space="preserve"> </w:t>
      </w:r>
    </w:p>
  </w:footnote>
  <w:footnote w:id="10">
    <w:p w14:paraId="52166544" w14:textId="7D8D3A50" w:rsidR="002052A5" w:rsidRPr="00001F7B" w:rsidRDefault="002052A5" w:rsidP="00F676CD">
      <w:pPr>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Roth and </w:t>
      </w:r>
      <w:proofErr w:type="spellStart"/>
      <w:r w:rsidRPr="00001F7B">
        <w:rPr>
          <w:rFonts w:cstheme="minorHAnsi"/>
          <w:sz w:val="20"/>
          <w:szCs w:val="20"/>
        </w:rPr>
        <w:t>Happ</w:t>
      </w:r>
      <w:proofErr w:type="spellEnd"/>
      <w:r w:rsidRPr="00001F7B">
        <w:rPr>
          <w:rFonts w:cstheme="minorHAnsi"/>
          <w:sz w:val="20"/>
          <w:szCs w:val="20"/>
        </w:rPr>
        <w:t xml:space="preserve">, </w:t>
      </w:r>
      <w:r w:rsidR="00380C2F" w:rsidRPr="00001F7B">
        <w:rPr>
          <w:rFonts w:cstheme="minorHAnsi"/>
          <w:sz w:val="20"/>
          <w:szCs w:val="20"/>
        </w:rPr>
        <w:t xml:space="preserve">above, </w:t>
      </w:r>
      <w:proofErr w:type="spellStart"/>
      <w:r w:rsidR="008511DA" w:rsidRPr="00001F7B">
        <w:rPr>
          <w:rFonts w:cstheme="minorHAnsi"/>
          <w:sz w:val="20"/>
          <w:szCs w:val="20"/>
        </w:rPr>
        <w:t>fn</w:t>
      </w:r>
      <w:proofErr w:type="spellEnd"/>
      <w:r w:rsidR="008511DA" w:rsidRPr="00001F7B">
        <w:rPr>
          <w:rFonts w:cstheme="minorHAnsi"/>
          <w:sz w:val="20"/>
          <w:szCs w:val="20"/>
        </w:rPr>
        <w:t xml:space="preserve"> </w:t>
      </w:r>
      <w:r w:rsidR="000E6A75" w:rsidRPr="00001F7B">
        <w:rPr>
          <w:rFonts w:cstheme="minorHAnsi"/>
          <w:sz w:val="20"/>
          <w:szCs w:val="20"/>
        </w:rPr>
        <w:t>1</w:t>
      </w:r>
      <w:r w:rsidR="003C470D" w:rsidRPr="00001F7B">
        <w:rPr>
          <w:rFonts w:cstheme="minorHAnsi"/>
          <w:sz w:val="20"/>
          <w:szCs w:val="20"/>
        </w:rPr>
        <w:t xml:space="preserve">,  </w:t>
      </w:r>
      <w:r w:rsidRPr="00001F7B">
        <w:rPr>
          <w:rFonts w:cstheme="minorHAnsi"/>
          <w:sz w:val="20"/>
          <w:szCs w:val="20"/>
        </w:rPr>
        <w:t xml:space="preserve">p 707, citing </w:t>
      </w:r>
      <w:proofErr w:type="spellStart"/>
      <w:r w:rsidRPr="00001F7B">
        <w:rPr>
          <w:rFonts w:cstheme="minorHAnsi"/>
          <w:sz w:val="20"/>
          <w:szCs w:val="20"/>
        </w:rPr>
        <w:t>Dahm</w:t>
      </w:r>
      <w:proofErr w:type="spellEnd"/>
      <w:r w:rsidRPr="00001F7B">
        <w:rPr>
          <w:rFonts w:cstheme="minorHAnsi"/>
          <w:sz w:val="20"/>
          <w:szCs w:val="20"/>
        </w:rPr>
        <w:t>/Delbrück/</w:t>
      </w:r>
      <w:proofErr w:type="spellStart"/>
      <w:r w:rsidRPr="00001F7B">
        <w:rPr>
          <w:rFonts w:cstheme="minorHAnsi"/>
          <w:sz w:val="20"/>
          <w:szCs w:val="20"/>
        </w:rPr>
        <w:t>Wolfrum</w:t>
      </w:r>
      <w:proofErr w:type="spellEnd"/>
      <w:r w:rsidRPr="00001F7B">
        <w:rPr>
          <w:rFonts w:cstheme="minorHAnsi"/>
          <w:sz w:val="20"/>
          <w:szCs w:val="20"/>
        </w:rPr>
        <w:t xml:space="preserve">, 1/1 </w:t>
      </w:r>
      <w:proofErr w:type="spellStart"/>
      <w:r w:rsidRPr="00001F7B">
        <w:rPr>
          <w:rFonts w:cstheme="minorHAnsi"/>
          <w:i/>
          <w:iCs/>
          <w:sz w:val="20"/>
          <w:szCs w:val="20"/>
        </w:rPr>
        <w:t>Völkerrecht</w:t>
      </w:r>
      <w:proofErr w:type="spellEnd"/>
      <w:r w:rsidRPr="00001F7B">
        <w:rPr>
          <w:rFonts w:cstheme="minorHAnsi"/>
          <w:i/>
          <w:iCs/>
          <w:sz w:val="20"/>
          <w:szCs w:val="20"/>
        </w:rPr>
        <w:t xml:space="preserve"> </w:t>
      </w:r>
      <w:r w:rsidRPr="00001F7B">
        <w:rPr>
          <w:rFonts w:cstheme="minorHAnsi"/>
          <w:sz w:val="20"/>
          <w:szCs w:val="20"/>
        </w:rPr>
        <w:t xml:space="preserve">51 and </w:t>
      </w:r>
      <w:proofErr w:type="spellStart"/>
      <w:r w:rsidRPr="00001F7B">
        <w:rPr>
          <w:rFonts w:cstheme="minorHAnsi"/>
          <w:sz w:val="20"/>
          <w:szCs w:val="20"/>
        </w:rPr>
        <w:t>Lauterpacht</w:t>
      </w:r>
      <w:proofErr w:type="spellEnd"/>
      <w:r w:rsidRPr="00001F7B">
        <w:rPr>
          <w:rFonts w:cstheme="minorHAnsi"/>
          <w:sz w:val="20"/>
          <w:szCs w:val="20"/>
        </w:rPr>
        <w:t xml:space="preserve">, </w:t>
      </w:r>
      <w:r w:rsidRPr="00001F7B">
        <w:rPr>
          <w:rFonts w:cstheme="minorHAnsi"/>
          <w:i/>
          <w:iCs/>
          <w:sz w:val="20"/>
          <w:szCs w:val="20"/>
        </w:rPr>
        <w:t>Private Law Sources and Analogies of International Law</w:t>
      </w:r>
      <w:r w:rsidRPr="00001F7B">
        <w:rPr>
          <w:rFonts w:cstheme="minorHAnsi"/>
          <w:sz w:val="20"/>
          <w:szCs w:val="20"/>
        </w:rPr>
        <w:t xml:space="preserve"> 157 </w:t>
      </w:r>
      <w:r w:rsidRPr="00001F7B">
        <w:rPr>
          <w:rFonts w:cstheme="minorHAnsi"/>
          <w:i/>
          <w:iCs/>
          <w:sz w:val="20"/>
          <w:szCs w:val="20"/>
        </w:rPr>
        <w:t>et seq</w:t>
      </w:r>
      <w:r w:rsidRPr="00001F7B">
        <w:rPr>
          <w:rFonts w:cstheme="minorHAnsi"/>
          <w:sz w:val="20"/>
          <w:szCs w:val="20"/>
        </w:rPr>
        <w:t xml:space="preserve">. (1927). </w:t>
      </w:r>
      <w:r w:rsidR="00F676CD" w:rsidRPr="00001F7B">
        <w:rPr>
          <w:rFonts w:cstheme="minorHAnsi"/>
          <w:sz w:val="20"/>
          <w:szCs w:val="20"/>
        </w:rPr>
        <w:t>Whi</w:t>
      </w:r>
      <w:r w:rsidR="000E6A75" w:rsidRPr="00001F7B">
        <w:rPr>
          <w:rFonts w:cstheme="minorHAnsi"/>
          <w:sz w:val="20"/>
          <w:szCs w:val="20"/>
        </w:rPr>
        <w:t>l</w:t>
      </w:r>
      <w:r w:rsidR="00F676CD" w:rsidRPr="00001F7B">
        <w:rPr>
          <w:rFonts w:cstheme="minorHAnsi"/>
          <w:sz w:val="20"/>
          <w:szCs w:val="20"/>
        </w:rPr>
        <w:t>st on the one hand it has been said that the ILC based its discussion on reports of interpretative practice, including many decisions of national courts (Waibel,</w:t>
      </w:r>
      <w:r w:rsidR="00FA0BD5" w:rsidRPr="00001F7B">
        <w:rPr>
          <w:rFonts w:cstheme="minorHAnsi"/>
          <w:sz w:val="20"/>
          <w:szCs w:val="20"/>
        </w:rPr>
        <w:t xml:space="preserve"> </w:t>
      </w:r>
      <w:r w:rsidR="0076406B" w:rsidRPr="00001F7B">
        <w:rPr>
          <w:rFonts w:cstheme="minorHAnsi"/>
          <w:sz w:val="20"/>
          <w:szCs w:val="20"/>
        </w:rPr>
        <w:t xml:space="preserve">above, </w:t>
      </w:r>
      <w:proofErr w:type="spellStart"/>
      <w:r w:rsidR="00FA0BD5" w:rsidRPr="00001F7B">
        <w:rPr>
          <w:rFonts w:cstheme="minorHAnsi"/>
          <w:sz w:val="20"/>
          <w:szCs w:val="20"/>
        </w:rPr>
        <w:t>fn</w:t>
      </w:r>
      <w:proofErr w:type="spellEnd"/>
      <w:r w:rsidR="00FA0BD5" w:rsidRPr="00001F7B">
        <w:rPr>
          <w:rFonts w:cstheme="minorHAnsi"/>
          <w:sz w:val="20"/>
          <w:szCs w:val="20"/>
        </w:rPr>
        <w:t xml:space="preserve"> </w:t>
      </w:r>
      <w:r w:rsidR="000E6A75" w:rsidRPr="00001F7B">
        <w:rPr>
          <w:rFonts w:cstheme="minorHAnsi"/>
          <w:sz w:val="20"/>
          <w:szCs w:val="20"/>
        </w:rPr>
        <w:t>3</w:t>
      </w:r>
      <w:r w:rsidR="00BD5A10" w:rsidRPr="00001F7B">
        <w:rPr>
          <w:rFonts w:cstheme="minorHAnsi"/>
          <w:sz w:val="20"/>
          <w:szCs w:val="20"/>
        </w:rPr>
        <w:t xml:space="preserve">, </w:t>
      </w:r>
      <w:r w:rsidR="00F676CD" w:rsidRPr="00001F7B">
        <w:rPr>
          <w:rFonts w:cstheme="minorHAnsi"/>
          <w:sz w:val="20"/>
          <w:szCs w:val="20"/>
        </w:rPr>
        <w:t>p</w:t>
      </w:r>
      <w:r w:rsidR="00380C2F" w:rsidRPr="00001F7B">
        <w:rPr>
          <w:rFonts w:cstheme="minorHAnsi"/>
          <w:sz w:val="20"/>
          <w:szCs w:val="20"/>
        </w:rPr>
        <w:t xml:space="preserve"> </w:t>
      </w:r>
      <w:r w:rsidR="0082598F" w:rsidRPr="00001F7B">
        <w:rPr>
          <w:rFonts w:cstheme="minorHAnsi"/>
          <w:sz w:val="20"/>
          <w:szCs w:val="20"/>
        </w:rPr>
        <w:t>13</w:t>
      </w:r>
      <w:r w:rsidR="00F676CD" w:rsidRPr="00001F7B">
        <w:rPr>
          <w:rFonts w:cstheme="minorHAnsi"/>
          <w:sz w:val="20"/>
          <w:szCs w:val="20"/>
        </w:rPr>
        <w:t xml:space="preserve">), on the other hand it has been said that in their deliberations there is little that suggests awareness by the ILC that by far the greater part in the judicial interpretation of international agreements falls to municipal, not international tribunals, </w:t>
      </w:r>
      <w:proofErr w:type="spellStart"/>
      <w:r w:rsidR="00F676CD" w:rsidRPr="00001F7B">
        <w:rPr>
          <w:rFonts w:cstheme="minorHAnsi"/>
          <w:sz w:val="20"/>
          <w:szCs w:val="20"/>
        </w:rPr>
        <w:t>Schreuer</w:t>
      </w:r>
      <w:proofErr w:type="spellEnd"/>
      <w:r w:rsidR="00F676CD" w:rsidRPr="00001F7B">
        <w:rPr>
          <w:rFonts w:cstheme="minorHAnsi"/>
          <w:sz w:val="20"/>
          <w:szCs w:val="20"/>
        </w:rPr>
        <w:t xml:space="preserve">, ‘The Interpretation of Treaties by Domestic Courts’ (1971) 45 BYBIL 255, cited and quoted by Gardiner, </w:t>
      </w:r>
      <w:r w:rsidR="00BD5A10" w:rsidRPr="00001F7B">
        <w:rPr>
          <w:rFonts w:cstheme="minorHAnsi"/>
          <w:sz w:val="20"/>
          <w:szCs w:val="20"/>
        </w:rPr>
        <w:t>above,</w:t>
      </w:r>
      <w:r w:rsidR="005F6B25" w:rsidRPr="00001F7B">
        <w:rPr>
          <w:rFonts w:cstheme="minorHAnsi"/>
          <w:sz w:val="20"/>
          <w:szCs w:val="20"/>
        </w:rPr>
        <w:t xml:space="preserve"> </w:t>
      </w:r>
      <w:proofErr w:type="spellStart"/>
      <w:r w:rsidR="003C470D" w:rsidRPr="00001F7B">
        <w:rPr>
          <w:rFonts w:cstheme="minorHAnsi"/>
          <w:sz w:val="20"/>
          <w:szCs w:val="20"/>
        </w:rPr>
        <w:t>fn</w:t>
      </w:r>
      <w:proofErr w:type="spellEnd"/>
      <w:r w:rsidR="003C470D" w:rsidRPr="00001F7B">
        <w:rPr>
          <w:rFonts w:cstheme="minorHAnsi"/>
          <w:sz w:val="20"/>
          <w:szCs w:val="20"/>
        </w:rPr>
        <w:t xml:space="preserve"> </w:t>
      </w:r>
      <w:r w:rsidR="000E6A75" w:rsidRPr="00001F7B">
        <w:rPr>
          <w:rFonts w:cstheme="minorHAnsi"/>
          <w:sz w:val="20"/>
          <w:szCs w:val="20"/>
        </w:rPr>
        <w:t>5</w:t>
      </w:r>
      <w:r w:rsidR="003C470D" w:rsidRPr="00001F7B">
        <w:rPr>
          <w:rFonts w:cstheme="minorHAnsi"/>
          <w:sz w:val="20"/>
          <w:szCs w:val="20"/>
        </w:rPr>
        <w:t xml:space="preserve">, </w:t>
      </w:r>
      <w:r w:rsidR="00F676CD" w:rsidRPr="00001F7B">
        <w:rPr>
          <w:rFonts w:cstheme="minorHAnsi"/>
          <w:sz w:val="20"/>
          <w:szCs w:val="20"/>
        </w:rPr>
        <w:t>p</w:t>
      </w:r>
      <w:r w:rsidR="00740334" w:rsidRPr="00001F7B">
        <w:rPr>
          <w:rFonts w:cstheme="minorHAnsi"/>
          <w:sz w:val="20"/>
          <w:szCs w:val="20"/>
        </w:rPr>
        <w:t xml:space="preserve"> </w:t>
      </w:r>
      <w:r w:rsidR="00F676CD" w:rsidRPr="00001F7B">
        <w:rPr>
          <w:rFonts w:cstheme="minorHAnsi"/>
          <w:sz w:val="20"/>
          <w:szCs w:val="20"/>
        </w:rPr>
        <w:t>19</w:t>
      </w:r>
      <w:r w:rsidR="0076406B" w:rsidRPr="00001F7B">
        <w:rPr>
          <w:rFonts w:cstheme="minorHAnsi"/>
          <w:sz w:val="20"/>
          <w:szCs w:val="20"/>
        </w:rPr>
        <w:t>,</w:t>
      </w:r>
      <w:r w:rsidR="00F676CD" w:rsidRPr="00001F7B">
        <w:rPr>
          <w:rFonts w:cstheme="minorHAnsi"/>
          <w:sz w:val="20"/>
          <w:szCs w:val="20"/>
        </w:rPr>
        <w:t>.</w:t>
      </w:r>
    </w:p>
  </w:footnote>
  <w:footnote w:id="11">
    <w:p w14:paraId="2794D5B7" w14:textId="41D05576" w:rsidR="004C4225" w:rsidRPr="00001F7B" w:rsidRDefault="004C4225" w:rsidP="00231FDD">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Hendrik</w:t>
      </w:r>
      <w:r w:rsidR="009540CC">
        <w:rPr>
          <w:rFonts w:cstheme="minorHAnsi"/>
        </w:rPr>
        <w:t>s</w:t>
      </w:r>
      <w:r w:rsidRPr="00001F7B">
        <w:rPr>
          <w:rFonts w:cstheme="minorHAnsi"/>
        </w:rPr>
        <w:t>e</w:t>
      </w:r>
      <w:proofErr w:type="spellEnd"/>
      <w:r w:rsidRPr="00001F7B">
        <w:rPr>
          <w:rFonts w:cstheme="minorHAnsi"/>
        </w:rPr>
        <w:t xml:space="preserve"> and </w:t>
      </w:r>
      <w:proofErr w:type="spellStart"/>
      <w:r w:rsidRPr="00001F7B">
        <w:rPr>
          <w:rFonts w:cstheme="minorHAnsi"/>
        </w:rPr>
        <w:t>Margetson</w:t>
      </w:r>
      <w:proofErr w:type="spellEnd"/>
      <w:r w:rsidRPr="00001F7B">
        <w:rPr>
          <w:rFonts w:cstheme="minorHAnsi"/>
        </w:rPr>
        <w:t xml:space="preserve">, ‘Uniform International Commercial Law: The Phenomena of Unification Uniform Construction and Uniform Application’ </w:t>
      </w:r>
      <w:r w:rsidR="00231FDD" w:rsidRPr="00001F7B">
        <w:rPr>
          <w:rFonts w:cstheme="minorHAnsi"/>
        </w:rPr>
        <w:t xml:space="preserve">(2009) 1 EJCCL 72, </w:t>
      </w:r>
      <w:r w:rsidR="003C470D" w:rsidRPr="00001F7B">
        <w:rPr>
          <w:rFonts w:cstheme="minorHAnsi"/>
        </w:rPr>
        <w:t xml:space="preserve">p </w:t>
      </w:r>
      <w:r w:rsidRPr="00001F7B">
        <w:rPr>
          <w:rFonts w:cstheme="minorHAnsi"/>
        </w:rPr>
        <w:t>73</w:t>
      </w:r>
      <w:r w:rsidR="00231FDD" w:rsidRPr="00001F7B">
        <w:rPr>
          <w:rFonts w:cstheme="minorHAnsi"/>
        </w:rPr>
        <w:t xml:space="preserve">, citing and quoting from </w:t>
      </w:r>
      <w:proofErr w:type="spellStart"/>
      <w:r w:rsidR="00231FDD" w:rsidRPr="00001F7B">
        <w:rPr>
          <w:rFonts w:cstheme="minorHAnsi"/>
        </w:rPr>
        <w:t>Wery</w:t>
      </w:r>
      <w:proofErr w:type="spellEnd"/>
      <w:r w:rsidR="00231FDD" w:rsidRPr="00001F7B">
        <w:rPr>
          <w:rFonts w:cstheme="minorHAnsi"/>
        </w:rPr>
        <w:t xml:space="preserve">, </w:t>
      </w:r>
      <w:r w:rsidR="00231FDD" w:rsidRPr="00001F7B">
        <w:rPr>
          <w:rFonts w:cstheme="minorHAnsi"/>
          <w:i/>
          <w:iCs/>
        </w:rPr>
        <w:t xml:space="preserve">De </w:t>
      </w:r>
      <w:proofErr w:type="spellStart"/>
      <w:r w:rsidR="00231FDD" w:rsidRPr="00001F7B">
        <w:rPr>
          <w:rFonts w:cstheme="minorHAnsi"/>
          <w:i/>
          <w:iCs/>
        </w:rPr>
        <w:t>autonomie</w:t>
      </w:r>
      <w:proofErr w:type="spellEnd"/>
      <w:r w:rsidR="00231FDD" w:rsidRPr="00001F7B">
        <w:rPr>
          <w:rFonts w:cstheme="minorHAnsi"/>
          <w:i/>
          <w:iCs/>
        </w:rPr>
        <w:t xml:space="preserve"> van het </w:t>
      </w:r>
      <w:proofErr w:type="spellStart"/>
      <w:r w:rsidR="00231FDD" w:rsidRPr="00001F7B">
        <w:rPr>
          <w:rFonts w:cstheme="minorHAnsi"/>
          <w:i/>
          <w:iCs/>
        </w:rPr>
        <w:t>eenvormig</w:t>
      </w:r>
      <w:proofErr w:type="spellEnd"/>
      <w:r w:rsidR="00231FDD" w:rsidRPr="00001F7B">
        <w:rPr>
          <w:rFonts w:cstheme="minorHAnsi"/>
          <w:i/>
          <w:iCs/>
        </w:rPr>
        <w:t xml:space="preserve"> </w:t>
      </w:r>
      <w:proofErr w:type="spellStart"/>
      <w:r w:rsidR="00231FDD" w:rsidRPr="00001F7B">
        <w:rPr>
          <w:rFonts w:cstheme="minorHAnsi"/>
          <w:i/>
          <w:iCs/>
        </w:rPr>
        <w:t>privaatrecht</w:t>
      </w:r>
      <w:proofErr w:type="spellEnd"/>
      <w:r w:rsidR="00B0193B" w:rsidRPr="00001F7B">
        <w:rPr>
          <w:rFonts w:cstheme="minorHAnsi"/>
        </w:rPr>
        <w:t xml:space="preserve"> </w:t>
      </w:r>
      <w:r w:rsidR="00231FDD" w:rsidRPr="00001F7B">
        <w:rPr>
          <w:rFonts w:cstheme="minorHAnsi"/>
        </w:rPr>
        <w:t>(rede U.L.) (Deventer: Kluwer, 1971),</w:t>
      </w:r>
      <w:r w:rsidR="00B0193B" w:rsidRPr="00001F7B">
        <w:rPr>
          <w:rFonts w:cstheme="minorHAnsi"/>
        </w:rPr>
        <w:t xml:space="preserve"> p.6.</w:t>
      </w:r>
    </w:p>
  </w:footnote>
  <w:footnote w:id="12">
    <w:p w14:paraId="3A32832C" w14:textId="1FE76E34" w:rsidR="00E8407F" w:rsidRPr="00001F7B" w:rsidRDefault="00E8407F">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Gebauer</w:t>
      </w:r>
      <w:proofErr w:type="spellEnd"/>
      <w:r w:rsidRPr="00001F7B">
        <w:rPr>
          <w:rFonts w:cstheme="minorHAnsi"/>
        </w:rPr>
        <w:t>,</w:t>
      </w:r>
      <w:r w:rsidR="00BD5A10" w:rsidRPr="00001F7B">
        <w:rPr>
          <w:rFonts w:cstheme="minorHAnsi"/>
        </w:rPr>
        <w:t xml:space="preserve"> </w:t>
      </w:r>
      <w:r w:rsidR="00542FB2" w:rsidRPr="00001F7B">
        <w:rPr>
          <w:rFonts w:cstheme="minorHAnsi"/>
        </w:rPr>
        <w:t xml:space="preserve">above, </w:t>
      </w:r>
      <w:proofErr w:type="spellStart"/>
      <w:r w:rsidR="003C470D" w:rsidRPr="00001F7B">
        <w:rPr>
          <w:rFonts w:cstheme="minorHAnsi"/>
        </w:rPr>
        <w:t>f</w:t>
      </w:r>
      <w:r w:rsidRPr="00001F7B">
        <w:rPr>
          <w:rFonts w:cstheme="minorHAnsi"/>
        </w:rPr>
        <w:t>n</w:t>
      </w:r>
      <w:proofErr w:type="spellEnd"/>
      <w:r w:rsidRPr="00001F7B">
        <w:rPr>
          <w:rFonts w:cstheme="minorHAnsi"/>
        </w:rPr>
        <w:t xml:space="preserve"> 1</w:t>
      </w:r>
      <w:r w:rsidR="00B046F6" w:rsidRPr="00001F7B">
        <w:rPr>
          <w:rFonts w:cstheme="minorHAnsi"/>
        </w:rPr>
        <w:t xml:space="preserve"> </w:t>
      </w:r>
      <w:r w:rsidRPr="00001F7B">
        <w:rPr>
          <w:rFonts w:cstheme="minorHAnsi"/>
        </w:rPr>
        <w:t xml:space="preserve"> at 686.</w:t>
      </w:r>
    </w:p>
  </w:footnote>
  <w:footnote w:id="13">
    <w:p w14:paraId="5556AA71" w14:textId="1A6BE37C" w:rsidR="0042156B" w:rsidRPr="00001F7B" w:rsidRDefault="00E8407F" w:rsidP="0042156B">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Gebauer</w:t>
      </w:r>
      <w:proofErr w:type="spellEnd"/>
      <w:r w:rsidRPr="00001F7B">
        <w:rPr>
          <w:rFonts w:cstheme="minorHAnsi"/>
        </w:rPr>
        <w:t xml:space="preserve">, </w:t>
      </w:r>
      <w:proofErr w:type="spellStart"/>
      <w:r w:rsidR="00B3246A" w:rsidRPr="00001F7B">
        <w:rPr>
          <w:rFonts w:cstheme="minorHAnsi"/>
          <w:i/>
          <w:iCs/>
        </w:rPr>
        <w:t>loc.cit</w:t>
      </w:r>
      <w:proofErr w:type="spellEnd"/>
      <w:r w:rsidR="00E36062" w:rsidRPr="00001F7B">
        <w:rPr>
          <w:rFonts w:cstheme="minorHAnsi"/>
        </w:rPr>
        <w:t xml:space="preserve">, although he notes that it is no guarantee </w:t>
      </w:r>
      <w:r w:rsidR="0042156B" w:rsidRPr="00001F7B">
        <w:rPr>
          <w:rFonts w:cstheme="minorHAnsi"/>
        </w:rPr>
        <w:t>of its uniform application, since in difficult cases different courts are likely to give different “autonomous“ interpretations of the same rules, even</w:t>
      </w:r>
    </w:p>
    <w:p w14:paraId="19BB74E2" w14:textId="00FAF70F" w:rsidR="00E8407F" w:rsidRPr="00001F7B" w:rsidRDefault="0042156B" w:rsidP="0042156B">
      <w:pPr>
        <w:pStyle w:val="FootnoteText"/>
        <w:rPr>
          <w:rFonts w:cstheme="minorHAnsi"/>
        </w:rPr>
      </w:pPr>
      <w:r w:rsidRPr="00001F7B">
        <w:rPr>
          <w:rFonts w:cstheme="minorHAnsi"/>
        </w:rPr>
        <w:t>while at pains not to refer to any one national legal system.</w:t>
      </w:r>
      <w:r w:rsidR="003223FF" w:rsidRPr="00001F7B">
        <w:rPr>
          <w:rFonts w:cstheme="minorHAnsi"/>
        </w:rPr>
        <w:t xml:space="preserve"> </w:t>
      </w:r>
      <w:r w:rsidRPr="00001F7B">
        <w:rPr>
          <w:rFonts w:cstheme="minorHAnsi"/>
        </w:rPr>
        <w:t xml:space="preserve">Furthermore, uniform application might be reached even if not based on an autonomous interpretation. See also </w:t>
      </w:r>
      <w:proofErr w:type="spellStart"/>
      <w:r w:rsidRPr="00001F7B">
        <w:rPr>
          <w:rFonts w:cstheme="minorHAnsi"/>
        </w:rPr>
        <w:t>Hendr</w:t>
      </w:r>
      <w:r w:rsidR="00E1335D">
        <w:rPr>
          <w:rFonts w:cstheme="minorHAnsi"/>
        </w:rPr>
        <w:t>iks</w:t>
      </w:r>
      <w:r w:rsidRPr="00001F7B">
        <w:rPr>
          <w:rFonts w:cstheme="minorHAnsi"/>
        </w:rPr>
        <w:t>e</w:t>
      </w:r>
      <w:proofErr w:type="spellEnd"/>
      <w:r w:rsidRPr="00001F7B">
        <w:rPr>
          <w:rFonts w:cstheme="minorHAnsi"/>
        </w:rPr>
        <w:t xml:space="preserve"> and </w:t>
      </w:r>
      <w:proofErr w:type="spellStart"/>
      <w:r w:rsidRPr="00001F7B">
        <w:rPr>
          <w:rFonts w:cstheme="minorHAnsi"/>
        </w:rPr>
        <w:t>Margetson</w:t>
      </w:r>
      <w:proofErr w:type="spellEnd"/>
      <w:r w:rsidRPr="00001F7B">
        <w:rPr>
          <w:rFonts w:cstheme="minorHAnsi"/>
        </w:rPr>
        <w:t>,</w:t>
      </w:r>
      <w:r w:rsidR="00380C2F" w:rsidRPr="00001F7B">
        <w:rPr>
          <w:rFonts w:cstheme="minorHAnsi"/>
        </w:rPr>
        <w:t xml:space="preserve"> </w:t>
      </w:r>
      <w:r w:rsidR="00BD5A10" w:rsidRPr="00001F7B">
        <w:rPr>
          <w:rFonts w:cstheme="minorHAnsi"/>
        </w:rPr>
        <w:t xml:space="preserve">above, </w:t>
      </w:r>
      <w:proofErr w:type="spellStart"/>
      <w:r w:rsidR="00BD5A10" w:rsidRPr="00001F7B">
        <w:rPr>
          <w:rFonts w:cstheme="minorHAnsi"/>
        </w:rPr>
        <w:t>f</w:t>
      </w:r>
      <w:r w:rsidRPr="00001F7B">
        <w:rPr>
          <w:rFonts w:cstheme="minorHAnsi"/>
        </w:rPr>
        <w:t>n</w:t>
      </w:r>
      <w:proofErr w:type="spellEnd"/>
      <w:r w:rsidRPr="00001F7B">
        <w:rPr>
          <w:rFonts w:cstheme="minorHAnsi"/>
        </w:rPr>
        <w:t xml:space="preserve"> </w:t>
      </w:r>
      <w:r w:rsidR="000E6A75" w:rsidRPr="00001F7B">
        <w:rPr>
          <w:rFonts w:cstheme="minorHAnsi"/>
        </w:rPr>
        <w:t>10</w:t>
      </w:r>
      <w:r w:rsidR="00BD5A10" w:rsidRPr="00001F7B">
        <w:rPr>
          <w:rFonts w:cstheme="minorHAnsi"/>
        </w:rPr>
        <w:t>,</w:t>
      </w:r>
      <w:r w:rsidRPr="00001F7B">
        <w:rPr>
          <w:rFonts w:cstheme="minorHAnsi"/>
        </w:rPr>
        <w:t xml:space="preserve"> p.74 and Mola and </w:t>
      </w:r>
      <w:proofErr w:type="spellStart"/>
      <w:r w:rsidRPr="00001F7B">
        <w:rPr>
          <w:rFonts w:cstheme="minorHAnsi"/>
        </w:rPr>
        <w:t>Poncibò</w:t>
      </w:r>
      <w:proofErr w:type="spellEnd"/>
      <w:r w:rsidRPr="00001F7B">
        <w:rPr>
          <w:rFonts w:cstheme="minorHAnsi"/>
        </w:rPr>
        <w:t xml:space="preserve">, </w:t>
      </w:r>
      <w:r w:rsidR="009523B6" w:rsidRPr="00001F7B">
        <w:rPr>
          <w:rFonts w:cstheme="minorHAnsi"/>
        </w:rPr>
        <w:t xml:space="preserve">above, </w:t>
      </w:r>
      <w:proofErr w:type="spellStart"/>
      <w:r w:rsidR="009523B6" w:rsidRPr="00001F7B">
        <w:rPr>
          <w:rFonts w:cstheme="minorHAnsi"/>
        </w:rPr>
        <w:t>f</w:t>
      </w:r>
      <w:r w:rsidRPr="00001F7B">
        <w:rPr>
          <w:rFonts w:cstheme="minorHAnsi"/>
        </w:rPr>
        <w:t>n</w:t>
      </w:r>
      <w:proofErr w:type="spellEnd"/>
      <w:r w:rsidR="00CA55C6" w:rsidRPr="00001F7B">
        <w:rPr>
          <w:rFonts w:cstheme="minorHAnsi"/>
        </w:rPr>
        <w:t xml:space="preserve"> </w:t>
      </w:r>
      <w:r w:rsidR="000E6A75" w:rsidRPr="00001F7B">
        <w:rPr>
          <w:rFonts w:cstheme="minorHAnsi"/>
        </w:rPr>
        <w:t>7</w:t>
      </w:r>
      <w:r w:rsidR="009523B6" w:rsidRPr="00001F7B">
        <w:rPr>
          <w:rFonts w:cstheme="minorHAnsi"/>
        </w:rPr>
        <w:t>,</w:t>
      </w:r>
      <w:r w:rsidRPr="00001F7B">
        <w:rPr>
          <w:rFonts w:cstheme="minorHAnsi"/>
        </w:rPr>
        <w:t xml:space="preserve"> </w:t>
      </w:r>
      <w:r w:rsidR="000E6A75" w:rsidRPr="00001F7B">
        <w:rPr>
          <w:rFonts w:cstheme="minorHAnsi"/>
        </w:rPr>
        <w:t>p</w:t>
      </w:r>
      <w:r w:rsidRPr="00001F7B">
        <w:rPr>
          <w:rFonts w:cstheme="minorHAnsi"/>
        </w:rPr>
        <w:t xml:space="preserve"> 855</w:t>
      </w:r>
      <w:r w:rsidR="00CA55C6" w:rsidRPr="00001F7B">
        <w:rPr>
          <w:rFonts w:cstheme="minorHAnsi"/>
        </w:rPr>
        <w:t xml:space="preserve"> and</w:t>
      </w:r>
      <w:r w:rsidRPr="00001F7B">
        <w:rPr>
          <w:rFonts w:cstheme="minorHAnsi"/>
        </w:rPr>
        <w:t xml:space="preserve"> </w:t>
      </w:r>
      <w:proofErr w:type="spellStart"/>
      <w:r w:rsidRPr="00001F7B">
        <w:rPr>
          <w:rFonts w:cstheme="minorHAnsi"/>
        </w:rPr>
        <w:t>Verheyen</w:t>
      </w:r>
      <w:proofErr w:type="spellEnd"/>
      <w:r w:rsidRPr="00001F7B">
        <w:rPr>
          <w:rFonts w:cstheme="minorHAnsi"/>
        </w:rPr>
        <w:t>,  ‘National Judges as Gatekeepers to the CMR Convention’ (2016) ULR</w:t>
      </w:r>
      <w:r w:rsidR="00E42595" w:rsidRPr="00001F7B">
        <w:rPr>
          <w:rFonts w:cstheme="minorHAnsi"/>
        </w:rPr>
        <w:t xml:space="preserve"> 441, </w:t>
      </w:r>
      <w:r w:rsidR="00542FB2" w:rsidRPr="00001F7B">
        <w:rPr>
          <w:rFonts w:cstheme="minorHAnsi"/>
        </w:rPr>
        <w:t xml:space="preserve">p </w:t>
      </w:r>
      <w:r w:rsidR="00E42595" w:rsidRPr="00001F7B">
        <w:rPr>
          <w:rFonts w:cstheme="minorHAnsi"/>
        </w:rPr>
        <w:t>550 where examples drawn from CMR also illustrate the disunity that can arise from decisions of different courts all striving for uniformity.</w:t>
      </w:r>
    </w:p>
  </w:footnote>
  <w:footnote w:id="14">
    <w:p w14:paraId="72F49301" w14:textId="49760A2F" w:rsidR="00675E73" w:rsidRPr="00001F7B" w:rsidRDefault="00675E73" w:rsidP="00995C81">
      <w:pPr>
        <w:pStyle w:val="FootnoteText"/>
        <w:rPr>
          <w:rFonts w:cstheme="minorHAnsi"/>
        </w:rPr>
      </w:pPr>
      <w:r w:rsidRPr="00001F7B">
        <w:rPr>
          <w:rStyle w:val="FootnoteReference"/>
          <w:rFonts w:cstheme="minorHAnsi"/>
        </w:rPr>
        <w:footnoteRef/>
      </w:r>
      <w:r w:rsidRPr="00001F7B">
        <w:rPr>
          <w:rFonts w:cstheme="minorHAnsi"/>
        </w:rPr>
        <w:t xml:space="preserve"> Ferrari, ‘Uniform </w:t>
      </w:r>
      <w:r w:rsidR="003223FF" w:rsidRPr="00001F7B">
        <w:rPr>
          <w:rFonts w:cstheme="minorHAnsi"/>
        </w:rPr>
        <w:t xml:space="preserve">Interpretation of the 1980 Uniform Sales Law’ (1994) </w:t>
      </w:r>
      <w:r w:rsidR="00995C81" w:rsidRPr="00001F7B">
        <w:rPr>
          <w:rFonts w:cstheme="minorHAnsi"/>
        </w:rPr>
        <w:t>24 Georgia Journal of International and Comparative Law 183, 199 and 203, Ferrari, ‘Autonomous Interpretation versus Homeward Trend versus Outward Trend in CISG Case Law’ (2017) U</w:t>
      </w:r>
      <w:r w:rsidR="00542FB2" w:rsidRPr="00001F7B">
        <w:rPr>
          <w:rFonts w:cstheme="minorHAnsi"/>
        </w:rPr>
        <w:t>LR</w:t>
      </w:r>
      <w:r w:rsidR="00995C81" w:rsidRPr="00001F7B">
        <w:rPr>
          <w:rFonts w:cstheme="minorHAnsi"/>
        </w:rPr>
        <w:t xml:space="preserve"> 244, </w:t>
      </w:r>
    </w:p>
  </w:footnote>
  <w:footnote w:id="15">
    <w:p w14:paraId="61D8352B" w14:textId="2B9D4093" w:rsidR="00FF7624" w:rsidRPr="00001F7B" w:rsidRDefault="00FF7624">
      <w:pPr>
        <w:pStyle w:val="FootnoteText"/>
        <w:rPr>
          <w:rFonts w:cstheme="minorHAnsi"/>
        </w:rPr>
      </w:pPr>
      <w:r w:rsidRPr="00001F7B">
        <w:rPr>
          <w:rStyle w:val="FootnoteReference"/>
          <w:rFonts w:cstheme="minorHAnsi"/>
        </w:rPr>
        <w:footnoteRef/>
      </w:r>
      <w:r w:rsidRPr="00001F7B">
        <w:rPr>
          <w:rFonts w:cstheme="minorHAnsi"/>
        </w:rPr>
        <w:t xml:space="preserve"> </w:t>
      </w:r>
      <w:r w:rsidR="00382B57" w:rsidRPr="00001F7B">
        <w:rPr>
          <w:rFonts w:cstheme="minorHAnsi"/>
        </w:rPr>
        <w:t xml:space="preserve">See </w:t>
      </w:r>
      <w:bookmarkStart w:id="1" w:name="_Hlk105097063"/>
      <w:r w:rsidR="00382B57" w:rsidRPr="00001F7B">
        <w:rPr>
          <w:rFonts w:cstheme="minorHAnsi"/>
        </w:rPr>
        <w:t>Ribeiro-</w:t>
      </w:r>
      <w:proofErr w:type="spellStart"/>
      <w:r w:rsidR="00382B57" w:rsidRPr="00001F7B">
        <w:rPr>
          <w:rFonts w:cstheme="minorHAnsi"/>
        </w:rPr>
        <w:t>Bidaoui</w:t>
      </w:r>
      <w:proofErr w:type="spellEnd"/>
      <w:r w:rsidR="00382B57" w:rsidRPr="00001F7B">
        <w:rPr>
          <w:rFonts w:cstheme="minorHAnsi"/>
        </w:rPr>
        <w:t xml:space="preserve">, </w:t>
      </w:r>
      <w:bookmarkEnd w:id="1"/>
      <w:r w:rsidR="00382B57" w:rsidRPr="00001F7B">
        <w:rPr>
          <w:rFonts w:cstheme="minorHAnsi"/>
        </w:rPr>
        <w:t xml:space="preserve">‘The International Obligation of the Uniform and Autonomous Interpretation of Private Law Conventions: Consequences for Domestic Courts and International Organisations’ (2020) 67 Netherlands International Law Review 139, </w:t>
      </w:r>
      <w:r w:rsidR="00542FB2" w:rsidRPr="00001F7B">
        <w:rPr>
          <w:rFonts w:cstheme="minorHAnsi"/>
        </w:rPr>
        <w:t xml:space="preserve">p </w:t>
      </w:r>
      <w:r w:rsidR="004127A8" w:rsidRPr="00001F7B">
        <w:rPr>
          <w:rFonts w:cstheme="minorHAnsi"/>
        </w:rPr>
        <w:t xml:space="preserve">146. </w:t>
      </w:r>
      <w:r w:rsidR="001A7C4C" w:rsidRPr="00001F7B">
        <w:rPr>
          <w:rFonts w:cstheme="minorHAnsi"/>
        </w:rPr>
        <w:t xml:space="preserve">For some the distinction is not made but autonomous interpretation is referred to </w:t>
      </w:r>
      <w:r w:rsidR="004127A8" w:rsidRPr="00001F7B">
        <w:rPr>
          <w:rFonts w:cstheme="minorHAnsi"/>
        </w:rPr>
        <w:t xml:space="preserve">as </w:t>
      </w:r>
      <w:r w:rsidR="001A7C4C" w:rsidRPr="00001F7B">
        <w:rPr>
          <w:rFonts w:cstheme="minorHAnsi"/>
        </w:rPr>
        <w:t>a synthesis of methods, Diedrich, ‘Maintaining Uniformity in International Uniform Law via Autonomous Interpretation: Software Contracts and the CISG’ (1996) 8 Pace Int'l L. Rev. 303,</w:t>
      </w:r>
      <w:r w:rsidR="00542FB2" w:rsidRPr="00001F7B">
        <w:rPr>
          <w:rFonts w:cstheme="minorHAnsi"/>
        </w:rPr>
        <w:t xml:space="preserve"> p </w:t>
      </w:r>
      <w:r w:rsidR="001A7C4C" w:rsidRPr="00001F7B">
        <w:rPr>
          <w:rFonts w:cstheme="minorHAnsi"/>
        </w:rPr>
        <w:t>312</w:t>
      </w:r>
      <w:r w:rsidR="007A462A" w:rsidRPr="00001F7B">
        <w:rPr>
          <w:rFonts w:cstheme="minorHAnsi"/>
        </w:rPr>
        <w:t>.</w:t>
      </w:r>
    </w:p>
  </w:footnote>
  <w:footnote w:id="16">
    <w:p w14:paraId="3B7B439D" w14:textId="4ADA8273" w:rsidR="00A0702A" w:rsidRPr="00001F7B" w:rsidRDefault="004B477C">
      <w:pPr>
        <w:pStyle w:val="FootnoteText"/>
        <w:rPr>
          <w:rFonts w:cstheme="minorHAnsi"/>
        </w:rPr>
      </w:pPr>
      <w:r w:rsidRPr="00001F7B">
        <w:rPr>
          <w:rStyle w:val="FootnoteReference"/>
          <w:rFonts w:cstheme="minorHAnsi"/>
        </w:rPr>
        <w:footnoteRef/>
      </w:r>
      <w:r w:rsidRPr="00001F7B">
        <w:rPr>
          <w:rFonts w:cstheme="minorHAnsi"/>
        </w:rPr>
        <w:t xml:space="preserve"> See </w:t>
      </w:r>
      <w:proofErr w:type="spellStart"/>
      <w:r w:rsidRPr="00001F7B">
        <w:rPr>
          <w:rFonts w:cstheme="minorHAnsi"/>
        </w:rPr>
        <w:t>Hendrik</w:t>
      </w:r>
      <w:r w:rsidR="00E1335D">
        <w:rPr>
          <w:rFonts w:cstheme="minorHAnsi"/>
        </w:rPr>
        <w:t>s</w:t>
      </w:r>
      <w:r w:rsidRPr="00001F7B">
        <w:rPr>
          <w:rFonts w:cstheme="minorHAnsi"/>
        </w:rPr>
        <w:t>e</w:t>
      </w:r>
      <w:proofErr w:type="spellEnd"/>
      <w:r w:rsidRPr="00001F7B">
        <w:rPr>
          <w:rFonts w:cstheme="minorHAnsi"/>
        </w:rPr>
        <w:t xml:space="preserve"> and </w:t>
      </w:r>
      <w:proofErr w:type="spellStart"/>
      <w:r w:rsidRPr="00001F7B">
        <w:rPr>
          <w:rFonts w:cstheme="minorHAnsi"/>
        </w:rPr>
        <w:t>Margetson</w:t>
      </w:r>
      <w:proofErr w:type="spellEnd"/>
      <w:r w:rsidRPr="00001F7B">
        <w:rPr>
          <w:rFonts w:cstheme="minorHAnsi"/>
        </w:rPr>
        <w:t xml:space="preserve">, </w:t>
      </w:r>
      <w:r w:rsidR="00972EEF" w:rsidRPr="00001F7B">
        <w:rPr>
          <w:rFonts w:cstheme="minorHAnsi"/>
        </w:rPr>
        <w:t xml:space="preserve">above, </w:t>
      </w:r>
      <w:proofErr w:type="spellStart"/>
      <w:r w:rsidR="00972EEF" w:rsidRPr="00001F7B">
        <w:rPr>
          <w:rFonts w:cstheme="minorHAnsi"/>
        </w:rPr>
        <w:t>f</w:t>
      </w:r>
      <w:r w:rsidRPr="00001F7B">
        <w:rPr>
          <w:rFonts w:cstheme="minorHAnsi"/>
        </w:rPr>
        <w:t>n</w:t>
      </w:r>
      <w:proofErr w:type="spellEnd"/>
      <w:r w:rsidR="00972EEF" w:rsidRPr="00001F7B">
        <w:rPr>
          <w:rFonts w:cstheme="minorHAnsi"/>
        </w:rPr>
        <w:t xml:space="preserve"> </w:t>
      </w:r>
      <w:r w:rsidR="00826DD9" w:rsidRPr="00001F7B">
        <w:rPr>
          <w:rFonts w:cstheme="minorHAnsi"/>
        </w:rPr>
        <w:t>10</w:t>
      </w:r>
      <w:r w:rsidR="00972EEF" w:rsidRPr="00001F7B">
        <w:rPr>
          <w:rFonts w:cstheme="minorHAnsi"/>
        </w:rPr>
        <w:t xml:space="preserve">, </w:t>
      </w:r>
      <w:r w:rsidR="007220AF" w:rsidRPr="00001F7B">
        <w:rPr>
          <w:rFonts w:cstheme="minorHAnsi"/>
        </w:rPr>
        <w:t>p 73.</w:t>
      </w:r>
      <w:r w:rsidR="00DA4774" w:rsidRPr="00001F7B">
        <w:rPr>
          <w:rFonts w:cstheme="minorHAnsi"/>
        </w:rPr>
        <w:t xml:space="preserve"> </w:t>
      </w:r>
      <w:r w:rsidR="00AA22F1" w:rsidRPr="00001F7B">
        <w:rPr>
          <w:rFonts w:cstheme="minorHAnsi"/>
        </w:rPr>
        <w:t>Ribeiro-</w:t>
      </w:r>
      <w:proofErr w:type="spellStart"/>
      <w:r w:rsidR="00AA22F1" w:rsidRPr="00001F7B">
        <w:rPr>
          <w:rFonts w:cstheme="minorHAnsi"/>
        </w:rPr>
        <w:t>Bidaoui</w:t>
      </w:r>
      <w:proofErr w:type="spellEnd"/>
      <w:r w:rsidR="00AA22F1" w:rsidRPr="00001F7B">
        <w:rPr>
          <w:rFonts w:cstheme="minorHAnsi"/>
        </w:rPr>
        <w:t xml:space="preserve">, </w:t>
      </w:r>
      <w:r w:rsidR="00972EEF" w:rsidRPr="00001F7B">
        <w:rPr>
          <w:rFonts w:cstheme="minorHAnsi"/>
        </w:rPr>
        <w:t xml:space="preserve">above, </w:t>
      </w:r>
      <w:proofErr w:type="spellStart"/>
      <w:r w:rsidR="00972EEF" w:rsidRPr="00001F7B">
        <w:rPr>
          <w:rFonts w:cstheme="minorHAnsi"/>
        </w:rPr>
        <w:t>f</w:t>
      </w:r>
      <w:r w:rsidR="00AA22F1" w:rsidRPr="00001F7B">
        <w:rPr>
          <w:rFonts w:cstheme="minorHAnsi"/>
        </w:rPr>
        <w:t>n</w:t>
      </w:r>
      <w:proofErr w:type="spellEnd"/>
      <w:r w:rsidR="00A70F19" w:rsidRPr="00001F7B">
        <w:rPr>
          <w:rFonts w:cstheme="minorHAnsi"/>
        </w:rPr>
        <w:t xml:space="preserve"> 1</w:t>
      </w:r>
      <w:r w:rsidR="00826DD9" w:rsidRPr="00001F7B">
        <w:rPr>
          <w:rFonts w:cstheme="minorHAnsi"/>
        </w:rPr>
        <w:t>4</w:t>
      </w:r>
      <w:r w:rsidR="00972EEF" w:rsidRPr="00001F7B">
        <w:rPr>
          <w:rFonts w:cstheme="minorHAnsi"/>
        </w:rPr>
        <w:t>,</w:t>
      </w:r>
      <w:r w:rsidR="00B046F6" w:rsidRPr="00001F7B">
        <w:rPr>
          <w:rFonts w:cstheme="minorHAnsi"/>
        </w:rPr>
        <w:t xml:space="preserve"> </w:t>
      </w:r>
      <w:r w:rsidR="00AA22F1" w:rsidRPr="00001F7B">
        <w:rPr>
          <w:rFonts w:cstheme="minorHAnsi"/>
        </w:rPr>
        <w:t>at pp</w:t>
      </w:r>
      <w:r w:rsidR="00972EEF" w:rsidRPr="00001F7B">
        <w:rPr>
          <w:rFonts w:cstheme="minorHAnsi"/>
        </w:rPr>
        <w:t xml:space="preserve"> </w:t>
      </w:r>
      <w:r w:rsidR="00AA22F1" w:rsidRPr="00001F7B">
        <w:rPr>
          <w:rFonts w:cstheme="minorHAnsi"/>
        </w:rPr>
        <w:t>146-</w:t>
      </w:r>
      <w:r w:rsidR="00826DD9" w:rsidRPr="00001F7B">
        <w:rPr>
          <w:rFonts w:cstheme="minorHAnsi"/>
        </w:rPr>
        <w:t>14</w:t>
      </w:r>
      <w:r w:rsidR="00AA22F1" w:rsidRPr="00001F7B">
        <w:rPr>
          <w:rFonts w:cstheme="minorHAnsi"/>
        </w:rPr>
        <w:t>7 considers that the principle, at least in its negative sense (see below) is so well established that a standard interpretation clause may add little to it.</w:t>
      </w:r>
      <w:r w:rsidR="00400979" w:rsidRPr="00001F7B">
        <w:rPr>
          <w:rFonts w:cstheme="minorHAnsi"/>
        </w:rPr>
        <w:t xml:space="preserve"> </w:t>
      </w:r>
      <w:proofErr w:type="spellStart"/>
      <w:r w:rsidR="00400979" w:rsidRPr="00001F7B">
        <w:rPr>
          <w:rFonts w:cstheme="minorHAnsi"/>
        </w:rPr>
        <w:t>Haak</w:t>
      </w:r>
      <w:proofErr w:type="spellEnd"/>
      <w:r w:rsidR="00400979" w:rsidRPr="00001F7B">
        <w:rPr>
          <w:rFonts w:cstheme="minorHAnsi"/>
        </w:rPr>
        <w:t xml:space="preserve">, in CMR, above, </w:t>
      </w:r>
      <w:proofErr w:type="spellStart"/>
      <w:r w:rsidR="00400979" w:rsidRPr="00001F7B">
        <w:rPr>
          <w:rFonts w:cstheme="minorHAnsi"/>
        </w:rPr>
        <w:t>fn</w:t>
      </w:r>
      <w:proofErr w:type="spellEnd"/>
      <w:r w:rsidR="00400979" w:rsidRPr="00001F7B">
        <w:rPr>
          <w:rFonts w:cstheme="minorHAnsi"/>
        </w:rPr>
        <w:t xml:space="preserve"> </w:t>
      </w:r>
      <w:r w:rsidR="00826DD9" w:rsidRPr="00001F7B">
        <w:rPr>
          <w:rFonts w:cstheme="minorHAnsi"/>
        </w:rPr>
        <w:t>4</w:t>
      </w:r>
      <w:r w:rsidR="00400979" w:rsidRPr="00001F7B">
        <w:rPr>
          <w:rFonts w:cstheme="minorHAnsi"/>
        </w:rPr>
        <w:t xml:space="preserve">, </w:t>
      </w:r>
      <w:r w:rsidR="00D779A1" w:rsidRPr="00001F7B">
        <w:rPr>
          <w:rFonts w:cstheme="minorHAnsi"/>
        </w:rPr>
        <w:t>p 14 and in Interpretation</w:t>
      </w:r>
      <w:r w:rsidR="00826DD9" w:rsidRPr="00001F7B">
        <w:rPr>
          <w:rFonts w:cstheme="minorHAnsi"/>
        </w:rPr>
        <w:t xml:space="preserve">, above, </w:t>
      </w:r>
      <w:proofErr w:type="spellStart"/>
      <w:r w:rsidR="00826DD9" w:rsidRPr="00001F7B">
        <w:rPr>
          <w:rFonts w:cstheme="minorHAnsi"/>
        </w:rPr>
        <w:t>fn</w:t>
      </w:r>
      <w:proofErr w:type="spellEnd"/>
      <w:r w:rsidR="00826DD9" w:rsidRPr="00001F7B">
        <w:rPr>
          <w:rFonts w:cstheme="minorHAnsi"/>
        </w:rPr>
        <w:t xml:space="preserve"> 4</w:t>
      </w:r>
      <w:r w:rsidR="00D779A1" w:rsidRPr="00001F7B">
        <w:rPr>
          <w:rFonts w:cstheme="minorHAnsi"/>
        </w:rPr>
        <w:t>, p 226, sees the Preamble in CMR performing the function of an interpretation clause.</w:t>
      </w:r>
      <w:r w:rsidR="00A0702A" w:rsidRPr="00001F7B">
        <w:rPr>
          <w:rFonts w:cstheme="minorHAnsi"/>
        </w:rPr>
        <w:t xml:space="preserve"> Note also </w:t>
      </w:r>
      <w:proofErr w:type="spellStart"/>
      <w:r w:rsidR="00A0702A" w:rsidRPr="00001F7B">
        <w:rPr>
          <w:rFonts w:cstheme="minorHAnsi"/>
        </w:rPr>
        <w:t>Enderlein</w:t>
      </w:r>
      <w:proofErr w:type="spellEnd"/>
      <w:r w:rsidR="00A0702A" w:rsidRPr="00001F7B">
        <w:rPr>
          <w:rFonts w:cstheme="minorHAnsi"/>
        </w:rPr>
        <w:t>, ‘</w:t>
      </w:r>
      <w:r w:rsidR="00832DB5" w:rsidRPr="00001F7B">
        <w:rPr>
          <w:rFonts w:cstheme="minorHAnsi"/>
        </w:rPr>
        <w:t>General Report:</w:t>
      </w:r>
      <w:r w:rsidR="00A54879" w:rsidRPr="00001F7B">
        <w:rPr>
          <w:rFonts w:cstheme="minorHAnsi"/>
        </w:rPr>
        <w:t xml:space="preserve"> </w:t>
      </w:r>
      <w:r w:rsidR="00A0702A" w:rsidRPr="00001F7B">
        <w:rPr>
          <w:rFonts w:cstheme="minorHAnsi"/>
        </w:rPr>
        <w:t>Uniform law and its Application by Judges and Arbitrators’</w:t>
      </w:r>
      <w:r w:rsidR="00832DB5" w:rsidRPr="00001F7B">
        <w:rPr>
          <w:rFonts w:cstheme="minorHAnsi"/>
        </w:rPr>
        <w:t xml:space="preserve"> in </w:t>
      </w:r>
      <w:r w:rsidR="00832DB5" w:rsidRPr="00001F7B">
        <w:rPr>
          <w:rFonts w:cstheme="minorHAnsi"/>
          <w:i/>
          <w:iCs/>
        </w:rPr>
        <w:t>International Uniform Law in Practice</w:t>
      </w:r>
      <w:r w:rsidR="00832DB5" w:rsidRPr="00001F7B">
        <w:rPr>
          <w:rFonts w:cstheme="minorHAnsi"/>
        </w:rPr>
        <w:t xml:space="preserve"> 1987</w:t>
      </w:r>
      <w:r w:rsidR="00CE2720" w:rsidRPr="00001F7B">
        <w:rPr>
          <w:rFonts w:cstheme="minorHAnsi"/>
        </w:rPr>
        <w:t>,</w:t>
      </w:r>
      <w:r w:rsidR="00832DB5" w:rsidRPr="00001F7B">
        <w:rPr>
          <w:rFonts w:cstheme="minorHAnsi"/>
        </w:rPr>
        <w:t xml:space="preserve"> </w:t>
      </w:r>
      <w:proofErr w:type="spellStart"/>
      <w:r w:rsidR="00832DB5" w:rsidRPr="00001F7B">
        <w:rPr>
          <w:rFonts w:cstheme="minorHAnsi"/>
        </w:rPr>
        <w:t>Unidroit</w:t>
      </w:r>
      <w:proofErr w:type="spellEnd"/>
      <w:r w:rsidR="00832DB5" w:rsidRPr="00001F7B">
        <w:rPr>
          <w:rFonts w:cstheme="minorHAnsi"/>
        </w:rPr>
        <w:t>, 329 at p 337 “Regard to the international character of a uniform law and the need to promote uniformity is something which is implied in any unification of law.”</w:t>
      </w:r>
    </w:p>
  </w:footnote>
  <w:footnote w:id="17">
    <w:p w14:paraId="0CBE45B2" w14:textId="003426D3" w:rsidR="005519E4" w:rsidRPr="00001F7B" w:rsidRDefault="005519E4" w:rsidP="005519E4">
      <w:pPr>
        <w:pStyle w:val="FootnoteText"/>
        <w:rPr>
          <w:rFonts w:cstheme="minorHAnsi"/>
        </w:rPr>
      </w:pPr>
      <w:r w:rsidRPr="00001F7B">
        <w:rPr>
          <w:rStyle w:val="FootnoteReference"/>
          <w:rFonts w:cstheme="minorHAnsi"/>
        </w:rPr>
        <w:footnoteRef/>
      </w:r>
      <w:r w:rsidRPr="00001F7B">
        <w:rPr>
          <w:rFonts w:cstheme="minorHAnsi"/>
        </w:rPr>
        <w:t xml:space="preserve"> </w:t>
      </w:r>
      <w:r w:rsidR="004060F3" w:rsidRPr="00001F7B">
        <w:rPr>
          <w:rFonts w:cstheme="minorHAnsi"/>
        </w:rPr>
        <w:t>Certainly,</w:t>
      </w:r>
      <w:r w:rsidRPr="00001F7B">
        <w:rPr>
          <w:rFonts w:cstheme="minorHAnsi"/>
        </w:rPr>
        <w:t xml:space="preserve"> the court’s own domestic law but also frowned upon is “the tendency of those interpreting a uniform law instrument to project foreign law onto the provisions of an international instrument where these provisions refer to legal concepts unknown in the system in which the interpreter is trained.” Ferrari,</w:t>
      </w:r>
      <w:r w:rsidR="00DA1353" w:rsidRPr="00001F7B">
        <w:rPr>
          <w:rFonts w:cstheme="minorHAnsi"/>
        </w:rPr>
        <w:t xml:space="preserve"> </w:t>
      </w:r>
      <w:r w:rsidR="006972EC" w:rsidRPr="00001F7B">
        <w:rPr>
          <w:rFonts w:cstheme="minorHAnsi"/>
        </w:rPr>
        <w:t>above, f</w:t>
      </w:r>
      <w:r w:rsidR="00DA1353" w:rsidRPr="00001F7B">
        <w:rPr>
          <w:rFonts w:cstheme="minorHAnsi"/>
        </w:rPr>
        <w:t xml:space="preserve">n. </w:t>
      </w:r>
      <w:r w:rsidR="00826DD9" w:rsidRPr="00001F7B">
        <w:rPr>
          <w:rFonts w:cstheme="minorHAnsi"/>
        </w:rPr>
        <w:t>13</w:t>
      </w:r>
      <w:r w:rsidR="00DA1353" w:rsidRPr="00001F7B">
        <w:rPr>
          <w:rFonts w:cstheme="minorHAnsi"/>
        </w:rPr>
        <w:t>, homeward trend, p</w:t>
      </w:r>
      <w:r w:rsidR="00315382" w:rsidRPr="00001F7B">
        <w:rPr>
          <w:rFonts w:cstheme="minorHAnsi"/>
        </w:rPr>
        <w:t xml:space="preserve"> </w:t>
      </w:r>
      <w:r w:rsidR="00DA1353" w:rsidRPr="00001F7B">
        <w:rPr>
          <w:rFonts w:cstheme="minorHAnsi"/>
        </w:rPr>
        <w:t>252.</w:t>
      </w:r>
      <w:r w:rsidR="0019189D" w:rsidRPr="00001F7B">
        <w:rPr>
          <w:rFonts w:cstheme="minorHAnsi"/>
        </w:rPr>
        <w:t xml:space="preserve"> See also Ribeiro-</w:t>
      </w:r>
      <w:proofErr w:type="spellStart"/>
      <w:r w:rsidR="0019189D" w:rsidRPr="00001F7B">
        <w:rPr>
          <w:rFonts w:cstheme="minorHAnsi"/>
        </w:rPr>
        <w:t>Bidaoui</w:t>
      </w:r>
      <w:proofErr w:type="spellEnd"/>
      <w:r w:rsidR="0019189D" w:rsidRPr="00001F7B">
        <w:rPr>
          <w:rFonts w:cstheme="minorHAnsi"/>
        </w:rPr>
        <w:t xml:space="preserve">, </w:t>
      </w:r>
      <w:r w:rsidR="006972EC" w:rsidRPr="00001F7B">
        <w:rPr>
          <w:rFonts w:cstheme="minorHAnsi"/>
        </w:rPr>
        <w:t xml:space="preserve">above, </w:t>
      </w:r>
      <w:proofErr w:type="spellStart"/>
      <w:r w:rsidR="006972EC" w:rsidRPr="00001F7B">
        <w:rPr>
          <w:rFonts w:cstheme="minorHAnsi"/>
        </w:rPr>
        <w:t>f</w:t>
      </w:r>
      <w:r w:rsidR="0019189D" w:rsidRPr="00001F7B">
        <w:rPr>
          <w:rFonts w:cstheme="minorHAnsi"/>
        </w:rPr>
        <w:t>n</w:t>
      </w:r>
      <w:proofErr w:type="spellEnd"/>
      <w:r w:rsidR="00A70F19" w:rsidRPr="00001F7B">
        <w:rPr>
          <w:rFonts w:cstheme="minorHAnsi"/>
        </w:rPr>
        <w:t xml:space="preserve"> 1</w:t>
      </w:r>
      <w:r w:rsidR="00826DD9" w:rsidRPr="00001F7B">
        <w:rPr>
          <w:rFonts w:cstheme="minorHAnsi"/>
        </w:rPr>
        <w:t>4</w:t>
      </w:r>
      <w:r w:rsidR="0019189D" w:rsidRPr="00001F7B">
        <w:rPr>
          <w:rFonts w:cstheme="minorHAnsi"/>
        </w:rPr>
        <w:t>, p</w:t>
      </w:r>
      <w:r w:rsidR="00A70F19" w:rsidRPr="00001F7B">
        <w:rPr>
          <w:rFonts w:cstheme="minorHAnsi"/>
        </w:rPr>
        <w:t xml:space="preserve"> </w:t>
      </w:r>
      <w:r w:rsidR="0019189D" w:rsidRPr="00001F7B">
        <w:rPr>
          <w:rFonts w:cstheme="minorHAnsi"/>
        </w:rPr>
        <w:t>147.</w:t>
      </w:r>
    </w:p>
  </w:footnote>
  <w:footnote w:id="18">
    <w:p w14:paraId="2ECAB467" w14:textId="7631B8FB" w:rsidR="0097367E" w:rsidRPr="00001F7B" w:rsidRDefault="0097367E" w:rsidP="0043485A">
      <w:pPr>
        <w:pStyle w:val="FootnoteText"/>
        <w:rPr>
          <w:rFonts w:cstheme="minorHAnsi"/>
        </w:rPr>
      </w:pPr>
      <w:r w:rsidRPr="00001F7B">
        <w:rPr>
          <w:rStyle w:val="FootnoteReference"/>
          <w:rFonts w:cstheme="minorHAnsi"/>
        </w:rPr>
        <w:footnoteRef/>
      </w:r>
      <w:r w:rsidRPr="00001F7B">
        <w:rPr>
          <w:rFonts w:cstheme="minorHAnsi"/>
        </w:rPr>
        <w:t xml:space="preserve"> </w:t>
      </w:r>
      <w:r w:rsidR="0057763A" w:rsidRPr="00001F7B">
        <w:rPr>
          <w:rFonts w:cstheme="minorHAnsi"/>
        </w:rPr>
        <w:t xml:space="preserve">In the context of a discussion of the CISG: </w:t>
      </w:r>
      <w:r w:rsidRPr="00001F7B">
        <w:rPr>
          <w:rFonts w:cstheme="minorHAnsi"/>
        </w:rPr>
        <w:t>Gillette and Walt, ‘Autonomous Interpretation and its Limits: The Incorporation of the CISG into Domestic Sales La</w:t>
      </w:r>
      <w:r w:rsidR="0056271B" w:rsidRPr="00001F7B">
        <w:rPr>
          <w:rFonts w:cstheme="minorHAnsi"/>
        </w:rPr>
        <w:t xml:space="preserve">w’ Law and Economic Research Paper Series No. 20-53, New York University School of Law, Public Law and Legal Theory Paper Series 2020-78, </w:t>
      </w:r>
      <w:r w:rsidR="00301E1D" w:rsidRPr="00001F7B">
        <w:rPr>
          <w:rFonts w:cstheme="minorHAnsi"/>
        </w:rPr>
        <w:t>Law and Economics Paper Series 2020-20, University of Virginia School of Law, December 2020, pp</w:t>
      </w:r>
      <w:r w:rsidR="00040FEB" w:rsidRPr="00001F7B">
        <w:rPr>
          <w:rFonts w:cstheme="minorHAnsi"/>
        </w:rPr>
        <w:t xml:space="preserve"> </w:t>
      </w:r>
      <w:r w:rsidR="00301E1D" w:rsidRPr="00001F7B">
        <w:rPr>
          <w:rFonts w:cstheme="minorHAnsi"/>
        </w:rPr>
        <w:t xml:space="preserve">5-8. The weak version allows some reference to domestic law </w:t>
      </w:r>
      <w:r w:rsidR="00D07DA9" w:rsidRPr="00001F7B">
        <w:rPr>
          <w:rFonts w:cstheme="minorHAnsi"/>
        </w:rPr>
        <w:t>provided it does not dictate the result or contradict or conflict wit</w:t>
      </w:r>
      <w:r w:rsidR="00304E64" w:rsidRPr="00001F7B">
        <w:rPr>
          <w:rFonts w:cstheme="minorHAnsi"/>
        </w:rPr>
        <w:t>h</w:t>
      </w:r>
      <w:r w:rsidR="00D07DA9" w:rsidRPr="00001F7B">
        <w:rPr>
          <w:rFonts w:cstheme="minorHAnsi"/>
        </w:rPr>
        <w:t xml:space="preserve"> a provision, the strong version bars any reliance on domestic law whereas the uniform version bars such reliance where to do so impairs uniformity</w:t>
      </w:r>
      <w:r w:rsidR="007705E7" w:rsidRPr="00001F7B">
        <w:rPr>
          <w:rFonts w:cstheme="minorHAnsi"/>
        </w:rPr>
        <w:t xml:space="preserve"> </w:t>
      </w:r>
      <w:r w:rsidR="008A04A5" w:rsidRPr="00001F7B">
        <w:rPr>
          <w:rFonts w:cstheme="minorHAnsi"/>
        </w:rPr>
        <w:t>and “Because the version limits reliance on domestic law based on the impact of that reliance on uniformity in interpretation, it imposes neither a blanket bar nor an unqualified allowance on the use of domestic law notions”, at p</w:t>
      </w:r>
      <w:r w:rsidR="00040FEB" w:rsidRPr="00001F7B">
        <w:rPr>
          <w:rFonts w:cstheme="minorHAnsi"/>
        </w:rPr>
        <w:t xml:space="preserve"> </w:t>
      </w:r>
      <w:r w:rsidR="008A04A5" w:rsidRPr="00001F7B">
        <w:rPr>
          <w:rFonts w:cstheme="minorHAnsi"/>
        </w:rPr>
        <w:t>8.</w:t>
      </w:r>
      <w:r w:rsidR="00494BA0" w:rsidRPr="00001F7B">
        <w:rPr>
          <w:rFonts w:cstheme="minorHAnsi"/>
        </w:rPr>
        <w:t xml:space="preserve"> The uniform version is preferred (see pp</w:t>
      </w:r>
      <w:r w:rsidR="009523B6" w:rsidRPr="00001F7B">
        <w:rPr>
          <w:rFonts w:cstheme="minorHAnsi"/>
        </w:rPr>
        <w:t xml:space="preserve"> </w:t>
      </w:r>
      <w:r w:rsidR="00EB2DD5" w:rsidRPr="00001F7B">
        <w:rPr>
          <w:rFonts w:cstheme="minorHAnsi"/>
        </w:rPr>
        <w:t xml:space="preserve">9-12) </w:t>
      </w:r>
      <w:r w:rsidR="00494BA0" w:rsidRPr="00001F7B">
        <w:rPr>
          <w:rFonts w:cstheme="minorHAnsi"/>
        </w:rPr>
        <w:t>but this is in the specific context of Article 7</w:t>
      </w:r>
      <w:r w:rsidR="00040FEB" w:rsidRPr="00001F7B">
        <w:rPr>
          <w:rFonts w:cstheme="minorHAnsi"/>
        </w:rPr>
        <w:t>.1</w:t>
      </w:r>
      <w:r w:rsidR="00EB2DD5" w:rsidRPr="00001F7B">
        <w:rPr>
          <w:rFonts w:cstheme="minorHAnsi"/>
        </w:rPr>
        <w:t xml:space="preserve">. Nevertheless, the expressed </w:t>
      </w:r>
      <w:r w:rsidR="009A0BBF" w:rsidRPr="00001F7B">
        <w:rPr>
          <w:rFonts w:cstheme="minorHAnsi"/>
        </w:rPr>
        <w:t xml:space="preserve">phrase </w:t>
      </w:r>
      <w:r w:rsidR="00EB2DD5" w:rsidRPr="00001F7B">
        <w:rPr>
          <w:rFonts w:cstheme="minorHAnsi"/>
        </w:rPr>
        <w:t>“regard to uniformity” in that provision is implicit in other uniform conventions</w:t>
      </w:r>
      <w:r w:rsidR="00A33291" w:rsidRPr="00001F7B">
        <w:rPr>
          <w:rFonts w:cstheme="minorHAnsi"/>
        </w:rPr>
        <w:t>. For these authors</w:t>
      </w:r>
      <w:r w:rsidR="00CD45B0" w:rsidRPr="00001F7B">
        <w:rPr>
          <w:rFonts w:cstheme="minorHAnsi"/>
        </w:rPr>
        <w:t>,</w:t>
      </w:r>
      <w:r w:rsidR="006972EC" w:rsidRPr="00001F7B">
        <w:rPr>
          <w:rFonts w:cstheme="minorHAnsi"/>
        </w:rPr>
        <w:t xml:space="preserve"> </w:t>
      </w:r>
      <w:r w:rsidR="00A33291" w:rsidRPr="00001F7B">
        <w:rPr>
          <w:rFonts w:cstheme="minorHAnsi"/>
        </w:rPr>
        <w:t>reference to domestic law may provide a solution where a Convention’s term</w:t>
      </w:r>
      <w:r w:rsidR="00716820" w:rsidRPr="00001F7B">
        <w:rPr>
          <w:rFonts w:cstheme="minorHAnsi"/>
        </w:rPr>
        <w:t>s</w:t>
      </w:r>
      <w:r w:rsidR="00A33291" w:rsidRPr="00001F7B">
        <w:rPr>
          <w:rFonts w:cstheme="minorHAnsi"/>
        </w:rPr>
        <w:t xml:space="preserve"> are vague or involve a compromise of a conflict of domestic law</w:t>
      </w:r>
      <w:r w:rsidR="00C53AAD" w:rsidRPr="00001F7B">
        <w:rPr>
          <w:rFonts w:cstheme="minorHAnsi"/>
        </w:rPr>
        <w:t>s</w:t>
      </w:r>
      <w:r w:rsidR="00A33291" w:rsidRPr="00001F7B">
        <w:rPr>
          <w:rFonts w:cstheme="minorHAnsi"/>
        </w:rPr>
        <w:t xml:space="preserve"> or “domestic law can add to the considerations in favo</w:t>
      </w:r>
      <w:r w:rsidR="00716820" w:rsidRPr="00001F7B">
        <w:rPr>
          <w:rFonts w:cstheme="minorHAnsi"/>
        </w:rPr>
        <w:t>u</w:t>
      </w:r>
      <w:r w:rsidR="00A33291" w:rsidRPr="00001F7B">
        <w:rPr>
          <w:rFonts w:cstheme="minorHAnsi"/>
        </w:rPr>
        <w:t xml:space="preserve">r of a particular interpretation of a provision, helping to articulate and justify the understanding of the provision arrived at independently of domestic law” thus </w:t>
      </w:r>
      <w:r w:rsidR="00D73CAF" w:rsidRPr="00001F7B">
        <w:rPr>
          <w:rFonts w:cstheme="minorHAnsi"/>
        </w:rPr>
        <w:t>providing a rationale convincing to foreign courts</w:t>
      </w:r>
      <w:r w:rsidR="00A33291" w:rsidRPr="00001F7B">
        <w:rPr>
          <w:rFonts w:cstheme="minorHAnsi"/>
        </w:rPr>
        <w:t>.</w:t>
      </w:r>
      <w:r w:rsidR="00D73CAF" w:rsidRPr="00001F7B">
        <w:rPr>
          <w:rFonts w:cstheme="minorHAnsi"/>
        </w:rPr>
        <w:t xml:space="preserve"> </w:t>
      </w:r>
      <w:r w:rsidR="0043485A" w:rsidRPr="00001F7B">
        <w:rPr>
          <w:rFonts w:cstheme="minorHAnsi"/>
        </w:rPr>
        <w:t>This version allows domestic law notions to figure in an interpretation of CISG provisions when reliance on these notions contributes to a uniform interpretation. T</w:t>
      </w:r>
      <w:r w:rsidR="00D73CAF" w:rsidRPr="00001F7B">
        <w:rPr>
          <w:rFonts w:cstheme="minorHAnsi"/>
        </w:rPr>
        <w:t>his seems to look more to the persuasiveness</w:t>
      </w:r>
      <w:r w:rsidR="00C206B2" w:rsidRPr="00001F7B">
        <w:rPr>
          <w:rFonts w:cstheme="minorHAnsi"/>
        </w:rPr>
        <w:t xml:space="preserve"> </w:t>
      </w:r>
      <w:r w:rsidR="00D73CAF" w:rsidRPr="00001F7B">
        <w:rPr>
          <w:rFonts w:cstheme="minorHAnsi"/>
        </w:rPr>
        <w:t>of the rationale</w:t>
      </w:r>
      <w:r w:rsidR="00C206B2" w:rsidRPr="00001F7B">
        <w:rPr>
          <w:rFonts w:cstheme="minorHAnsi"/>
        </w:rPr>
        <w:t xml:space="preserve"> and the informative value of a domestic rule </w:t>
      </w:r>
      <w:r w:rsidR="00D73CAF" w:rsidRPr="00001F7B">
        <w:rPr>
          <w:rFonts w:cstheme="minorHAnsi"/>
        </w:rPr>
        <w:t xml:space="preserve">rather than </w:t>
      </w:r>
      <w:r w:rsidR="00C206B2" w:rsidRPr="00001F7B">
        <w:rPr>
          <w:rFonts w:cstheme="minorHAnsi"/>
        </w:rPr>
        <w:t>its</w:t>
      </w:r>
      <w:r w:rsidR="00D73CAF" w:rsidRPr="00001F7B">
        <w:rPr>
          <w:rFonts w:cstheme="minorHAnsi"/>
        </w:rPr>
        <w:t xml:space="preserve"> direct</w:t>
      </w:r>
      <w:r w:rsidR="00C206B2" w:rsidRPr="00001F7B">
        <w:rPr>
          <w:rFonts w:cstheme="minorHAnsi"/>
        </w:rPr>
        <w:t xml:space="preserve"> application</w:t>
      </w:r>
      <w:r w:rsidR="00D73CAF" w:rsidRPr="00001F7B">
        <w:rPr>
          <w:rFonts w:cstheme="minorHAnsi"/>
        </w:rPr>
        <w:t xml:space="preserve">. </w:t>
      </w:r>
      <w:r w:rsidR="00C206B2" w:rsidRPr="00001F7B">
        <w:rPr>
          <w:rFonts w:cstheme="minorHAnsi"/>
        </w:rPr>
        <w:t>The discussion seems not</w:t>
      </w:r>
      <w:r w:rsidR="008A5EBB" w:rsidRPr="00001F7B">
        <w:rPr>
          <w:rFonts w:cstheme="minorHAnsi"/>
        </w:rPr>
        <w:t xml:space="preserve"> to</w:t>
      </w:r>
      <w:r w:rsidR="00C206B2" w:rsidRPr="00001F7B">
        <w:rPr>
          <w:rFonts w:cstheme="minorHAnsi"/>
        </w:rPr>
        <w:t xml:space="preserve"> depend entirely on reference to a specific national la</w:t>
      </w:r>
      <w:r w:rsidR="00B448D0" w:rsidRPr="00001F7B">
        <w:rPr>
          <w:rFonts w:cstheme="minorHAnsi"/>
        </w:rPr>
        <w:t>w</w:t>
      </w:r>
      <w:r w:rsidR="00C206B2" w:rsidRPr="00001F7B">
        <w:rPr>
          <w:rFonts w:cstheme="minorHAnsi"/>
        </w:rPr>
        <w:t xml:space="preserve"> but may involve domestic law</w:t>
      </w:r>
      <w:r w:rsidR="00B448D0" w:rsidRPr="00001F7B">
        <w:rPr>
          <w:rFonts w:cstheme="minorHAnsi"/>
        </w:rPr>
        <w:t>s</w:t>
      </w:r>
      <w:r w:rsidR="00C206B2" w:rsidRPr="00001F7B">
        <w:rPr>
          <w:rFonts w:cstheme="minorHAnsi"/>
        </w:rPr>
        <w:t xml:space="preserve"> generally (i.e. through comparison</w:t>
      </w:r>
      <w:r w:rsidR="00B448D0" w:rsidRPr="00001F7B">
        <w:rPr>
          <w:rFonts w:cstheme="minorHAnsi"/>
        </w:rPr>
        <w:t xml:space="preserve"> across jurisdictions</w:t>
      </w:r>
      <w:r w:rsidR="00C206B2" w:rsidRPr="00001F7B">
        <w:rPr>
          <w:rFonts w:cstheme="minorHAnsi"/>
        </w:rPr>
        <w:t xml:space="preserve">). Clearly Conventions are bound to share </w:t>
      </w:r>
      <w:r w:rsidR="00615940" w:rsidRPr="00001F7B">
        <w:rPr>
          <w:rFonts w:cstheme="minorHAnsi"/>
        </w:rPr>
        <w:t>many concepts with domestic laws in the area of private law and cannot be entirely neutral fr</w:t>
      </w:r>
      <w:r w:rsidR="00B448D0" w:rsidRPr="00001F7B">
        <w:rPr>
          <w:rFonts w:cstheme="minorHAnsi"/>
        </w:rPr>
        <w:t>o</w:t>
      </w:r>
      <w:r w:rsidR="00615940" w:rsidRPr="00001F7B">
        <w:rPr>
          <w:rFonts w:cstheme="minorHAnsi"/>
        </w:rPr>
        <w:t>m them unless a wholly different meaning is clearly intended (</w:t>
      </w:r>
      <w:r w:rsidR="00CD45B0" w:rsidRPr="00001F7B">
        <w:rPr>
          <w:rFonts w:cstheme="minorHAnsi"/>
        </w:rPr>
        <w:t>e.g.,</w:t>
      </w:r>
      <w:r w:rsidR="00615940" w:rsidRPr="00001F7B">
        <w:rPr>
          <w:rFonts w:cstheme="minorHAnsi"/>
        </w:rPr>
        <w:t xml:space="preserve"> if a </w:t>
      </w:r>
      <w:r w:rsidR="0079721B" w:rsidRPr="00001F7B">
        <w:rPr>
          <w:rFonts w:cstheme="minorHAnsi"/>
        </w:rPr>
        <w:t xml:space="preserve">particular </w:t>
      </w:r>
      <w:r w:rsidR="00615940" w:rsidRPr="00001F7B">
        <w:rPr>
          <w:rFonts w:cstheme="minorHAnsi"/>
        </w:rPr>
        <w:t xml:space="preserve">Convention </w:t>
      </w:r>
      <w:r w:rsidR="0079721B" w:rsidRPr="00001F7B">
        <w:rPr>
          <w:rFonts w:cstheme="minorHAnsi"/>
        </w:rPr>
        <w:t xml:space="preserve">were to </w:t>
      </w:r>
      <w:r w:rsidR="00615940" w:rsidRPr="00001F7B">
        <w:rPr>
          <w:rFonts w:cstheme="minorHAnsi"/>
        </w:rPr>
        <w:t>m</w:t>
      </w:r>
      <w:r w:rsidR="00B448D0" w:rsidRPr="00001F7B">
        <w:rPr>
          <w:rFonts w:cstheme="minorHAnsi"/>
        </w:rPr>
        <w:t>ake</w:t>
      </w:r>
      <w:r w:rsidR="00615940" w:rsidRPr="00001F7B">
        <w:rPr>
          <w:rFonts w:cstheme="minorHAnsi"/>
        </w:rPr>
        <w:t xml:space="preserve"> clear that by the word ‘contract’ it m</w:t>
      </w:r>
      <w:r w:rsidR="00B448D0" w:rsidRPr="00001F7B">
        <w:rPr>
          <w:rFonts w:cstheme="minorHAnsi"/>
        </w:rPr>
        <w:t xml:space="preserve">eans </w:t>
      </w:r>
      <w:r w:rsidR="00615940" w:rsidRPr="00001F7B">
        <w:rPr>
          <w:rFonts w:cstheme="minorHAnsi"/>
        </w:rPr>
        <w:t>a formal deed</w:t>
      </w:r>
      <w:r w:rsidR="0088762E" w:rsidRPr="00001F7B">
        <w:rPr>
          <w:rFonts w:cstheme="minorHAnsi"/>
        </w:rPr>
        <w:t xml:space="preserve"> rather than the usual oral o</w:t>
      </w:r>
      <w:r w:rsidR="00D764AD" w:rsidRPr="00001F7B">
        <w:rPr>
          <w:rFonts w:cstheme="minorHAnsi"/>
        </w:rPr>
        <w:t>r</w:t>
      </w:r>
      <w:r w:rsidR="0088762E" w:rsidRPr="00001F7B">
        <w:rPr>
          <w:rFonts w:cstheme="minorHAnsi"/>
        </w:rPr>
        <w:t xml:space="preserve"> written contract</w:t>
      </w:r>
      <w:r w:rsidR="00615940" w:rsidRPr="00001F7B">
        <w:rPr>
          <w:rFonts w:cstheme="minorHAnsi"/>
        </w:rPr>
        <w:t>)</w:t>
      </w:r>
      <w:r w:rsidR="0088762E" w:rsidRPr="00001F7B">
        <w:rPr>
          <w:rFonts w:cstheme="minorHAnsi"/>
        </w:rPr>
        <w:t>.</w:t>
      </w:r>
    </w:p>
  </w:footnote>
  <w:footnote w:id="19">
    <w:p w14:paraId="01880E9F" w14:textId="2E471979" w:rsidR="00B046F6" w:rsidRPr="00001F7B" w:rsidRDefault="00B046F6" w:rsidP="00A8510C">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Gebauer</w:t>
      </w:r>
      <w:proofErr w:type="spellEnd"/>
      <w:r w:rsidRPr="00001F7B">
        <w:rPr>
          <w:rFonts w:cstheme="minorHAnsi"/>
        </w:rPr>
        <w:t xml:space="preserve">, </w:t>
      </w:r>
      <w:r w:rsidR="00C53AAD" w:rsidRPr="00001F7B">
        <w:rPr>
          <w:rFonts w:cstheme="minorHAnsi"/>
        </w:rPr>
        <w:t>above, f</w:t>
      </w:r>
      <w:r w:rsidRPr="00001F7B">
        <w:rPr>
          <w:rFonts w:cstheme="minorHAnsi"/>
        </w:rPr>
        <w:t>n.1</w:t>
      </w:r>
      <w:r w:rsidR="00C53AAD" w:rsidRPr="00001F7B">
        <w:rPr>
          <w:rFonts w:cstheme="minorHAnsi"/>
        </w:rPr>
        <w:t xml:space="preserve">, </w:t>
      </w:r>
      <w:r w:rsidRPr="00001F7B">
        <w:rPr>
          <w:rFonts w:cstheme="minorHAnsi"/>
        </w:rPr>
        <w:t>p</w:t>
      </w:r>
      <w:r w:rsidR="00C5399D" w:rsidRPr="00001F7B">
        <w:rPr>
          <w:rFonts w:cstheme="minorHAnsi"/>
        </w:rPr>
        <w:t xml:space="preserve"> </w:t>
      </w:r>
      <w:r w:rsidRPr="00001F7B">
        <w:rPr>
          <w:rFonts w:cstheme="minorHAnsi"/>
        </w:rPr>
        <w:t>686.</w:t>
      </w:r>
      <w:r w:rsidR="00A8510C" w:rsidRPr="00001F7B">
        <w:rPr>
          <w:rFonts w:cstheme="minorHAnsi"/>
        </w:rPr>
        <w:t xml:space="preserve"> </w:t>
      </w:r>
      <w:proofErr w:type="spellStart"/>
      <w:r w:rsidR="000E0982" w:rsidRPr="00001F7B">
        <w:rPr>
          <w:rFonts w:cstheme="minorHAnsi"/>
        </w:rPr>
        <w:t>Ribero-Bidaoui</w:t>
      </w:r>
      <w:proofErr w:type="spellEnd"/>
      <w:r w:rsidR="000E0982" w:rsidRPr="00001F7B">
        <w:rPr>
          <w:rFonts w:cstheme="minorHAnsi"/>
        </w:rPr>
        <w:t xml:space="preserve">, </w:t>
      </w:r>
      <w:r w:rsidR="00C53AAD" w:rsidRPr="00001F7B">
        <w:rPr>
          <w:rFonts w:cstheme="minorHAnsi"/>
        </w:rPr>
        <w:t xml:space="preserve">above, </w:t>
      </w:r>
      <w:proofErr w:type="spellStart"/>
      <w:r w:rsidR="00C53AAD" w:rsidRPr="00001F7B">
        <w:rPr>
          <w:rFonts w:cstheme="minorHAnsi"/>
        </w:rPr>
        <w:t>f</w:t>
      </w:r>
      <w:r w:rsidR="000E0982" w:rsidRPr="00001F7B">
        <w:rPr>
          <w:rFonts w:cstheme="minorHAnsi"/>
        </w:rPr>
        <w:t>n</w:t>
      </w:r>
      <w:proofErr w:type="spellEnd"/>
      <w:r w:rsidR="00C5399D" w:rsidRPr="00001F7B">
        <w:rPr>
          <w:rFonts w:cstheme="minorHAnsi"/>
        </w:rPr>
        <w:t xml:space="preserve"> 14</w:t>
      </w:r>
      <w:r w:rsidR="000E0982" w:rsidRPr="00001F7B">
        <w:rPr>
          <w:rFonts w:cstheme="minorHAnsi"/>
        </w:rPr>
        <w:t>, regards the positive obligation as being to interpret conventions uniformly and autonomously</w:t>
      </w:r>
      <w:r w:rsidR="008A3EF0" w:rsidRPr="00001F7B">
        <w:rPr>
          <w:rFonts w:cstheme="minorHAnsi"/>
        </w:rPr>
        <w:t>,</w:t>
      </w:r>
      <w:r w:rsidR="000E0982" w:rsidRPr="00001F7B">
        <w:rPr>
          <w:rFonts w:cstheme="minorHAnsi"/>
        </w:rPr>
        <w:t xml:space="preserve"> see p</w:t>
      </w:r>
      <w:r w:rsidR="00C5399D" w:rsidRPr="00001F7B">
        <w:rPr>
          <w:rFonts w:cstheme="minorHAnsi"/>
        </w:rPr>
        <w:t xml:space="preserve"> </w:t>
      </w:r>
      <w:r w:rsidR="000E0982" w:rsidRPr="00001F7B">
        <w:rPr>
          <w:rFonts w:cstheme="minorHAnsi"/>
        </w:rPr>
        <w:t>148.</w:t>
      </w:r>
    </w:p>
  </w:footnote>
  <w:footnote w:id="20">
    <w:p w14:paraId="200B441A" w14:textId="1BED977A" w:rsidR="005E6A94" w:rsidRPr="00001F7B" w:rsidRDefault="005E6A94">
      <w:pPr>
        <w:pStyle w:val="FootnoteText"/>
        <w:rPr>
          <w:rFonts w:cstheme="minorHAnsi"/>
        </w:rPr>
      </w:pPr>
      <w:r w:rsidRPr="00001F7B">
        <w:rPr>
          <w:rStyle w:val="FootnoteReference"/>
          <w:rFonts w:cstheme="minorHAnsi"/>
        </w:rPr>
        <w:footnoteRef/>
      </w:r>
      <w:r w:rsidRPr="00001F7B">
        <w:rPr>
          <w:rFonts w:cstheme="minorHAnsi"/>
        </w:rPr>
        <w:t xml:space="preserve"> </w:t>
      </w:r>
      <w:r w:rsidR="00B34BF9" w:rsidRPr="00001F7B">
        <w:rPr>
          <w:rFonts w:cstheme="minorHAnsi"/>
        </w:rPr>
        <w:t>A</w:t>
      </w:r>
      <w:r w:rsidR="00C53AAD" w:rsidRPr="00001F7B">
        <w:rPr>
          <w:rFonts w:cstheme="minorHAnsi"/>
        </w:rPr>
        <w:t xml:space="preserve">bove, </w:t>
      </w:r>
      <w:proofErr w:type="spellStart"/>
      <w:r w:rsidR="00C53AAD" w:rsidRPr="00001F7B">
        <w:rPr>
          <w:rFonts w:cstheme="minorHAnsi"/>
        </w:rPr>
        <w:t>f</w:t>
      </w:r>
      <w:r w:rsidRPr="00001F7B">
        <w:rPr>
          <w:rFonts w:cstheme="minorHAnsi"/>
        </w:rPr>
        <w:t>n</w:t>
      </w:r>
      <w:proofErr w:type="spellEnd"/>
      <w:r w:rsidR="00C5399D" w:rsidRPr="00001F7B">
        <w:rPr>
          <w:rFonts w:cstheme="minorHAnsi"/>
        </w:rPr>
        <w:t xml:space="preserve"> </w:t>
      </w:r>
      <w:r w:rsidRPr="00001F7B">
        <w:rPr>
          <w:rFonts w:cstheme="minorHAnsi"/>
        </w:rPr>
        <w:t>1, p</w:t>
      </w:r>
      <w:r w:rsidR="00C5399D" w:rsidRPr="00001F7B">
        <w:rPr>
          <w:rFonts w:cstheme="minorHAnsi"/>
        </w:rPr>
        <w:t xml:space="preserve"> </w:t>
      </w:r>
      <w:r w:rsidRPr="00001F7B">
        <w:rPr>
          <w:rFonts w:cstheme="minorHAnsi"/>
        </w:rPr>
        <w:t>702</w:t>
      </w:r>
      <w:r w:rsidR="001D6067" w:rsidRPr="00001F7B">
        <w:rPr>
          <w:rFonts w:cstheme="minorHAnsi"/>
        </w:rPr>
        <w:t>. They note that academic literature insists that the methods must be autonomous whilst rarely explaining what they should look like.</w:t>
      </w:r>
      <w:r w:rsidR="00524866" w:rsidRPr="00001F7B">
        <w:rPr>
          <w:rFonts w:cstheme="minorHAnsi"/>
        </w:rPr>
        <w:t xml:space="preserve"> </w:t>
      </w:r>
    </w:p>
  </w:footnote>
  <w:footnote w:id="21">
    <w:p w14:paraId="0E58EAB2" w14:textId="0E619A06" w:rsidR="00D0506B" w:rsidRPr="00001F7B" w:rsidRDefault="00D0506B" w:rsidP="002D24AD">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00E733CF" w:rsidRPr="00001F7B">
        <w:rPr>
          <w:rFonts w:cstheme="minorHAnsi"/>
        </w:rPr>
        <w:t>Gebauer</w:t>
      </w:r>
      <w:proofErr w:type="spellEnd"/>
      <w:r w:rsidR="00E733CF" w:rsidRPr="00001F7B">
        <w:rPr>
          <w:rFonts w:cstheme="minorHAnsi"/>
        </w:rPr>
        <w:t>,</w:t>
      </w:r>
      <w:r w:rsidR="00C53AAD" w:rsidRPr="00001F7B">
        <w:rPr>
          <w:rFonts w:cstheme="minorHAnsi"/>
        </w:rPr>
        <w:t xml:space="preserve"> above, </w:t>
      </w:r>
      <w:proofErr w:type="spellStart"/>
      <w:r w:rsidR="00C53AAD" w:rsidRPr="00001F7B">
        <w:rPr>
          <w:rFonts w:cstheme="minorHAnsi"/>
        </w:rPr>
        <w:t>f</w:t>
      </w:r>
      <w:r w:rsidR="00B578E4" w:rsidRPr="00001F7B">
        <w:rPr>
          <w:rFonts w:cstheme="minorHAnsi"/>
        </w:rPr>
        <w:t>n</w:t>
      </w:r>
      <w:proofErr w:type="spellEnd"/>
      <w:r w:rsidR="00C5399D" w:rsidRPr="00001F7B">
        <w:rPr>
          <w:rFonts w:cstheme="minorHAnsi"/>
        </w:rPr>
        <w:t xml:space="preserve"> </w:t>
      </w:r>
      <w:r w:rsidR="00B578E4" w:rsidRPr="00001F7B">
        <w:rPr>
          <w:rFonts w:cstheme="minorHAnsi"/>
        </w:rPr>
        <w:t>1,</w:t>
      </w:r>
      <w:r w:rsidR="00E733CF" w:rsidRPr="00001F7B">
        <w:rPr>
          <w:rFonts w:cstheme="minorHAnsi"/>
        </w:rPr>
        <w:t xml:space="preserve"> p</w:t>
      </w:r>
      <w:r w:rsidR="00C5399D" w:rsidRPr="00001F7B">
        <w:rPr>
          <w:rFonts w:cstheme="minorHAnsi"/>
        </w:rPr>
        <w:t xml:space="preserve"> </w:t>
      </w:r>
      <w:r w:rsidR="00E733CF" w:rsidRPr="00001F7B">
        <w:rPr>
          <w:rFonts w:cstheme="minorHAnsi"/>
        </w:rPr>
        <w:t xml:space="preserve">687. </w:t>
      </w:r>
      <w:r w:rsidR="00651B62" w:rsidRPr="00001F7B">
        <w:rPr>
          <w:rFonts w:cstheme="minorHAnsi"/>
        </w:rPr>
        <w:t xml:space="preserve">So far as </w:t>
      </w:r>
      <w:r w:rsidR="001C4CD6" w:rsidRPr="00001F7B">
        <w:rPr>
          <w:rFonts w:cstheme="minorHAnsi"/>
        </w:rPr>
        <w:t xml:space="preserve">Methodology is </w:t>
      </w:r>
      <w:r w:rsidR="00C53AAD" w:rsidRPr="00001F7B">
        <w:rPr>
          <w:rFonts w:cstheme="minorHAnsi"/>
        </w:rPr>
        <w:t>concerned,</w:t>
      </w:r>
      <w:r w:rsidR="001C4CD6" w:rsidRPr="00001F7B">
        <w:rPr>
          <w:rFonts w:cstheme="minorHAnsi"/>
        </w:rPr>
        <w:t xml:space="preserve"> he states that autonomous interpretation may be said to rest on systemic and teleological considerations, although he indicates that literal or historical considerations are no less important. </w:t>
      </w:r>
      <w:proofErr w:type="spellStart"/>
      <w:r w:rsidR="00B34BF9" w:rsidRPr="00001F7B">
        <w:rPr>
          <w:rFonts w:cstheme="minorHAnsi"/>
        </w:rPr>
        <w:t>Haak</w:t>
      </w:r>
      <w:proofErr w:type="spellEnd"/>
      <w:r w:rsidR="00B34BF9" w:rsidRPr="00001F7B">
        <w:rPr>
          <w:rFonts w:cstheme="minorHAnsi"/>
        </w:rPr>
        <w:t xml:space="preserve">, in CMR, above, </w:t>
      </w:r>
      <w:proofErr w:type="spellStart"/>
      <w:r w:rsidR="00B34BF9" w:rsidRPr="00001F7B">
        <w:rPr>
          <w:rFonts w:cstheme="minorHAnsi"/>
        </w:rPr>
        <w:t>fn</w:t>
      </w:r>
      <w:proofErr w:type="spellEnd"/>
      <w:r w:rsidR="00B34BF9" w:rsidRPr="00001F7B">
        <w:rPr>
          <w:rFonts w:cstheme="minorHAnsi"/>
        </w:rPr>
        <w:t xml:space="preserve"> , </w:t>
      </w:r>
      <w:r w:rsidR="00E02511" w:rsidRPr="00001F7B">
        <w:rPr>
          <w:rFonts w:cstheme="minorHAnsi"/>
        </w:rPr>
        <w:t xml:space="preserve">p </w:t>
      </w:r>
      <w:r w:rsidR="00315382" w:rsidRPr="00001F7B">
        <w:rPr>
          <w:rFonts w:cstheme="minorHAnsi"/>
        </w:rPr>
        <w:t>11</w:t>
      </w:r>
      <w:r w:rsidR="00E02511" w:rsidRPr="00001F7B">
        <w:rPr>
          <w:rFonts w:cstheme="minorHAnsi"/>
        </w:rPr>
        <w:t xml:space="preserve">, </w:t>
      </w:r>
      <w:r w:rsidR="00B34BF9" w:rsidRPr="00001F7B">
        <w:rPr>
          <w:rFonts w:cstheme="minorHAnsi"/>
        </w:rPr>
        <w:t xml:space="preserve">and </w:t>
      </w:r>
      <w:r w:rsidR="00E02511" w:rsidRPr="00001F7B">
        <w:rPr>
          <w:rFonts w:cstheme="minorHAnsi"/>
        </w:rPr>
        <w:t xml:space="preserve">Interpretation, above </w:t>
      </w:r>
      <w:proofErr w:type="spellStart"/>
      <w:r w:rsidR="00E02511" w:rsidRPr="00001F7B">
        <w:rPr>
          <w:rFonts w:cstheme="minorHAnsi"/>
        </w:rPr>
        <w:t>fn</w:t>
      </w:r>
      <w:proofErr w:type="spellEnd"/>
      <w:r w:rsidR="00E02511" w:rsidRPr="00001F7B">
        <w:rPr>
          <w:rFonts w:cstheme="minorHAnsi"/>
        </w:rPr>
        <w:t xml:space="preserve">  p 225, says that for the directive or prescriptive aspect that as far as possible a method of interpretation should be employed that, in conformity with the nature of uniform law, is directed towards fulfilling and furthering the principles underlying the convention.</w:t>
      </w:r>
    </w:p>
  </w:footnote>
  <w:footnote w:id="22">
    <w:p w14:paraId="44A5219D" w14:textId="67CB3490" w:rsidR="00D25BC8" w:rsidRPr="00001F7B" w:rsidRDefault="00D25BC8">
      <w:pPr>
        <w:pStyle w:val="FootnoteText"/>
        <w:rPr>
          <w:rFonts w:cstheme="minorHAnsi"/>
        </w:rPr>
      </w:pPr>
      <w:r w:rsidRPr="00001F7B">
        <w:rPr>
          <w:rStyle w:val="FootnoteReference"/>
          <w:rFonts w:cstheme="minorHAnsi"/>
        </w:rPr>
        <w:footnoteRef/>
      </w:r>
      <w:r w:rsidRPr="00001F7B">
        <w:rPr>
          <w:rFonts w:cstheme="minorHAnsi"/>
        </w:rPr>
        <w:t xml:space="preserve"> At p 703. </w:t>
      </w:r>
      <w:r w:rsidR="00167D52" w:rsidRPr="00001F7B">
        <w:rPr>
          <w:rFonts w:cstheme="minorHAnsi"/>
        </w:rPr>
        <w:t>R</w:t>
      </w:r>
      <w:r w:rsidR="00AA0783" w:rsidRPr="00001F7B">
        <w:rPr>
          <w:rFonts w:cstheme="minorHAnsi"/>
        </w:rPr>
        <w:t xml:space="preserve">ecently Mola and </w:t>
      </w:r>
      <w:bookmarkStart w:id="2" w:name="_Hlk105441172"/>
      <w:proofErr w:type="spellStart"/>
      <w:r w:rsidR="00AA0783" w:rsidRPr="00001F7B">
        <w:rPr>
          <w:rFonts w:cstheme="minorHAnsi"/>
        </w:rPr>
        <w:t>Poncibò</w:t>
      </w:r>
      <w:bookmarkEnd w:id="2"/>
      <w:proofErr w:type="spellEnd"/>
      <w:r w:rsidR="00AA0783" w:rsidRPr="00001F7B">
        <w:rPr>
          <w:rFonts w:cstheme="minorHAnsi"/>
        </w:rPr>
        <w:t xml:space="preserve">, above, </w:t>
      </w:r>
      <w:proofErr w:type="spellStart"/>
      <w:r w:rsidR="00C53AAD" w:rsidRPr="00001F7B">
        <w:rPr>
          <w:rFonts w:cstheme="minorHAnsi"/>
        </w:rPr>
        <w:t>fn</w:t>
      </w:r>
      <w:proofErr w:type="spellEnd"/>
      <w:r w:rsidR="00C53AAD" w:rsidRPr="00001F7B">
        <w:rPr>
          <w:rFonts w:cstheme="minorHAnsi"/>
        </w:rPr>
        <w:t xml:space="preserve"> </w:t>
      </w:r>
      <w:r w:rsidR="00A67551" w:rsidRPr="00001F7B">
        <w:rPr>
          <w:rFonts w:cstheme="minorHAnsi"/>
        </w:rPr>
        <w:t>7</w:t>
      </w:r>
      <w:r w:rsidR="00C53AAD" w:rsidRPr="00001F7B">
        <w:rPr>
          <w:rFonts w:cstheme="minorHAnsi"/>
        </w:rPr>
        <w:t xml:space="preserve">, </w:t>
      </w:r>
      <w:r w:rsidR="00AA0783" w:rsidRPr="00001F7B">
        <w:rPr>
          <w:rFonts w:cstheme="minorHAnsi"/>
        </w:rPr>
        <w:t>pp</w:t>
      </w:r>
      <w:r w:rsidR="00167D52" w:rsidRPr="00001F7B">
        <w:rPr>
          <w:rFonts w:cstheme="minorHAnsi"/>
        </w:rPr>
        <w:t xml:space="preserve"> </w:t>
      </w:r>
      <w:r w:rsidR="00AA0783" w:rsidRPr="00001F7B">
        <w:rPr>
          <w:rFonts w:cstheme="minorHAnsi"/>
        </w:rPr>
        <w:t>856-859 in the context of the CISG note options suggested by scholars, the first option being a blend of national methodologies, the second option being a synthesis of foreign methods derived from case-law or legal scholarship. Both options require consideration of foreign courts’ caselaw but because these are confusing</w:t>
      </w:r>
      <w:r w:rsidR="004F7A77" w:rsidRPr="00001F7B">
        <w:rPr>
          <w:rFonts w:cstheme="minorHAnsi"/>
        </w:rPr>
        <w:t>,</w:t>
      </w:r>
      <w:r w:rsidR="00AA0783" w:rsidRPr="00001F7B">
        <w:rPr>
          <w:rFonts w:cstheme="minorHAnsi"/>
        </w:rPr>
        <w:t xml:space="preserve"> some courts (with particular reference to the CISG) as a third option return to domestic methods. </w:t>
      </w:r>
      <w:r w:rsidR="003B2F7B" w:rsidRPr="00001F7B">
        <w:rPr>
          <w:rFonts w:cstheme="minorHAnsi"/>
        </w:rPr>
        <w:t>These variations in approaches associated with the autonomous approach is a reason for preferring the ‘uniform approach’ of the Vienna Rules</w:t>
      </w:r>
      <w:r w:rsidR="005E6F85" w:rsidRPr="00001F7B">
        <w:rPr>
          <w:rFonts w:cstheme="minorHAnsi"/>
        </w:rPr>
        <w:t xml:space="preserve"> (p 869)</w:t>
      </w:r>
      <w:r w:rsidR="003B2F7B" w:rsidRPr="00001F7B">
        <w:rPr>
          <w:rFonts w:cstheme="minorHAnsi"/>
        </w:rPr>
        <w:t xml:space="preserve">. </w:t>
      </w:r>
      <w:r w:rsidR="005E6F85" w:rsidRPr="00001F7B">
        <w:rPr>
          <w:rFonts w:cstheme="minorHAnsi"/>
        </w:rPr>
        <w:t>The thrust of their article is that the Rules are appropriate for and should be used</w:t>
      </w:r>
      <w:r w:rsidR="00FC7C0A" w:rsidRPr="00001F7B">
        <w:rPr>
          <w:rFonts w:cstheme="minorHAnsi"/>
        </w:rPr>
        <w:t>, as a matter of obligation, for the interpretation of uniform private law conventions (including the CISG).</w:t>
      </w:r>
      <w:r w:rsidR="005E6F85" w:rsidRPr="00001F7B">
        <w:rPr>
          <w:rFonts w:cstheme="minorHAnsi"/>
        </w:rPr>
        <w:t xml:space="preserve"> </w:t>
      </w:r>
    </w:p>
  </w:footnote>
  <w:footnote w:id="23">
    <w:p w14:paraId="4C503FD0" w14:textId="0E30D9D9" w:rsidR="001B3A5A" w:rsidRPr="00001F7B" w:rsidRDefault="00932840" w:rsidP="001B3A5A">
      <w:pPr>
        <w:pStyle w:val="FootnoteText"/>
        <w:rPr>
          <w:rFonts w:cstheme="minorHAnsi"/>
        </w:rPr>
      </w:pPr>
      <w:r w:rsidRPr="00001F7B">
        <w:rPr>
          <w:rStyle w:val="FootnoteReference"/>
          <w:rFonts w:cstheme="minorHAnsi"/>
        </w:rPr>
        <w:footnoteRef/>
      </w:r>
      <w:r w:rsidRPr="00001F7B">
        <w:rPr>
          <w:rFonts w:cstheme="minorHAnsi"/>
        </w:rPr>
        <w:t xml:space="preserve"> As  Ribeiro-</w:t>
      </w:r>
      <w:proofErr w:type="spellStart"/>
      <w:r w:rsidRPr="00001F7B">
        <w:rPr>
          <w:rFonts w:cstheme="minorHAnsi"/>
        </w:rPr>
        <w:t>Badaoui</w:t>
      </w:r>
      <w:proofErr w:type="spellEnd"/>
      <w:r w:rsidRPr="00001F7B">
        <w:rPr>
          <w:rFonts w:cstheme="minorHAnsi"/>
        </w:rPr>
        <w:t>,</w:t>
      </w:r>
      <w:r w:rsidR="004F7A77" w:rsidRPr="00001F7B">
        <w:rPr>
          <w:rFonts w:cstheme="minorHAnsi"/>
        </w:rPr>
        <w:t xml:space="preserve"> above, f</w:t>
      </w:r>
      <w:r w:rsidRPr="00001F7B">
        <w:rPr>
          <w:rFonts w:cstheme="minorHAnsi"/>
        </w:rPr>
        <w:t>n. 8</w:t>
      </w:r>
      <w:r w:rsidR="004F7A77" w:rsidRPr="00001F7B">
        <w:rPr>
          <w:rFonts w:cstheme="minorHAnsi"/>
        </w:rPr>
        <w:t xml:space="preserve">, </w:t>
      </w:r>
      <w:r w:rsidRPr="00001F7B">
        <w:rPr>
          <w:rFonts w:cstheme="minorHAnsi"/>
        </w:rPr>
        <w:t>at p</w:t>
      </w:r>
      <w:r w:rsidR="004F7A77" w:rsidRPr="00001F7B">
        <w:rPr>
          <w:rFonts w:cstheme="minorHAnsi"/>
        </w:rPr>
        <w:t xml:space="preserve"> </w:t>
      </w:r>
      <w:r w:rsidRPr="00001F7B">
        <w:rPr>
          <w:rFonts w:cstheme="minorHAnsi"/>
        </w:rPr>
        <w:t xml:space="preserve">148 says “Where a term in an international convention can be construed in more than one way, the requirement of a uniform interpretation therefore becomes a ‘positive’ obligation to consider the use of certain interpretative devices that are not generally available to a court when it applies domestic law.”  He draws in foreign decisions, international scholarship and </w:t>
      </w:r>
      <w:bookmarkStart w:id="3" w:name="_Hlk112851024"/>
      <w:r w:rsidRPr="00001F7B">
        <w:rPr>
          <w:rFonts w:cstheme="minorHAnsi"/>
          <w:i/>
          <w:iCs/>
        </w:rPr>
        <w:t xml:space="preserve">travaux </w:t>
      </w:r>
      <w:proofErr w:type="spellStart"/>
      <w:r w:rsidRPr="00001F7B">
        <w:rPr>
          <w:rFonts w:cstheme="minorHAnsi"/>
          <w:i/>
          <w:iCs/>
        </w:rPr>
        <w:t>préparatoires</w:t>
      </w:r>
      <w:bookmarkEnd w:id="3"/>
      <w:proofErr w:type="spellEnd"/>
      <w:r w:rsidRPr="00001F7B">
        <w:rPr>
          <w:rFonts w:cstheme="minorHAnsi"/>
          <w:i/>
          <w:iCs/>
        </w:rPr>
        <w:t>.</w:t>
      </w:r>
      <w:r w:rsidR="008A3EF0" w:rsidRPr="00001F7B">
        <w:rPr>
          <w:rFonts w:cstheme="minorHAnsi"/>
        </w:rPr>
        <w:t xml:space="preserve"> He adds that </w:t>
      </w:r>
      <w:r w:rsidR="001B3A5A" w:rsidRPr="00001F7B">
        <w:rPr>
          <w:rFonts w:cstheme="minorHAnsi"/>
        </w:rPr>
        <w:t>reference to all of</w:t>
      </w:r>
      <w:r w:rsidR="00465E41" w:rsidRPr="00001F7B">
        <w:rPr>
          <w:rFonts w:cstheme="minorHAnsi"/>
        </w:rPr>
        <w:t xml:space="preserve"> these </w:t>
      </w:r>
      <w:r w:rsidR="001B3A5A" w:rsidRPr="00001F7B">
        <w:rPr>
          <w:rFonts w:cstheme="minorHAnsi"/>
        </w:rPr>
        <w:t>seem to be required by a standard uniform interpretation clause, if not</w:t>
      </w:r>
    </w:p>
    <w:p w14:paraId="013C42A3" w14:textId="38A09129" w:rsidR="00932840" w:rsidRPr="00001F7B" w:rsidRDefault="001B3A5A" w:rsidP="001B3A5A">
      <w:pPr>
        <w:pStyle w:val="FootnoteText"/>
        <w:rPr>
          <w:rFonts w:cstheme="minorHAnsi"/>
        </w:rPr>
      </w:pPr>
      <w:r w:rsidRPr="00001F7B">
        <w:rPr>
          <w:rFonts w:cstheme="minorHAnsi"/>
        </w:rPr>
        <w:t>by customary international law</w:t>
      </w:r>
      <w:r w:rsidR="00467715" w:rsidRPr="00001F7B">
        <w:rPr>
          <w:rFonts w:cstheme="minorHAnsi"/>
        </w:rPr>
        <w:t>.</w:t>
      </w:r>
      <w:r w:rsidR="005E6F85" w:rsidRPr="00001F7B">
        <w:rPr>
          <w:rFonts w:cstheme="minorHAnsi"/>
        </w:rPr>
        <w:t xml:space="preserve"> </w:t>
      </w:r>
    </w:p>
  </w:footnote>
  <w:footnote w:id="24">
    <w:p w14:paraId="55277340" w14:textId="3CCC37C5" w:rsidR="00935983" w:rsidRPr="00001F7B" w:rsidRDefault="00935983">
      <w:pPr>
        <w:pStyle w:val="FootnoteText"/>
        <w:rPr>
          <w:rFonts w:cstheme="minorHAnsi"/>
        </w:rPr>
      </w:pPr>
      <w:r w:rsidRPr="00001F7B">
        <w:rPr>
          <w:rStyle w:val="FootnoteReference"/>
          <w:rFonts w:cstheme="minorHAnsi"/>
        </w:rPr>
        <w:footnoteRef/>
      </w:r>
      <w:r w:rsidRPr="00001F7B">
        <w:rPr>
          <w:rFonts w:cstheme="minorHAnsi"/>
        </w:rPr>
        <w:t xml:space="preserve"> </w:t>
      </w:r>
      <w:r w:rsidR="005D2876" w:rsidRPr="00001F7B">
        <w:rPr>
          <w:rFonts w:cstheme="minorHAnsi"/>
        </w:rPr>
        <w:t>A</w:t>
      </w:r>
      <w:r w:rsidR="003C39ED" w:rsidRPr="00001F7B">
        <w:rPr>
          <w:rFonts w:cstheme="minorHAnsi"/>
        </w:rPr>
        <w:t xml:space="preserve">bove, </w:t>
      </w:r>
      <w:proofErr w:type="spellStart"/>
      <w:r w:rsidR="003C39ED" w:rsidRPr="00001F7B">
        <w:rPr>
          <w:rFonts w:cstheme="minorHAnsi"/>
        </w:rPr>
        <w:t>fn</w:t>
      </w:r>
      <w:proofErr w:type="spellEnd"/>
      <w:r w:rsidR="003C39ED" w:rsidRPr="00001F7B">
        <w:rPr>
          <w:rFonts w:cstheme="minorHAnsi"/>
        </w:rPr>
        <w:t xml:space="preserve"> </w:t>
      </w:r>
      <w:r w:rsidR="005D2876" w:rsidRPr="00001F7B">
        <w:rPr>
          <w:rFonts w:cstheme="minorHAnsi"/>
        </w:rPr>
        <w:t>4</w:t>
      </w:r>
      <w:r w:rsidR="003C39ED" w:rsidRPr="00001F7B">
        <w:rPr>
          <w:rFonts w:cstheme="minorHAnsi"/>
        </w:rPr>
        <w:t xml:space="preserve">, </w:t>
      </w:r>
      <w:r w:rsidR="005D2876" w:rsidRPr="00001F7B">
        <w:rPr>
          <w:rFonts w:cstheme="minorHAnsi"/>
        </w:rPr>
        <w:t xml:space="preserve">in CMR, </w:t>
      </w:r>
      <w:r w:rsidR="003C39ED" w:rsidRPr="00001F7B">
        <w:rPr>
          <w:rFonts w:cstheme="minorHAnsi"/>
        </w:rPr>
        <w:t xml:space="preserve">p </w:t>
      </w:r>
      <w:r w:rsidR="004F7A77" w:rsidRPr="00001F7B">
        <w:rPr>
          <w:rFonts w:cstheme="minorHAnsi"/>
        </w:rPr>
        <w:t xml:space="preserve">11, </w:t>
      </w:r>
      <w:r w:rsidR="003C39ED" w:rsidRPr="00001F7B">
        <w:rPr>
          <w:rFonts w:cstheme="minorHAnsi"/>
        </w:rPr>
        <w:t xml:space="preserve">and in </w:t>
      </w:r>
      <w:r w:rsidRPr="00001F7B">
        <w:rPr>
          <w:rFonts w:cstheme="minorHAnsi"/>
        </w:rPr>
        <w:t>International</w:t>
      </w:r>
      <w:r w:rsidR="00AF420F" w:rsidRPr="00001F7B">
        <w:rPr>
          <w:rFonts w:cstheme="minorHAnsi"/>
        </w:rPr>
        <w:t>,</w:t>
      </w:r>
      <w:r w:rsidRPr="00001F7B">
        <w:rPr>
          <w:rFonts w:cstheme="minorHAnsi"/>
        </w:rPr>
        <w:t xml:space="preserve"> </w:t>
      </w:r>
      <w:r w:rsidR="00AA6050" w:rsidRPr="00001F7B">
        <w:rPr>
          <w:rFonts w:cstheme="minorHAnsi"/>
        </w:rPr>
        <w:t xml:space="preserve">p 225. In respect of the </w:t>
      </w:r>
      <w:r w:rsidR="00AF420F" w:rsidRPr="00001F7B">
        <w:rPr>
          <w:rFonts w:cstheme="minorHAnsi"/>
        </w:rPr>
        <w:t>directive</w:t>
      </w:r>
      <w:r w:rsidR="00AA6050" w:rsidRPr="00001F7B">
        <w:rPr>
          <w:rFonts w:cstheme="minorHAnsi"/>
        </w:rPr>
        <w:t xml:space="preserve"> </w:t>
      </w:r>
      <w:r w:rsidR="003C39ED" w:rsidRPr="00001F7B">
        <w:rPr>
          <w:rFonts w:cstheme="minorHAnsi"/>
        </w:rPr>
        <w:t>aspect,</w:t>
      </w:r>
      <w:r w:rsidR="00AA6050" w:rsidRPr="00001F7B">
        <w:rPr>
          <w:rFonts w:cstheme="minorHAnsi"/>
        </w:rPr>
        <w:t xml:space="preserve"> he considers that a method of interpretation should be employed that, in conformity with the nature of uniform law, is directed towards fulfilling and furthering the principles underlying the convention.</w:t>
      </w:r>
    </w:p>
  </w:footnote>
  <w:footnote w:id="25">
    <w:p w14:paraId="23003126" w14:textId="01846486" w:rsidR="00284BAD" w:rsidRPr="00001F7B" w:rsidRDefault="00284BAD">
      <w:pPr>
        <w:pStyle w:val="FootnoteText"/>
        <w:rPr>
          <w:rFonts w:cstheme="minorHAnsi"/>
        </w:rPr>
      </w:pPr>
      <w:r w:rsidRPr="00001F7B">
        <w:rPr>
          <w:rStyle w:val="FootnoteReference"/>
          <w:rFonts w:cstheme="minorHAnsi"/>
        </w:rPr>
        <w:footnoteRef/>
      </w:r>
      <w:r w:rsidRPr="00001F7B">
        <w:rPr>
          <w:rFonts w:cstheme="minorHAnsi"/>
        </w:rPr>
        <w:t xml:space="preserve"> </w:t>
      </w:r>
      <w:r w:rsidR="00DC54D8" w:rsidRPr="00001F7B">
        <w:rPr>
          <w:rFonts w:cstheme="minorHAnsi"/>
        </w:rPr>
        <w:t xml:space="preserve">Above, </w:t>
      </w:r>
      <w:proofErr w:type="spellStart"/>
      <w:r w:rsidR="00DC54D8" w:rsidRPr="00001F7B">
        <w:rPr>
          <w:rFonts w:cstheme="minorHAnsi"/>
        </w:rPr>
        <w:t>fn</w:t>
      </w:r>
      <w:proofErr w:type="spellEnd"/>
      <w:r w:rsidR="00DC54D8" w:rsidRPr="00001F7B">
        <w:rPr>
          <w:rFonts w:cstheme="minorHAnsi"/>
        </w:rPr>
        <w:t xml:space="preserve"> </w:t>
      </w:r>
      <w:r w:rsidR="005D2876" w:rsidRPr="00001F7B">
        <w:rPr>
          <w:rFonts w:cstheme="minorHAnsi"/>
        </w:rPr>
        <w:t>1</w:t>
      </w:r>
      <w:r w:rsidR="00DC54D8" w:rsidRPr="00001F7B">
        <w:rPr>
          <w:rFonts w:cstheme="minorHAnsi"/>
        </w:rPr>
        <w:t xml:space="preserve">, </w:t>
      </w:r>
      <w:r w:rsidRPr="00001F7B">
        <w:rPr>
          <w:rFonts w:cstheme="minorHAnsi"/>
        </w:rPr>
        <w:t>p 704.</w:t>
      </w:r>
    </w:p>
  </w:footnote>
  <w:footnote w:id="26">
    <w:p w14:paraId="6E29202B" w14:textId="4527D75F" w:rsidR="00F13409" w:rsidRPr="00001F7B" w:rsidRDefault="00F13409">
      <w:pPr>
        <w:pStyle w:val="FootnoteText"/>
        <w:rPr>
          <w:rFonts w:cstheme="minorHAnsi"/>
        </w:rPr>
      </w:pPr>
      <w:r w:rsidRPr="00001F7B">
        <w:rPr>
          <w:rStyle w:val="FootnoteReference"/>
          <w:rFonts w:cstheme="minorHAnsi"/>
        </w:rPr>
        <w:footnoteRef/>
      </w:r>
      <w:r w:rsidRPr="00001F7B">
        <w:rPr>
          <w:rFonts w:cstheme="minorHAnsi"/>
        </w:rPr>
        <w:t xml:space="preserve"> </w:t>
      </w:r>
      <w:r w:rsidR="005D2876" w:rsidRPr="00001F7B">
        <w:rPr>
          <w:rFonts w:cstheme="minorHAnsi"/>
        </w:rPr>
        <w:t xml:space="preserve">Whether this is the case depends upon which provision of the Vienna Rules applies, see </w:t>
      </w:r>
      <w:r w:rsidRPr="00001F7B">
        <w:rPr>
          <w:rFonts w:cstheme="minorHAnsi"/>
        </w:rPr>
        <w:t>below</w:t>
      </w:r>
      <w:r w:rsidR="00A276B5" w:rsidRPr="00001F7B">
        <w:rPr>
          <w:rFonts w:cstheme="minorHAnsi"/>
        </w:rPr>
        <w:t xml:space="preserve"> </w:t>
      </w:r>
      <w:r w:rsidR="00A276B5" w:rsidRPr="00001F7B">
        <w:rPr>
          <w:rFonts w:cstheme="minorHAnsi"/>
          <w:b/>
          <w:bCs/>
        </w:rPr>
        <w:t>3 2 1 3</w:t>
      </w:r>
      <w:r w:rsidR="00A276B5" w:rsidRPr="00001F7B">
        <w:rPr>
          <w:rFonts w:cstheme="minorHAnsi"/>
        </w:rPr>
        <w:t>.</w:t>
      </w:r>
    </w:p>
  </w:footnote>
  <w:footnote w:id="27">
    <w:p w14:paraId="7CA4042E" w14:textId="45907DBA" w:rsidR="00654ACF" w:rsidRPr="00001F7B" w:rsidRDefault="00654ACF" w:rsidP="00654ACF">
      <w:pPr>
        <w:pStyle w:val="FootnoteText"/>
        <w:rPr>
          <w:rFonts w:cstheme="minorHAnsi"/>
          <w:lang w:val="de-DE"/>
        </w:rPr>
      </w:pPr>
      <w:r w:rsidRPr="00001F7B">
        <w:rPr>
          <w:rStyle w:val="FootnoteReference"/>
          <w:rFonts w:cstheme="minorHAnsi"/>
        </w:rPr>
        <w:footnoteRef/>
      </w:r>
      <w:r w:rsidRPr="00001F7B">
        <w:rPr>
          <w:rFonts w:cstheme="minorHAnsi"/>
          <w:lang w:val="de-DE"/>
        </w:rPr>
        <w:t xml:space="preserve"> Gebauer, </w:t>
      </w:r>
      <w:proofErr w:type="spellStart"/>
      <w:r w:rsidR="00DC54D8" w:rsidRPr="00001F7B">
        <w:rPr>
          <w:rFonts w:cstheme="minorHAnsi"/>
          <w:lang w:val="de-DE"/>
        </w:rPr>
        <w:t>above</w:t>
      </w:r>
      <w:proofErr w:type="spellEnd"/>
      <w:r w:rsidR="00DC54D8" w:rsidRPr="00001F7B">
        <w:rPr>
          <w:rFonts w:cstheme="minorHAnsi"/>
          <w:lang w:val="de-DE"/>
        </w:rPr>
        <w:t xml:space="preserve">, </w:t>
      </w:r>
      <w:proofErr w:type="spellStart"/>
      <w:r w:rsidR="00DC54D8" w:rsidRPr="00001F7B">
        <w:rPr>
          <w:rFonts w:cstheme="minorHAnsi"/>
          <w:lang w:val="de-DE"/>
        </w:rPr>
        <w:t>f</w:t>
      </w:r>
      <w:r w:rsidRPr="00001F7B">
        <w:rPr>
          <w:rFonts w:cstheme="minorHAnsi"/>
          <w:lang w:val="de-DE"/>
        </w:rPr>
        <w:t>n</w:t>
      </w:r>
      <w:proofErr w:type="spellEnd"/>
      <w:r w:rsidR="003A7BF8" w:rsidRPr="00001F7B">
        <w:rPr>
          <w:rFonts w:cstheme="minorHAnsi"/>
          <w:lang w:val="de-DE"/>
        </w:rPr>
        <w:t xml:space="preserve"> </w:t>
      </w:r>
      <w:r w:rsidRPr="00001F7B">
        <w:rPr>
          <w:rFonts w:cstheme="minorHAnsi"/>
          <w:lang w:val="de-DE"/>
        </w:rPr>
        <w:t>1, p</w:t>
      </w:r>
      <w:r w:rsidR="00BE7692" w:rsidRPr="00001F7B">
        <w:rPr>
          <w:rFonts w:cstheme="minorHAnsi"/>
          <w:lang w:val="de-DE"/>
        </w:rPr>
        <w:t xml:space="preserve"> </w:t>
      </w:r>
      <w:r w:rsidRPr="00001F7B">
        <w:rPr>
          <w:rFonts w:cstheme="minorHAnsi"/>
          <w:lang w:val="de-DE"/>
        </w:rPr>
        <w:t xml:space="preserve">692, </w:t>
      </w:r>
      <w:proofErr w:type="spellStart"/>
      <w:r w:rsidRPr="00001F7B">
        <w:rPr>
          <w:rFonts w:cstheme="minorHAnsi"/>
          <w:lang w:val="de-DE"/>
        </w:rPr>
        <w:t>citing</w:t>
      </w:r>
      <w:proofErr w:type="spellEnd"/>
      <w:r w:rsidRPr="00001F7B">
        <w:rPr>
          <w:rFonts w:cstheme="minorHAnsi"/>
          <w:lang w:val="de-DE"/>
        </w:rPr>
        <w:t xml:space="preserve"> Kropholler, </w:t>
      </w:r>
      <w:r w:rsidRPr="00001F7B">
        <w:rPr>
          <w:rFonts w:cstheme="minorHAnsi"/>
          <w:i/>
          <w:iCs/>
          <w:lang w:val="de-DE"/>
        </w:rPr>
        <w:t>Internationales Einheitsrecht</w:t>
      </w:r>
      <w:r w:rsidRPr="00001F7B">
        <w:rPr>
          <w:rFonts w:cstheme="minorHAnsi"/>
          <w:lang w:val="de-DE"/>
        </w:rPr>
        <w:t xml:space="preserve">, 1975, p.281 and Canaris, ‘Die Bedeutung allgemeiner </w:t>
      </w:r>
      <w:proofErr w:type="spellStart"/>
      <w:r w:rsidRPr="00001F7B">
        <w:rPr>
          <w:rFonts w:cstheme="minorHAnsi"/>
          <w:lang w:val="de-DE"/>
        </w:rPr>
        <w:t>Auslegungs</w:t>
      </w:r>
      <w:proofErr w:type="spellEnd"/>
      <w:r w:rsidRPr="00001F7B">
        <w:rPr>
          <w:rFonts w:cstheme="minorHAnsi"/>
          <w:lang w:val="de-DE"/>
        </w:rPr>
        <w:t xml:space="preserve"> und Rechtsfortbildungskriterien im Wechselrecht‘, 1987 Juristenzeitung 543, 549, and </w:t>
      </w:r>
      <w:proofErr w:type="spellStart"/>
      <w:r w:rsidRPr="00001F7B">
        <w:rPr>
          <w:rFonts w:cstheme="minorHAnsi"/>
          <w:lang w:val="de-DE"/>
        </w:rPr>
        <w:t>continuing</w:t>
      </w:r>
      <w:proofErr w:type="spellEnd"/>
      <w:r w:rsidRPr="00001F7B">
        <w:rPr>
          <w:rFonts w:cstheme="minorHAnsi"/>
          <w:lang w:val="de-DE"/>
        </w:rPr>
        <w:t>: ”</w:t>
      </w:r>
      <w:proofErr w:type="spellStart"/>
      <w:r w:rsidRPr="00001F7B">
        <w:rPr>
          <w:rFonts w:cstheme="minorHAnsi"/>
          <w:lang w:val="de-DE"/>
        </w:rPr>
        <w:t>If</w:t>
      </w:r>
      <w:proofErr w:type="spellEnd"/>
      <w:r w:rsidRPr="00001F7B">
        <w:rPr>
          <w:rFonts w:cstheme="minorHAnsi"/>
          <w:lang w:val="de-DE"/>
        </w:rPr>
        <w:t xml:space="preserve"> a </w:t>
      </w:r>
      <w:proofErr w:type="spellStart"/>
      <w:r w:rsidRPr="00001F7B">
        <w:rPr>
          <w:rFonts w:cstheme="minorHAnsi"/>
          <w:lang w:val="de-DE"/>
        </w:rPr>
        <w:t>certain</w:t>
      </w:r>
      <w:proofErr w:type="spellEnd"/>
      <w:r w:rsidRPr="00001F7B">
        <w:rPr>
          <w:rFonts w:cstheme="minorHAnsi"/>
          <w:lang w:val="de-DE"/>
        </w:rPr>
        <w:t xml:space="preserve"> interpretative </w:t>
      </w:r>
      <w:proofErr w:type="spellStart"/>
      <w:r w:rsidRPr="00001F7B">
        <w:rPr>
          <w:rFonts w:cstheme="minorHAnsi"/>
          <w:lang w:val="de-DE"/>
        </w:rPr>
        <w:t>solution</w:t>
      </w:r>
      <w:proofErr w:type="spellEnd"/>
      <w:r w:rsidRPr="00001F7B">
        <w:rPr>
          <w:rFonts w:cstheme="minorHAnsi"/>
          <w:lang w:val="de-DE"/>
        </w:rPr>
        <w:t xml:space="preserve"> and </w:t>
      </w:r>
      <w:proofErr w:type="spellStart"/>
      <w:r w:rsidRPr="00001F7B">
        <w:rPr>
          <w:rFonts w:cstheme="minorHAnsi"/>
          <w:lang w:val="de-DE"/>
        </w:rPr>
        <w:t>its</w:t>
      </w:r>
      <w:proofErr w:type="spellEnd"/>
      <w:r w:rsidRPr="00001F7B">
        <w:rPr>
          <w:rFonts w:cstheme="minorHAnsi"/>
          <w:lang w:val="de-DE"/>
        </w:rPr>
        <w:t xml:space="preserve"> </w:t>
      </w:r>
      <w:proofErr w:type="spellStart"/>
      <w:r w:rsidRPr="00001F7B">
        <w:rPr>
          <w:rFonts w:cstheme="minorHAnsi"/>
          <w:lang w:val="de-DE"/>
        </w:rPr>
        <w:t>inherent</w:t>
      </w:r>
      <w:proofErr w:type="spellEnd"/>
      <w:r w:rsidRPr="00001F7B">
        <w:rPr>
          <w:rFonts w:cstheme="minorHAnsi"/>
          <w:lang w:val="de-DE"/>
        </w:rPr>
        <w:t xml:space="preserve"> </w:t>
      </w:r>
      <w:proofErr w:type="spellStart"/>
      <w:r w:rsidRPr="00001F7B">
        <w:rPr>
          <w:rFonts w:cstheme="minorHAnsi"/>
          <w:lang w:val="de-DE"/>
        </w:rPr>
        <w:t>choice</w:t>
      </w:r>
      <w:proofErr w:type="spellEnd"/>
      <w:r w:rsidRPr="00001F7B">
        <w:rPr>
          <w:rFonts w:cstheme="minorHAnsi"/>
          <w:lang w:val="de-DE"/>
        </w:rPr>
        <w:t xml:space="preserve"> </w:t>
      </w:r>
      <w:proofErr w:type="spellStart"/>
      <w:r w:rsidRPr="00001F7B">
        <w:rPr>
          <w:rFonts w:cstheme="minorHAnsi"/>
          <w:lang w:val="de-DE"/>
        </w:rPr>
        <w:t>are</w:t>
      </w:r>
      <w:proofErr w:type="spellEnd"/>
      <w:r w:rsidRPr="00001F7B">
        <w:rPr>
          <w:rFonts w:cstheme="minorHAnsi"/>
          <w:lang w:val="de-DE"/>
        </w:rPr>
        <w:t xml:space="preserve"> </w:t>
      </w:r>
      <w:proofErr w:type="spellStart"/>
      <w:r w:rsidRPr="00001F7B">
        <w:rPr>
          <w:rFonts w:cstheme="minorHAnsi"/>
          <w:lang w:val="de-DE"/>
        </w:rPr>
        <w:t>convincingly</w:t>
      </w:r>
      <w:proofErr w:type="spellEnd"/>
    </w:p>
    <w:p w14:paraId="42969866" w14:textId="053AD571" w:rsidR="00654ACF" w:rsidRPr="00001F7B" w:rsidRDefault="00654ACF" w:rsidP="00654ACF">
      <w:pPr>
        <w:pStyle w:val="FootnoteText"/>
        <w:rPr>
          <w:rFonts w:cstheme="minorHAnsi"/>
        </w:rPr>
      </w:pPr>
      <w:r w:rsidRPr="00001F7B">
        <w:rPr>
          <w:rFonts w:cstheme="minorHAnsi"/>
        </w:rPr>
        <w:t>argued, the solution appears to be the right one. When uniform law is interpreted autonomously, the justification of a certain interpretative result is based on arguments that consider both the (independent) purposes of the Convention and the need to find solutions acceptable to the other Contracting States. An interpretation of uniform law that contrasts with the aims of autonomous interpretation or cannot be justified in its interpretative choice for other reasons, is not convincing.</w:t>
      </w:r>
      <w:r w:rsidR="00BE7692" w:rsidRPr="00001F7B">
        <w:rPr>
          <w:rFonts w:cstheme="minorHAnsi"/>
        </w:rPr>
        <w:t>”</w:t>
      </w:r>
    </w:p>
  </w:footnote>
  <w:footnote w:id="28">
    <w:p w14:paraId="7E7A7C90" w14:textId="00199B97" w:rsidR="00B578E4" w:rsidRPr="00001F7B" w:rsidRDefault="00B578E4">
      <w:pPr>
        <w:pStyle w:val="FootnoteText"/>
        <w:rPr>
          <w:rFonts w:cstheme="minorHAnsi"/>
        </w:rPr>
      </w:pPr>
      <w:r w:rsidRPr="00001F7B">
        <w:rPr>
          <w:rStyle w:val="FootnoteReference"/>
          <w:rFonts w:cstheme="minorHAnsi"/>
        </w:rPr>
        <w:footnoteRef/>
      </w:r>
      <w:r w:rsidRPr="00001F7B">
        <w:rPr>
          <w:rFonts w:cstheme="minorHAnsi"/>
        </w:rPr>
        <w:t xml:space="preserve"> </w:t>
      </w:r>
      <w:r w:rsidR="00BE7692" w:rsidRPr="00001F7B">
        <w:rPr>
          <w:rFonts w:cstheme="minorHAnsi"/>
          <w:i/>
          <w:iCs/>
        </w:rPr>
        <w:t xml:space="preserve">Op </w:t>
      </w:r>
      <w:proofErr w:type="spellStart"/>
      <w:r w:rsidR="00BE7692" w:rsidRPr="00001F7B">
        <w:rPr>
          <w:rFonts w:cstheme="minorHAnsi"/>
          <w:i/>
          <w:iCs/>
        </w:rPr>
        <w:t>cit</w:t>
      </w:r>
      <w:proofErr w:type="spellEnd"/>
      <w:r w:rsidR="00BE7692" w:rsidRPr="00001F7B">
        <w:rPr>
          <w:rFonts w:cstheme="minorHAnsi"/>
        </w:rPr>
        <w:t>,</w:t>
      </w:r>
      <w:r w:rsidR="00F6254C" w:rsidRPr="00001F7B">
        <w:rPr>
          <w:rFonts w:cstheme="minorHAnsi"/>
        </w:rPr>
        <w:t xml:space="preserve"> </w:t>
      </w:r>
      <w:r w:rsidRPr="00001F7B">
        <w:rPr>
          <w:rFonts w:cstheme="minorHAnsi"/>
        </w:rPr>
        <w:t>at p</w:t>
      </w:r>
      <w:r w:rsidR="00BE7692" w:rsidRPr="00001F7B">
        <w:rPr>
          <w:rFonts w:cstheme="minorHAnsi"/>
        </w:rPr>
        <w:t xml:space="preserve"> </w:t>
      </w:r>
      <w:r w:rsidRPr="00001F7B">
        <w:rPr>
          <w:rFonts w:cstheme="minorHAnsi"/>
        </w:rPr>
        <w:t>687.</w:t>
      </w:r>
    </w:p>
  </w:footnote>
  <w:footnote w:id="29">
    <w:p w14:paraId="2CCAB3FB" w14:textId="56BCE5B0" w:rsidR="00612AB6" w:rsidRPr="00001F7B" w:rsidRDefault="00612AB6" w:rsidP="00F6254C">
      <w:pPr>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r w:rsidR="00F6254C" w:rsidRPr="00001F7B">
        <w:rPr>
          <w:rFonts w:cstheme="minorHAnsi"/>
          <w:sz w:val="20"/>
          <w:szCs w:val="20"/>
        </w:rPr>
        <w:t xml:space="preserve">Above </w:t>
      </w:r>
      <w:proofErr w:type="spellStart"/>
      <w:r w:rsidR="00F6254C" w:rsidRPr="00001F7B">
        <w:rPr>
          <w:rFonts w:cstheme="minorHAnsi"/>
          <w:sz w:val="20"/>
          <w:szCs w:val="20"/>
        </w:rPr>
        <w:t>f</w:t>
      </w:r>
      <w:r w:rsidR="00F533D4" w:rsidRPr="00001F7B">
        <w:rPr>
          <w:rFonts w:cstheme="minorHAnsi"/>
          <w:sz w:val="20"/>
          <w:szCs w:val="20"/>
        </w:rPr>
        <w:t>n</w:t>
      </w:r>
      <w:proofErr w:type="spellEnd"/>
      <w:r w:rsidR="00F6254C" w:rsidRPr="00001F7B">
        <w:rPr>
          <w:rFonts w:cstheme="minorHAnsi"/>
          <w:sz w:val="20"/>
          <w:szCs w:val="20"/>
        </w:rPr>
        <w:t xml:space="preserve"> 4,</w:t>
      </w:r>
      <w:r w:rsidR="00F533D4" w:rsidRPr="00001F7B">
        <w:rPr>
          <w:rFonts w:cstheme="minorHAnsi"/>
          <w:sz w:val="20"/>
          <w:szCs w:val="20"/>
        </w:rPr>
        <w:t xml:space="preserve"> </w:t>
      </w:r>
      <w:r w:rsidR="00F6254C" w:rsidRPr="00001F7B">
        <w:rPr>
          <w:rFonts w:cstheme="minorHAnsi"/>
          <w:sz w:val="20"/>
          <w:szCs w:val="20"/>
        </w:rPr>
        <w:t xml:space="preserve">in </w:t>
      </w:r>
      <w:r w:rsidR="00F533D4" w:rsidRPr="00001F7B">
        <w:rPr>
          <w:rFonts w:cstheme="minorHAnsi"/>
          <w:sz w:val="20"/>
          <w:szCs w:val="20"/>
        </w:rPr>
        <w:t xml:space="preserve">his book </w:t>
      </w:r>
      <w:r w:rsidR="00BE7692" w:rsidRPr="00001F7B">
        <w:rPr>
          <w:rFonts w:cstheme="minorHAnsi"/>
          <w:sz w:val="20"/>
          <w:szCs w:val="20"/>
        </w:rPr>
        <w:t>o</w:t>
      </w:r>
      <w:r w:rsidR="002D7BFD" w:rsidRPr="00001F7B">
        <w:rPr>
          <w:rFonts w:cstheme="minorHAnsi"/>
          <w:sz w:val="20"/>
          <w:szCs w:val="20"/>
        </w:rPr>
        <w:t>n CMR</w:t>
      </w:r>
      <w:r w:rsidR="00F6254C" w:rsidRPr="00001F7B">
        <w:rPr>
          <w:rFonts w:cstheme="minorHAnsi"/>
          <w:sz w:val="20"/>
          <w:szCs w:val="20"/>
        </w:rPr>
        <w:t xml:space="preserve">, </w:t>
      </w:r>
      <w:r w:rsidR="002D7BFD" w:rsidRPr="00001F7B">
        <w:rPr>
          <w:rFonts w:cstheme="minorHAnsi"/>
          <w:sz w:val="20"/>
          <w:szCs w:val="20"/>
        </w:rPr>
        <w:t xml:space="preserve">p 17 and </w:t>
      </w:r>
      <w:r w:rsidR="00BE7692" w:rsidRPr="00001F7B">
        <w:rPr>
          <w:rFonts w:cstheme="minorHAnsi"/>
          <w:sz w:val="20"/>
          <w:szCs w:val="20"/>
        </w:rPr>
        <w:t>o</w:t>
      </w:r>
      <w:r w:rsidR="002D7BFD" w:rsidRPr="00001F7B">
        <w:rPr>
          <w:rFonts w:cstheme="minorHAnsi"/>
          <w:sz w:val="20"/>
          <w:szCs w:val="20"/>
        </w:rPr>
        <w:t xml:space="preserve">n Interpretation, above, </w:t>
      </w:r>
      <w:r w:rsidR="00F6254C" w:rsidRPr="00001F7B">
        <w:rPr>
          <w:rFonts w:cstheme="minorHAnsi"/>
          <w:sz w:val="20"/>
          <w:szCs w:val="20"/>
        </w:rPr>
        <w:t xml:space="preserve">p </w:t>
      </w:r>
      <w:r w:rsidR="002D7BFD" w:rsidRPr="00001F7B">
        <w:rPr>
          <w:rFonts w:cstheme="minorHAnsi"/>
          <w:sz w:val="20"/>
          <w:szCs w:val="20"/>
        </w:rPr>
        <w:t xml:space="preserve">228, </w:t>
      </w:r>
      <w:r w:rsidR="00E24F06" w:rsidRPr="00001F7B">
        <w:rPr>
          <w:rFonts w:cstheme="minorHAnsi"/>
          <w:sz w:val="20"/>
          <w:szCs w:val="20"/>
        </w:rPr>
        <w:t xml:space="preserve"> </w:t>
      </w:r>
      <w:r w:rsidR="00F6254C" w:rsidRPr="00001F7B">
        <w:rPr>
          <w:rFonts w:cstheme="minorHAnsi"/>
          <w:sz w:val="20"/>
          <w:szCs w:val="20"/>
        </w:rPr>
        <w:t>H</w:t>
      </w:r>
      <w:r w:rsidR="00E24F06" w:rsidRPr="00001F7B">
        <w:rPr>
          <w:rFonts w:cstheme="minorHAnsi"/>
          <w:sz w:val="20"/>
          <w:szCs w:val="20"/>
        </w:rPr>
        <w:t>e sees interpretative methods as the grammatical, the systematic or the historica</w:t>
      </w:r>
      <w:r w:rsidR="00F77A39" w:rsidRPr="00001F7B">
        <w:rPr>
          <w:rFonts w:cstheme="minorHAnsi"/>
          <w:sz w:val="20"/>
          <w:szCs w:val="20"/>
        </w:rPr>
        <w:t>l</w:t>
      </w:r>
      <w:r w:rsidR="00E24F06" w:rsidRPr="00001F7B">
        <w:rPr>
          <w:rFonts w:cstheme="minorHAnsi"/>
          <w:sz w:val="20"/>
          <w:szCs w:val="20"/>
        </w:rPr>
        <w:t xml:space="preserve">. </w:t>
      </w:r>
      <w:r w:rsidR="00F533D4" w:rsidRPr="00001F7B">
        <w:rPr>
          <w:rFonts w:cstheme="minorHAnsi"/>
          <w:sz w:val="20"/>
          <w:szCs w:val="20"/>
        </w:rPr>
        <w:t>T</w:t>
      </w:r>
      <w:r w:rsidR="00E24F06" w:rsidRPr="00001F7B">
        <w:rPr>
          <w:rFonts w:cstheme="minorHAnsi"/>
          <w:sz w:val="20"/>
          <w:szCs w:val="20"/>
        </w:rPr>
        <w:t xml:space="preserve">he teleological method has the function, in the area of uniform law, more clearly than in national law, of safeguarding interpretation in conformity with the purport and nature of the particular provisions concerned. </w:t>
      </w:r>
      <w:r w:rsidR="002D7BFD" w:rsidRPr="00001F7B">
        <w:rPr>
          <w:rFonts w:cstheme="minorHAnsi"/>
          <w:sz w:val="20"/>
          <w:szCs w:val="20"/>
        </w:rPr>
        <w:t xml:space="preserve">It compels </w:t>
      </w:r>
      <w:r w:rsidR="00DC54D8" w:rsidRPr="00001F7B">
        <w:rPr>
          <w:rFonts w:cstheme="minorHAnsi"/>
          <w:sz w:val="20"/>
          <w:szCs w:val="20"/>
        </w:rPr>
        <w:t>one to embark on a comparison of judicial decisions as well as legal litera</w:t>
      </w:r>
      <w:r w:rsidR="00E24F06" w:rsidRPr="00001F7B">
        <w:rPr>
          <w:rFonts w:cstheme="minorHAnsi"/>
          <w:sz w:val="20"/>
          <w:szCs w:val="20"/>
        </w:rPr>
        <w:t>t</w:t>
      </w:r>
      <w:r w:rsidR="00DC54D8" w:rsidRPr="00001F7B">
        <w:rPr>
          <w:rFonts w:cstheme="minorHAnsi"/>
          <w:sz w:val="20"/>
          <w:szCs w:val="20"/>
        </w:rPr>
        <w:t>ure</w:t>
      </w:r>
      <w:r w:rsidR="00E24F06" w:rsidRPr="00001F7B">
        <w:rPr>
          <w:rFonts w:cstheme="minorHAnsi"/>
          <w:sz w:val="20"/>
          <w:szCs w:val="20"/>
        </w:rPr>
        <w:t xml:space="preserve"> </w:t>
      </w:r>
      <w:r w:rsidR="00F6254C" w:rsidRPr="00001F7B">
        <w:rPr>
          <w:rFonts w:cstheme="minorHAnsi"/>
          <w:sz w:val="20"/>
          <w:szCs w:val="20"/>
        </w:rPr>
        <w:t xml:space="preserve">and </w:t>
      </w:r>
      <w:r w:rsidR="00E24F06" w:rsidRPr="00001F7B">
        <w:rPr>
          <w:rFonts w:cstheme="minorHAnsi"/>
          <w:sz w:val="20"/>
          <w:szCs w:val="20"/>
        </w:rPr>
        <w:t>controls whether the interpretation arrived at by means of the first three methods is in conformity with the aims of the subject-matter concerned</w:t>
      </w:r>
      <w:r w:rsidR="00DC54D8" w:rsidRPr="00001F7B">
        <w:rPr>
          <w:rFonts w:cstheme="minorHAnsi"/>
          <w:sz w:val="20"/>
          <w:szCs w:val="20"/>
        </w:rPr>
        <w:t>.</w:t>
      </w:r>
    </w:p>
  </w:footnote>
  <w:footnote w:id="30">
    <w:p w14:paraId="49158C49" w14:textId="6793CE1E" w:rsidR="004D45AB" w:rsidRPr="00001F7B" w:rsidRDefault="004D45AB" w:rsidP="004D45AB">
      <w:pPr>
        <w:pStyle w:val="FootnoteText"/>
        <w:rPr>
          <w:rFonts w:cstheme="minorHAnsi"/>
        </w:rPr>
      </w:pPr>
      <w:r w:rsidRPr="00001F7B">
        <w:rPr>
          <w:rStyle w:val="FootnoteReference"/>
          <w:rFonts w:cstheme="minorHAnsi"/>
        </w:rPr>
        <w:footnoteRef/>
      </w:r>
      <w:r w:rsidRPr="00001F7B">
        <w:rPr>
          <w:rFonts w:cstheme="minorHAnsi"/>
        </w:rPr>
        <w:t xml:space="preserve"> </w:t>
      </w:r>
      <w:r w:rsidR="00F90512" w:rsidRPr="00001F7B">
        <w:rPr>
          <w:rFonts w:cstheme="minorHAnsi"/>
        </w:rPr>
        <w:t xml:space="preserve">Above </w:t>
      </w:r>
      <w:proofErr w:type="spellStart"/>
      <w:r w:rsidR="00F90512" w:rsidRPr="00001F7B">
        <w:rPr>
          <w:rFonts w:cstheme="minorHAnsi"/>
        </w:rPr>
        <w:t>fn</w:t>
      </w:r>
      <w:proofErr w:type="spellEnd"/>
      <w:r w:rsidR="00F90512" w:rsidRPr="00001F7B">
        <w:rPr>
          <w:rFonts w:cstheme="minorHAnsi"/>
        </w:rPr>
        <w:t xml:space="preserve"> </w:t>
      </w:r>
      <w:r w:rsidR="00F6254C" w:rsidRPr="00001F7B">
        <w:rPr>
          <w:rFonts w:cstheme="minorHAnsi"/>
        </w:rPr>
        <w:t>7</w:t>
      </w:r>
      <w:r w:rsidR="00F90512" w:rsidRPr="00001F7B">
        <w:rPr>
          <w:rFonts w:cstheme="minorHAnsi"/>
        </w:rPr>
        <w:t>,</w:t>
      </w:r>
      <w:r w:rsidRPr="00001F7B">
        <w:rPr>
          <w:rFonts w:cstheme="minorHAnsi"/>
        </w:rPr>
        <w:t xml:space="preserve"> p 860</w:t>
      </w:r>
      <w:r w:rsidR="00017712" w:rsidRPr="00001F7B">
        <w:rPr>
          <w:rFonts w:cstheme="minorHAnsi"/>
        </w:rPr>
        <w:t>.</w:t>
      </w:r>
    </w:p>
  </w:footnote>
  <w:footnote w:id="31">
    <w:p w14:paraId="5AB3AAEE" w14:textId="14FAAECF" w:rsidR="004D45AB" w:rsidRPr="00001F7B" w:rsidRDefault="004D45AB" w:rsidP="004D45AB">
      <w:pPr>
        <w:pStyle w:val="FootnoteText"/>
        <w:rPr>
          <w:rFonts w:cstheme="minorHAnsi"/>
        </w:rPr>
      </w:pPr>
      <w:r w:rsidRPr="00001F7B">
        <w:rPr>
          <w:rStyle w:val="FootnoteReference"/>
          <w:rFonts w:cstheme="minorHAnsi"/>
        </w:rPr>
        <w:footnoteRef/>
      </w:r>
      <w:r w:rsidRPr="00001F7B">
        <w:rPr>
          <w:rFonts w:cstheme="minorHAnsi"/>
        </w:rPr>
        <w:t xml:space="preserve"> </w:t>
      </w:r>
      <w:r w:rsidR="00F90512" w:rsidRPr="00001F7B">
        <w:rPr>
          <w:rFonts w:cstheme="minorHAnsi"/>
        </w:rPr>
        <w:t>Citing</w:t>
      </w:r>
      <w:r w:rsidR="00C2151D" w:rsidRPr="00001F7B">
        <w:rPr>
          <w:rFonts w:cstheme="minorHAnsi"/>
        </w:rPr>
        <w:t xml:space="preserve"> and quoting</w:t>
      </w:r>
      <w:r w:rsidR="00F90512" w:rsidRPr="00001F7B">
        <w:rPr>
          <w:rFonts w:cstheme="minorHAnsi"/>
        </w:rPr>
        <w:t xml:space="preserve"> at p 861, Ago, ‘Report of the 726th meeting’ 19 May 1964, 1964 Yearbook of the ILC, 23 who </w:t>
      </w:r>
      <w:r w:rsidR="00F20083">
        <w:rPr>
          <w:rFonts w:cstheme="minorHAnsi"/>
        </w:rPr>
        <w:t>is said to say</w:t>
      </w:r>
      <w:r w:rsidR="00F90512" w:rsidRPr="00001F7B">
        <w:rPr>
          <w:rFonts w:cstheme="minorHAnsi"/>
        </w:rPr>
        <w:t xml:space="preserve"> that</w:t>
      </w:r>
      <w:r w:rsidR="00F20083">
        <w:rPr>
          <w:rFonts w:cstheme="minorHAnsi"/>
        </w:rPr>
        <w:t xml:space="preserve"> </w:t>
      </w:r>
      <w:r w:rsidR="00F90512" w:rsidRPr="00001F7B">
        <w:rPr>
          <w:rFonts w:cstheme="minorHAnsi"/>
        </w:rPr>
        <w:t>“...the VCLT rules of interpretation are meant to apply to all treaties, for the beneﬁt of the certainty of law</w:t>
      </w:r>
      <w:r w:rsidR="00C2151D" w:rsidRPr="00001F7B">
        <w:rPr>
          <w:rFonts w:cstheme="minorHAnsi"/>
        </w:rPr>
        <w:t>.</w:t>
      </w:r>
      <w:r w:rsidR="00F90512" w:rsidRPr="00001F7B">
        <w:rPr>
          <w:rFonts w:cstheme="minorHAnsi"/>
        </w:rPr>
        <w:t xml:space="preserve">” </w:t>
      </w:r>
      <w:r w:rsidR="00F20083">
        <w:rPr>
          <w:rFonts w:cstheme="minorHAnsi"/>
        </w:rPr>
        <w:t>This is the sense of what is said in para 34.</w:t>
      </w:r>
    </w:p>
  </w:footnote>
  <w:footnote w:id="32">
    <w:p w14:paraId="39B14135" w14:textId="677BC1F6" w:rsidR="004D45AB" w:rsidRPr="00001F7B" w:rsidRDefault="004D45AB" w:rsidP="004D45AB">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w:t>
      </w:r>
      <w:proofErr w:type="spellEnd"/>
      <w:r w:rsidRPr="00001F7B">
        <w:rPr>
          <w:rFonts w:cstheme="minorHAnsi"/>
          <w:i/>
          <w:iCs/>
        </w:rPr>
        <w:t xml:space="preserve"> cit</w:t>
      </w:r>
      <w:r w:rsidR="00AA360D" w:rsidRPr="00001F7B">
        <w:rPr>
          <w:rFonts w:cstheme="minorHAnsi"/>
        </w:rPr>
        <w:t>.</w:t>
      </w:r>
    </w:p>
  </w:footnote>
  <w:footnote w:id="33">
    <w:p w14:paraId="51DE3316" w14:textId="762D6558" w:rsidR="000844FC" w:rsidRPr="00001F7B" w:rsidRDefault="000844FC">
      <w:pPr>
        <w:pStyle w:val="FootnoteText"/>
        <w:rPr>
          <w:rFonts w:cstheme="minorHAnsi"/>
        </w:rPr>
      </w:pPr>
      <w:r w:rsidRPr="00001F7B">
        <w:rPr>
          <w:rStyle w:val="FootnoteReference"/>
          <w:rFonts w:cstheme="minorHAnsi"/>
        </w:rPr>
        <w:footnoteRef/>
      </w:r>
      <w:r w:rsidRPr="00001F7B">
        <w:rPr>
          <w:rFonts w:cstheme="minorHAnsi"/>
        </w:rPr>
        <w:t xml:space="preserve"> </w:t>
      </w:r>
      <w:r w:rsidR="00017712" w:rsidRPr="00001F7B">
        <w:rPr>
          <w:rFonts w:cstheme="minorHAnsi"/>
        </w:rPr>
        <w:t>E.g.,</w:t>
      </w:r>
      <w:r w:rsidRPr="00001F7B">
        <w:rPr>
          <w:rFonts w:cstheme="minorHAnsi"/>
        </w:rPr>
        <w:t xml:space="preserve"> as at 8.6.2022, France.</w:t>
      </w:r>
    </w:p>
  </w:footnote>
  <w:footnote w:id="34">
    <w:p w14:paraId="7C27EDD9" w14:textId="2B88EE10" w:rsidR="00252D16" w:rsidRPr="00001F7B" w:rsidRDefault="00252D16">
      <w:pPr>
        <w:pStyle w:val="FootnoteText"/>
        <w:rPr>
          <w:rFonts w:cstheme="minorHAnsi"/>
        </w:rPr>
      </w:pPr>
      <w:r w:rsidRPr="00001F7B">
        <w:rPr>
          <w:rStyle w:val="FootnoteReference"/>
          <w:rFonts w:cstheme="minorHAnsi"/>
        </w:rPr>
        <w:footnoteRef/>
      </w:r>
      <w:r w:rsidRPr="00001F7B">
        <w:rPr>
          <w:rFonts w:cstheme="minorHAnsi"/>
        </w:rPr>
        <w:t xml:space="preserve"> </w:t>
      </w:r>
      <w:r w:rsidR="00845F6B" w:rsidRPr="00001F7B">
        <w:rPr>
          <w:rFonts w:cstheme="minorHAnsi"/>
        </w:rPr>
        <w:t xml:space="preserve">A treaty has no direct effect in English law unless and until legislation is passed to give it the force of law, </w:t>
      </w:r>
      <w:r w:rsidR="00845F6B" w:rsidRPr="00001F7B">
        <w:rPr>
          <w:rFonts w:eastAsiaTheme="minorEastAsia" w:cstheme="minorHAnsi"/>
          <w:i/>
          <w:iCs/>
          <w:color w:val="000000"/>
          <w:lang w:eastAsia="en-GB"/>
        </w:rPr>
        <w:t>JH Rayner (Mincing Lane Ltd) v Department of Trade and Industry</w:t>
      </w:r>
      <w:r w:rsidR="00845F6B" w:rsidRPr="00001F7B">
        <w:rPr>
          <w:rFonts w:eastAsiaTheme="minorEastAsia" w:cstheme="minorHAnsi"/>
          <w:color w:val="000000"/>
          <w:lang w:eastAsia="en-GB"/>
        </w:rPr>
        <w:t xml:space="preserve">  </w:t>
      </w:r>
      <w:r w:rsidR="007A15C7" w:rsidRPr="00001F7B">
        <w:rPr>
          <w:rFonts w:eastAsiaTheme="minorEastAsia" w:cstheme="minorHAnsi"/>
          <w:color w:val="000000"/>
          <w:lang w:eastAsia="en-GB"/>
        </w:rPr>
        <w:t>[1990] 2 AC 418 at 500F</w:t>
      </w:r>
      <w:r w:rsidR="00845F6B" w:rsidRPr="00001F7B">
        <w:rPr>
          <w:rFonts w:eastAsiaTheme="minorEastAsia" w:cstheme="minorHAnsi"/>
          <w:color w:val="000000"/>
          <w:lang w:eastAsia="en-GB"/>
        </w:rPr>
        <w:t xml:space="preserve">, see </w:t>
      </w:r>
      <w:r w:rsidR="006D687B" w:rsidRPr="00001F7B">
        <w:rPr>
          <w:rFonts w:eastAsiaTheme="minorEastAsia" w:cstheme="minorHAnsi"/>
          <w:color w:val="000000"/>
          <w:lang w:eastAsia="en-GB"/>
        </w:rPr>
        <w:t xml:space="preserve">also </w:t>
      </w:r>
      <w:r w:rsidR="00845F6B" w:rsidRPr="00001F7B">
        <w:rPr>
          <w:rFonts w:eastAsiaTheme="minorEastAsia" w:cstheme="minorHAnsi"/>
          <w:color w:val="000000"/>
          <w:lang w:eastAsia="en-GB"/>
        </w:rPr>
        <w:t xml:space="preserve">Sales and Clement, </w:t>
      </w:r>
      <w:r w:rsidR="007A15C7" w:rsidRPr="00001F7B">
        <w:rPr>
          <w:rFonts w:eastAsiaTheme="minorEastAsia" w:cstheme="minorHAnsi"/>
          <w:color w:val="000000"/>
          <w:lang w:eastAsia="en-GB"/>
        </w:rPr>
        <w:t xml:space="preserve">‘International law in domestic courts: the developing framework’ (2008) 124 LQR 388, </w:t>
      </w:r>
      <w:r w:rsidR="00DC1433" w:rsidRPr="00001F7B">
        <w:rPr>
          <w:rFonts w:eastAsiaTheme="minorEastAsia" w:cstheme="minorHAnsi"/>
          <w:color w:val="000000"/>
          <w:lang w:eastAsia="en-GB"/>
        </w:rPr>
        <w:t xml:space="preserve">397. The possibility </w:t>
      </w:r>
      <w:r w:rsidR="007D5C48" w:rsidRPr="00001F7B">
        <w:rPr>
          <w:rFonts w:eastAsiaTheme="minorEastAsia" w:cstheme="minorHAnsi"/>
          <w:color w:val="000000"/>
          <w:lang w:eastAsia="en-GB"/>
        </w:rPr>
        <w:t xml:space="preserve">that </w:t>
      </w:r>
      <w:r w:rsidR="00DC1433" w:rsidRPr="00001F7B">
        <w:rPr>
          <w:rFonts w:eastAsiaTheme="minorEastAsia" w:cstheme="minorHAnsi"/>
          <w:color w:val="000000"/>
          <w:lang w:eastAsia="en-GB"/>
        </w:rPr>
        <w:t>the Vienna Rules may take effect as customary international law is considered below.</w:t>
      </w:r>
    </w:p>
  </w:footnote>
  <w:footnote w:id="35">
    <w:p w14:paraId="61E85E87" w14:textId="48A86B0C" w:rsidR="004D5B4C" w:rsidRPr="00001F7B" w:rsidRDefault="004D5B4C">
      <w:pPr>
        <w:pStyle w:val="FootnoteText"/>
        <w:rPr>
          <w:rFonts w:cstheme="minorHAnsi"/>
        </w:rPr>
      </w:pPr>
      <w:r w:rsidRPr="00001F7B">
        <w:rPr>
          <w:rStyle w:val="FootnoteReference"/>
          <w:rFonts w:cstheme="minorHAnsi"/>
        </w:rPr>
        <w:footnoteRef/>
      </w:r>
      <w:r w:rsidRPr="00001F7B">
        <w:rPr>
          <w:rFonts w:cstheme="minorHAnsi"/>
        </w:rPr>
        <w:t xml:space="preserve"> Similarly, Art 3(b) indicates that even if the Convention does not apply this does not affect the application of any of its rules applicable under international law </w:t>
      </w:r>
      <w:r w:rsidR="0073047D" w:rsidRPr="00001F7B">
        <w:rPr>
          <w:rFonts w:cstheme="minorHAnsi"/>
        </w:rPr>
        <w:t>independently of the Convention.</w:t>
      </w:r>
    </w:p>
  </w:footnote>
  <w:footnote w:id="36">
    <w:p w14:paraId="2063B609" w14:textId="4F919324" w:rsidR="0073047D" w:rsidRPr="00001F7B" w:rsidRDefault="0073047D">
      <w:pPr>
        <w:pStyle w:val="FootnoteText"/>
        <w:rPr>
          <w:rFonts w:cstheme="minorHAnsi"/>
        </w:rPr>
      </w:pPr>
      <w:r w:rsidRPr="00001F7B">
        <w:rPr>
          <w:rStyle w:val="FootnoteReference"/>
          <w:rFonts w:cstheme="minorHAnsi"/>
        </w:rPr>
        <w:footnoteRef/>
      </w:r>
      <w:r w:rsidRPr="00001F7B">
        <w:rPr>
          <w:rFonts w:cstheme="minorHAnsi"/>
        </w:rPr>
        <w:t xml:space="preserve"> </w:t>
      </w:r>
      <w:r w:rsidR="00DC1433" w:rsidRPr="00001F7B">
        <w:rPr>
          <w:rFonts w:cstheme="minorHAnsi"/>
        </w:rPr>
        <w:t xml:space="preserve">E.g., </w:t>
      </w:r>
      <w:r w:rsidR="00A34744" w:rsidRPr="00001F7B">
        <w:rPr>
          <w:rFonts w:cstheme="minorHAnsi"/>
        </w:rPr>
        <w:t>Mann</w:t>
      </w:r>
      <w:r w:rsidR="00657CC8" w:rsidRPr="00001F7B">
        <w:rPr>
          <w:rFonts w:cstheme="minorHAnsi"/>
        </w:rPr>
        <w:t xml:space="preserve">, </w:t>
      </w:r>
      <w:r w:rsidR="007D5C48" w:rsidRPr="00001F7B">
        <w:rPr>
          <w:rFonts w:cstheme="minorHAnsi"/>
        </w:rPr>
        <w:t xml:space="preserve">above, </w:t>
      </w:r>
      <w:proofErr w:type="spellStart"/>
      <w:r w:rsidR="00657CC8" w:rsidRPr="00001F7B">
        <w:rPr>
          <w:rFonts w:cstheme="minorHAnsi"/>
        </w:rPr>
        <w:t>fn</w:t>
      </w:r>
      <w:proofErr w:type="spellEnd"/>
      <w:r w:rsidR="00E14ADC" w:rsidRPr="00001F7B">
        <w:rPr>
          <w:rFonts w:cstheme="minorHAnsi"/>
        </w:rPr>
        <w:t xml:space="preserve"> 8</w:t>
      </w:r>
      <w:r w:rsidR="007D5C48" w:rsidRPr="00001F7B">
        <w:rPr>
          <w:rFonts w:cstheme="minorHAnsi"/>
        </w:rPr>
        <w:t>,</w:t>
      </w:r>
      <w:r w:rsidR="00D57482" w:rsidRPr="00001F7B">
        <w:rPr>
          <w:rFonts w:cstheme="minorHAnsi"/>
        </w:rPr>
        <w:t xml:space="preserve"> </w:t>
      </w:r>
      <w:r w:rsidR="00E14ADC" w:rsidRPr="00001F7B">
        <w:rPr>
          <w:rFonts w:cstheme="minorHAnsi"/>
        </w:rPr>
        <w:t xml:space="preserve">p </w:t>
      </w:r>
      <w:r w:rsidR="00657CC8" w:rsidRPr="00001F7B">
        <w:rPr>
          <w:rFonts w:cstheme="minorHAnsi"/>
        </w:rPr>
        <w:t xml:space="preserve">379, </w:t>
      </w:r>
      <w:proofErr w:type="spellStart"/>
      <w:r w:rsidR="00657CC8" w:rsidRPr="00001F7B">
        <w:rPr>
          <w:rFonts w:cstheme="minorHAnsi"/>
        </w:rPr>
        <w:t>Basedow</w:t>
      </w:r>
      <w:proofErr w:type="spellEnd"/>
      <w:r w:rsidR="00657CC8" w:rsidRPr="00001F7B">
        <w:rPr>
          <w:rFonts w:cstheme="minorHAnsi"/>
        </w:rPr>
        <w:t xml:space="preserve">, </w:t>
      </w:r>
      <w:r w:rsidR="007D5C48" w:rsidRPr="00001F7B">
        <w:rPr>
          <w:rFonts w:cstheme="minorHAnsi"/>
        </w:rPr>
        <w:t xml:space="preserve">above, </w:t>
      </w:r>
      <w:proofErr w:type="spellStart"/>
      <w:r w:rsidR="00657CC8" w:rsidRPr="00001F7B">
        <w:rPr>
          <w:rFonts w:cstheme="minorHAnsi"/>
        </w:rPr>
        <w:t>fn</w:t>
      </w:r>
      <w:proofErr w:type="spellEnd"/>
      <w:r w:rsidR="008D63C8" w:rsidRPr="00001F7B">
        <w:rPr>
          <w:rFonts w:cstheme="minorHAnsi"/>
        </w:rPr>
        <w:t xml:space="preserve"> </w:t>
      </w:r>
      <w:r w:rsidR="00657CC8" w:rsidRPr="00001F7B">
        <w:rPr>
          <w:rFonts w:cstheme="minorHAnsi"/>
        </w:rPr>
        <w:t>8</w:t>
      </w:r>
      <w:r w:rsidR="007D5C48" w:rsidRPr="00001F7B">
        <w:rPr>
          <w:rFonts w:cstheme="minorHAnsi"/>
        </w:rPr>
        <w:t xml:space="preserve">, </w:t>
      </w:r>
      <w:r w:rsidR="00657CC8" w:rsidRPr="00001F7B">
        <w:rPr>
          <w:rFonts w:cstheme="minorHAnsi"/>
        </w:rPr>
        <w:t>p</w:t>
      </w:r>
      <w:r w:rsidR="007D5C48" w:rsidRPr="00001F7B">
        <w:rPr>
          <w:rFonts w:cstheme="minorHAnsi"/>
        </w:rPr>
        <w:t xml:space="preserve"> </w:t>
      </w:r>
      <w:r w:rsidR="00AB5C1B" w:rsidRPr="00001F7B">
        <w:rPr>
          <w:rFonts w:cstheme="minorHAnsi"/>
        </w:rPr>
        <w:t xml:space="preserve">736, </w:t>
      </w:r>
      <w:r w:rsidR="00154CAD" w:rsidRPr="00001F7B">
        <w:rPr>
          <w:rFonts w:cstheme="minorHAnsi"/>
        </w:rPr>
        <w:t xml:space="preserve">Roth and </w:t>
      </w:r>
      <w:proofErr w:type="spellStart"/>
      <w:r w:rsidR="00154CAD" w:rsidRPr="00001F7B">
        <w:rPr>
          <w:rFonts w:cstheme="minorHAnsi"/>
        </w:rPr>
        <w:t>Happ</w:t>
      </w:r>
      <w:proofErr w:type="spellEnd"/>
      <w:r w:rsidR="008D63C8" w:rsidRPr="00001F7B">
        <w:rPr>
          <w:rFonts w:cstheme="minorHAnsi"/>
        </w:rPr>
        <w:t xml:space="preserve">, </w:t>
      </w:r>
      <w:r w:rsidR="007D5C48" w:rsidRPr="00001F7B">
        <w:rPr>
          <w:rFonts w:cstheme="minorHAnsi"/>
        </w:rPr>
        <w:t xml:space="preserve">above, </w:t>
      </w:r>
      <w:proofErr w:type="spellStart"/>
      <w:r w:rsidR="008D63C8" w:rsidRPr="00001F7B">
        <w:rPr>
          <w:rFonts w:cstheme="minorHAnsi"/>
        </w:rPr>
        <w:t>fn</w:t>
      </w:r>
      <w:proofErr w:type="spellEnd"/>
      <w:r w:rsidR="008D63C8" w:rsidRPr="00001F7B">
        <w:rPr>
          <w:rFonts w:cstheme="minorHAnsi"/>
        </w:rPr>
        <w:t xml:space="preserve"> </w:t>
      </w:r>
      <w:r w:rsidR="00E14ADC" w:rsidRPr="00001F7B">
        <w:rPr>
          <w:rFonts w:cstheme="minorHAnsi"/>
        </w:rPr>
        <w:t>1</w:t>
      </w:r>
      <w:r w:rsidR="008D63C8" w:rsidRPr="00001F7B">
        <w:rPr>
          <w:rFonts w:cstheme="minorHAnsi"/>
        </w:rPr>
        <w:t>, pp</w:t>
      </w:r>
      <w:r w:rsidR="007D5C48" w:rsidRPr="00001F7B">
        <w:rPr>
          <w:rFonts w:cstheme="minorHAnsi"/>
        </w:rPr>
        <w:t xml:space="preserve"> </w:t>
      </w:r>
      <w:r w:rsidR="008D63C8" w:rsidRPr="00001F7B">
        <w:rPr>
          <w:rFonts w:cstheme="minorHAnsi"/>
        </w:rPr>
        <w:t>704-</w:t>
      </w:r>
      <w:r w:rsidR="007C2A5F" w:rsidRPr="00001F7B">
        <w:rPr>
          <w:rFonts w:cstheme="minorHAnsi"/>
        </w:rPr>
        <w:t>705.</w:t>
      </w:r>
      <w:r w:rsidR="00E9703B" w:rsidRPr="00001F7B">
        <w:rPr>
          <w:rFonts w:cstheme="minorHAnsi"/>
        </w:rPr>
        <w:t xml:space="preserve"> Article 38</w:t>
      </w:r>
      <w:r w:rsidR="00327017" w:rsidRPr="00001F7B">
        <w:rPr>
          <w:rFonts w:cstheme="minorHAnsi"/>
        </w:rPr>
        <w:t>.</w:t>
      </w:r>
      <w:r w:rsidR="00E9703B" w:rsidRPr="00001F7B">
        <w:rPr>
          <w:rFonts w:cstheme="minorHAnsi"/>
        </w:rPr>
        <w:t>1(b) of the ICJ statutes states that: “international custom, as evidence of a general practice accepted as law, is one of the sources of international law.”</w:t>
      </w:r>
      <w:r w:rsidR="008D63C8" w:rsidRPr="00001F7B">
        <w:rPr>
          <w:rFonts w:cstheme="minorHAnsi"/>
        </w:rPr>
        <w:t xml:space="preserve">  </w:t>
      </w:r>
      <w:r w:rsidR="00173C28" w:rsidRPr="00001F7B">
        <w:rPr>
          <w:rFonts w:cstheme="minorHAnsi"/>
        </w:rPr>
        <w:t xml:space="preserve">Mola and </w:t>
      </w:r>
      <w:proofErr w:type="spellStart"/>
      <w:r w:rsidR="00173C28" w:rsidRPr="00001F7B">
        <w:rPr>
          <w:rFonts w:cstheme="minorHAnsi"/>
        </w:rPr>
        <w:t>Poncibò</w:t>
      </w:r>
      <w:proofErr w:type="spellEnd"/>
      <w:r w:rsidR="00173C28" w:rsidRPr="00001F7B">
        <w:rPr>
          <w:rFonts w:cstheme="minorHAnsi"/>
        </w:rPr>
        <w:t>,</w:t>
      </w:r>
      <w:r w:rsidR="00327017" w:rsidRPr="00001F7B">
        <w:rPr>
          <w:rFonts w:cstheme="minorHAnsi"/>
        </w:rPr>
        <w:t xml:space="preserve"> above, f</w:t>
      </w:r>
      <w:r w:rsidR="00173C28" w:rsidRPr="00001F7B">
        <w:rPr>
          <w:rFonts w:cstheme="minorHAnsi"/>
        </w:rPr>
        <w:t xml:space="preserve">n. </w:t>
      </w:r>
      <w:r w:rsidR="00E14ADC" w:rsidRPr="00001F7B">
        <w:rPr>
          <w:rFonts w:cstheme="minorHAnsi"/>
        </w:rPr>
        <w:t>7</w:t>
      </w:r>
      <w:r w:rsidR="00173C28" w:rsidRPr="00001F7B">
        <w:rPr>
          <w:rFonts w:cstheme="minorHAnsi"/>
        </w:rPr>
        <w:t>, at p</w:t>
      </w:r>
      <w:r w:rsidR="00327017" w:rsidRPr="00001F7B">
        <w:rPr>
          <w:rFonts w:cstheme="minorHAnsi"/>
        </w:rPr>
        <w:t xml:space="preserve"> </w:t>
      </w:r>
      <w:r w:rsidR="00173C28" w:rsidRPr="00001F7B">
        <w:rPr>
          <w:rFonts w:cstheme="minorHAnsi"/>
        </w:rPr>
        <w:t>861 state: “ It is commonly understood that they apply to all treaties including those concluded before the entry into force of the VCLT itself (1980); they apply ‘across the board’ irrespective of the subject matter; ﬁnally, they apply to all states (and other international subjects), even when the states involved are not part of the VCLT, because – or, insofar as – they are of customary nature.”</w:t>
      </w:r>
    </w:p>
  </w:footnote>
  <w:footnote w:id="37">
    <w:p w14:paraId="744F5787" w14:textId="52833ED6" w:rsidR="00824FA4" w:rsidRPr="00001F7B" w:rsidRDefault="00824FA4">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00F273ED" w:rsidRPr="00001F7B">
        <w:rPr>
          <w:rFonts w:cstheme="minorHAnsi"/>
        </w:rPr>
        <w:t>Basedow</w:t>
      </w:r>
      <w:proofErr w:type="spellEnd"/>
      <w:r w:rsidR="00F273ED" w:rsidRPr="00001F7B">
        <w:rPr>
          <w:rFonts w:cstheme="minorHAnsi"/>
        </w:rPr>
        <w:t xml:space="preserve">, </w:t>
      </w:r>
      <w:r w:rsidR="00327017" w:rsidRPr="00001F7B">
        <w:rPr>
          <w:rFonts w:cstheme="minorHAnsi"/>
        </w:rPr>
        <w:t xml:space="preserve">above, </w:t>
      </w:r>
      <w:proofErr w:type="spellStart"/>
      <w:r w:rsidR="00F273ED" w:rsidRPr="00001F7B">
        <w:rPr>
          <w:rFonts w:cstheme="minorHAnsi"/>
        </w:rPr>
        <w:t>fn</w:t>
      </w:r>
      <w:proofErr w:type="spellEnd"/>
      <w:r w:rsidR="00F273ED" w:rsidRPr="00001F7B">
        <w:rPr>
          <w:rFonts w:cstheme="minorHAnsi"/>
        </w:rPr>
        <w:t xml:space="preserve"> 8, p 744, is dismissive of this distinction. He states that legal practice “</w:t>
      </w:r>
      <w:r w:rsidR="00F273ED" w:rsidRPr="00001F7B">
        <w:rPr>
          <w:rFonts w:eastAsia="Arial" w:cstheme="minorHAnsi"/>
          <w:color w:val="000000"/>
        </w:rPr>
        <w:t xml:space="preserve">has not bothered about theoretical issues such as the monistic or dualistic conception of public international law. For even in countries that follow a dualistic tradition it is recognized that the internal law should be interpreted in accordance with public international law. Therefore, the interpretive principles governing internal law must be identical to those applied to the underlying obligations arising from public international law. See, however, the further discussion of this </w:t>
      </w:r>
      <w:r w:rsidR="001E624E" w:rsidRPr="00001F7B">
        <w:rPr>
          <w:rFonts w:cstheme="minorHAnsi"/>
        </w:rPr>
        <w:t>belo</w:t>
      </w:r>
      <w:r w:rsidR="00F273ED" w:rsidRPr="00001F7B">
        <w:rPr>
          <w:rFonts w:cstheme="minorHAnsi"/>
        </w:rPr>
        <w:t>w</w:t>
      </w:r>
      <w:r w:rsidR="001051FB" w:rsidRPr="00001F7B">
        <w:rPr>
          <w:rFonts w:cstheme="minorHAnsi"/>
        </w:rPr>
        <w:t xml:space="preserve"> at </w:t>
      </w:r>
      <w:r w:rsidR="001051FB" w:rsidRPr="00001F7B">
        <w:rPr>
          <w:rFonts w:cstheme="minorHAnsi"/>
          <w:b/>
          <w:bCs/>
        </w:rPr>
        <w:t>2.4.2</w:t>
      </w:r>
      <w:r w:rsidR="00F273ED" w:rsidRPr="00001F7B">
        <w:rPr>
          <w:rFonts w:cstheme="minorHAnsi"/>
        </w:rPr>
        <w:t>.</w:t>
      </w:r>
    </w:p>
  </w:footnote>
  <w:footnote w:id="38">
    <w:p w14:paraId="712F6F77" w14:textId="4641AE5B" w:rsidR="009F1CD6" w:rsidRPr="00001F7B" w:rsidRDefault="009F1CD6">
      <w:pPr>
        <w:pStyle w:val="FootnoteText"/>
        <w:rPr>
          <w:rFonts w:cstheme="minorHAnsi"/>
        </w:rPr>
      </w:pPr>
      <w:r w:rsidRPr="00001F7B">
        <w:rPr>
          <w:rStyle w:val="FootnoteReference"/>
          <w:rFonts w:cstheme="minorHAnsi"/>
        </w:rPr>
        <w:footnoteRef/>
      </w:r>
      <w:r w:rsidRPr="00001F7B">
        <w:rPr>
          <w:rFonts w:cstheme="minorHAnsi"/>
        </w:rPr>
        <w:t xml:space="preserve"> This is apart from the degree of flexibility allowed by the </w:t>
      </w:r>
      <w:r w:rsidR="00F273ED" w:rsidRPr="00001F7B">
        <w:rPr>
          <w:rFonts w:cstheme="minorHAnsi"/>
        </w:rPr>
        <w:t>R</w:t>
      </w:r>
      <w:r w:rsidRPr="00001F7B">
        <w:rPr>
          <w:rFonts w:cstheme="minorHAnsi"/>
        </w:rPr>
        <w:t xml:space="preserve">ules which might allow some variation in approach. But there are limits to this especially if courts are to stay faithful to the operation of the </w:t>
      </w:r>
      <w:r w:rsidR="00F273ED" w:rsidRPr="00001F7B">
        <w:rPr>
          <w:rFonts w:cstheme="minorHAnsi"/>
        </w:rPr>
        <w:t>R</w:t>
      </w:r>
      <w:r w:rsidRPr="00001F7B">
        <w:rPr>
          <w:rFonts w:cstheme="minorHAnsi"/>
        </w:rPr>
        <w:t>ule</w:t>
      </w:r>
      <w:r w:rsidR="00F273ED" w:rsidRPr="00001F7B">
        <w:rPr>
          <w:rFonts w:cstheme="minorHAnsi"/>
        </w:rPr>
        <w:t>s</w:t>
      </w:r>
      <w:r w:rsidRPr="00001F7B">
        <w:rPr>
          <w:rFonts w:cstheme="minorHAnsi"/>
        </w:rPr>
        <w:t xml:space="preserve"> as intended by the ILC.</w:t>
      </w:r>
    </w:p>
  </w:footnote>
  <w:footnote w:id="39">
    <w:p w14:paraId="2134810F" w14:textId="55DB7673" w:rsidR="000E38EA" w:rsidRPr="00001F7B" w:rsidRDefault="000E38EA">
      <w:pPr>
        <w:pStyle w:val="FootnoteText"/>
        <w:rPr>
          <w:rFonts w:cstheme="minorHAnsi"/>
        </w:rPr>
      </w:pPr>
      <w:r w:rsidRPr="00001F7B">
        <w:rPr>
          <w:rStyle w:val="FootnoteReference"/>
          <w:rFonts w:cstheme="minorHAnsi"/>
        </w:rPr>
        <w:footnoteRef/>
      </w:r>
      <w:r w:rsidRPr="00001F7B">
        <w:rPr>
          <w:rFonts w:cstheme="minorHAnsi"/>
        </w:rPr>
        <w:t xml:space="preserve"> </w:t>
      </w:r>
      <w:r w:rsidR="003A0688" w:rsidRPr="00001F7B">
        <w:rPr>
          <w:rFonts w:cstheme="minorHAnsi"/>
        </w:rPr>
        <w:t xml:space="preserve">Draft articles and </w:t>
      </w:r>
      <w:r w:rsidRPr="00001F7B">
        <w:rPr>
          <w:rFonts w:cstheme="minorHAnsi"/>
        </w:rPr>
        <w:t>Commentary of the ILC</w:t>
      </w:r>
      <w:r w:rsidR="003A0688" w:rsidRPr="00001F7B">
        <w:rPr>
          <w:rFonts w:cstheme="minorHAnsi"/>
        </w:rPr>
        <w:t xml:space="preserve"> (hereafter 1966 Commentary) submitted to the 1968-1969 Vienna Conference and published in the </w:t>
      </w:r>
      <w:r w:rsidRPr="00001F7B">
        <w:rPr>
          <w:rFonts w:cstheme="minorHAnsi"/>
        </w:rPr>
        <w:t>[1966] Yearbook of the ILC, vol II</w:t>
      </w:r>
      <w:r w:rsidR="00EE236D" w:rsidRPr="00001F7B">
        <w:rPr>
          <w:rFonts w:cstheme="minorHAnsi"/>
        </w:rPr>
        <w:t>.</w:t>
      </w:r>
    </w:p>
  </w:footnote>
  <w:footnote w:id="40">
    <w:p w14:paraId="76BC09CA" w14:textId="73EB2D52" w:rsidR="004E232D" w:rsidRPr="00001F7B" w:rsidRDefault="004E232D" w:rsidP="00673400">
      <w:pPr>
        <w:pStyle w:val="EndnoteText"/>
        <w:rPr>
          <w:rFonts w:cstheme="minorHAnsi"/>
        </w:rPr>
      </w:pPr>
      <w:r w:rsidRPr="00001F7B">
        <w:rPr>
          <w:rStyle w:val="FootnoteReference"/>
          <w:rFonts w:cstheme="minorHAnsi"/>
        </w:rPr>
        <w:footnoteRef/>
      </w:r>
      <w:r w:rsidRPr="00001F7B">
        <w:rPr>
          <w:rFonts w:cstheme="minorHAnsi"/>
        </w:rPr>
        <w:t xml:space="preserve"> H Waldock, </w:t>
      </w:r>
      <w:r w:rsidR="00864495" w:rsidRPr="00001F7B">
        <w:rPr>
          <w:rFonts w:cstheme="minorHAnsi"/>
        </w:rPr>
        <w:t xml:space="preserve">draft articles and commentary submitted as the </w:t>
      </w:r>
      <w:r w:rsidRPr="00001F7B">
        <w:rPr>
          <w:rFonts w:cstheme="minorHAnsi"/>
        </w:rPr>
        <w:t xml:space="preserve">Third </w:t>
      </w:r>
      <w:r w:rsidR="00864495" w:rsidRPr="00001F7B">
        <w:rPr>
          <w:rFonts w:cstheme="minorHAnsi"/>
        </w:rPr>
        <w:t>R</w:t>
      </w:r>
      <w:r w:rsidRPr="00001F7B">
        <w:rPr>
          <w:rFonts w:cstheme="minorHAnsi"/>
        </w:rPr>
        <w:t xml:space="preserve">eport on the </w:t>
      </w:r>
      <w:r w:rsidR="00864495" w:rsidRPr="00001F7B">
        <w:rPr>
          <w:rFonts w:cstheme="minorHAnsi"/>
        </w:rPr>
        <w:t>L</w:t>
      </w:r>
      <w:r w:rsidRPr="00001F7B">
        <w:rPr>
          <w:rFonts w:cstheme="minorHAnsi"/>
        </w:rPr>
        <w:t xml:space="preserve">aw of </w:t>
      </w:r>
      <w:r w:rsidR="00864495" w:rsidRPr="00001F7B">
        <w:rPr>
          <w:rFonts w:cstheme="minorHAnsi"/>
        </w:rPr>
        <w:t>T</w:t>
      </w:r>
      <w:r w:rsidRPr="00001F7B">
        <w:rPr>
          <w:rFonts w:cstheme="minorHAnsi"/>
        </w:rPr>
        <w:t>reaties</w:t>
      </w:r>
      <w:r w:rsidR="00864495" w:rsidRPr="00001F7B">
        <w:rPr>
          <w:rFonts w:cstheme="minorHAnsi"/>
        </w:rPr>
        <w:t xml:space="preserve"> (hereafter 1964</w:t>
      </w:r>
      <w:r w:rsidR="006D687B" w:rsidRPr="00001F7B">
        <w:rPr>
          <w:rFonts w:cstheme="minorHAnsi"/>
        </w:rPr>
        <w:t xml:space="preserve"> Report</w:t>
      </w:r>
      <w:r w:rsidR="00864495" w:rsidRPr="00001F7B">
        <w:rPr>
          <w:rFonts w:cstheme="minorHAnsi"/>
        </w:rPr>
        <w:t>)</w:t>
      </w:r>
      <w:r w:rsidRPr="00001F7B">
        <w:rPr>
          <w:rFonts w:cstheme="minorHAnsi"/>
        </w:rPr>
        <w:t>, [1964] Yearbook of the International Law Commission, vol II</w:t>
      </w:r>
      <w:r w:rsidR="00EE236D" w:rsidRPr="00001F7B">
        <w:rPr>
          <w:rFonts w:cstheme="minorHAnsi"/>
        </w:rPr>
        <w:t xml:space="preserve">. </w:t>
      </w:r>
      <w:r w:rsidR="002A2A56" w:rsidRPr="00001F7B">
        <w:rPr>
          <w:rFonts w:cstheme="minorHAnsi"/>
        </w:rPr>
        <w:t>Sinclair, ‘The Principles o</w:t>
      </w:r>
      <w:r w:rsidR="001D7035" w:rsidRPr="00001F7B">
        <w:rPr>
          <w:rFonts w:cstheme="minorHAnsi"/>
        </w:rPr>
        <w:t xml:space="preserve">f </w:t>
      </w:r>
      <w:r w:rsidR="002A2A56" w:rsidRPr="00001F7B">
        <w:rPr>
          <w:rFonts w:cstheme="minorHAnsi"/>
        </w:rPr>
        <w:t xml:space="preserve">Treaty Interpretation and </w:t>
      </w:r>
      <w:r w:rsidR="001D7035" w:rsidRPr="00001F7B">
        <w:rPr>
          <w:rFonts w:cstheme="minorHAnsi"/>
        </w:rPr>
        <w:t>T</w:t>
      </w:r>
      <w:r w:rsidR="002A2A56" w:rsidRPr="00001F7B">
        <w:rPr>
          <w:rFonts w:cstheme="minorHAnsi"/>
        </w:rPr>
        <w:t xml:space="preserve">heir Application in the English Courts’ (1963) 12 ICLQ 508, </w:t>
      </w:r>
      <w:r w:rsidR="000E397C" w:rsidRPr="00001F7B">
        <w:rPr>
          <w:rFonts w:cstheme="minorHAnsi"/>
        </w:rPr>
        <w:t>509 noted that there having been so much academic and doctrinal discussion on the subject of treaty interpretation “that it is a task of some difficulty to state with precision what are the generally accepted principles of international law relating to treaty interpretation. It cannot be said that the approach of the International Court of Justice and its predecessor has always been consistent in this matter.”</w:t>
      </w:r>
      <w:r w:rsidR="00673400" w:rsidRPr="00001F7B">
        <w:rPr>
          <w:rFonts w:cstheme="minorHAnsi"/>
        </w:rPr>
        <w:t xml:space="preserve"> He </w:t>
      </w:r>
      <w:r w:rsidR="00E22FF1" w:rsidRPr="00001F7B">
        <w:rPr>
          <w:rFonts w:cstheme="minorHAnsi"/>
        </w:rPr>
        <w:t>notes</w:t>
      </w:r>
      <w:r w:rsidR="00673400" w:rsidRPr="00001F7B">
        <w:rPr>
          <w:rFonts w:cstheme="minorHAnsi"/>
        </w:rPr>
        <w:t>, however, that a set of principles developed by Fitzmaurice</w:t>
      </w:r>
      <w:r w:rsidR="00F2188D" w:rsidRPr="00001F7B">
        <w:rPr>
          <w:rFonts w:cstheme="minorHAnsi"/>
        </w:rPr>
        <w:t xml:space="preserve"> ((1957) 33 BYIL 2011-12</w:t>
      </w:r>
      <w:r w:rsidR="00E22FF1" w:rsidRPr="00001F7B">
        <w:rPr>
          <w:rFonts w:cstheme="minorHAnsi"/>
        </w:rPr>
        <w:t>)</w:t>
      </w:r>
      <w:r w:rsidR="00673400" w:rsidRPr="00001F7B">
        <w:rPr>
          <w:rFonts w:cstheme="minorHAnsi"/>
        </w:rPr>
        <w:t xml:space="preserve">, based on </w:t>
      </w:r>
      <w:r w:rsidR="00F2188D" w:rsidRPr="00001F7B">
        <w:rPr>
          <w:rFonts w:cstheme="minorHAnsi"/>
        </w:rPr>
        <w:t>inquiry into</w:t>
      </w:r>
      <w:r w:rsidR="00673400" w:rsidRPr="00001F7B">
        <w:rPr>
          <w:rFonts w:cstheme="minorHAnsi"/>
        </w:rPr>
        <w:t xml:space="preserve"> the law and procedure of the ICJ, 1946- 954, represented as nearly as possible, the relative weight which an international tribunal would attach to the three approaches</w:t>
      </w:r>
      <w:r w:rsidR="00F2188D" w:rsidRPr="00001F7B">
        <w:rPr>
          <w:rFonts w:cstheme="minorHAnsi"/>
        </w:rPr>
        <w:t xml:space="preserve"> (i.e., textual, search for intention, purposive).</w:t>
      </w:r>
      <w:r w:rsidR="006543C5" w:rsidRPr="00001F7B">
        <w:rPr>
          <w:rFonts w:cstheme="minorHAnsi"/>
        </w:rPr>
        <w:t xml:space="preserve"> These principles,</w:t>
      </w:r>
      <w:r w:rsidR="00750003" w:rsidRPr="00001F7B">
        <w:rPr>
          <w:rFonts w:cstheme="minorHAnsi"/>
        </w:rPr>
        <w:t xml:space="preserve"> </w:t>
      </w:r>
      <w:r w:rsidR="006543C5" w:rsidRPr="00001F7B">
        <w:rPr>
          <w:rFonts w:cstheme="minorHAnsi"/>
        </w:rPr>
        <w:t xml:space="preserve">along with a 1956 resolution of the Institute of International Law formed the inspiration for the initial formulation of principles set out in the 1964 </w:t>
      </w:r>
      <w:r w:rsidR="006D687B" w:rsidRPr="00001F7B">
        <w:rPr>
          <w:rFonts w:cstheme="minorHAnsi"/>
        </w:rPr>
        <w:t>R</w:t>
      </w:r>
      <w:r w:rsidR="006543C5" w:rsidRPr="00001F7B">
        <w:rPr>
          <w:rFonts w:cstheme="minorHAnsi"/>
        </w:rPr>
        <w:t>eport, pp</w:t>
      </w:r>
      <w:r w:rsidR="00E22FF1" w:rsidRPr="00001F7B">
        <w:rPr>
          <w:rFonts w:cstheme="minorHAnsi"/>
        </w:rPr>
        <w:t xml:space="preserve"> </w:t>
      </w:r>
      <w:r w:rsidR="006543C5" w:rsidRPr="00001F7B">
        <w:rPr>
          <w:rFonts w:cstheme="minorHAnsi"/>
        </w:rPr>
        <w:t>52-</w:t>
      </w:r>
      <w:r w:rsidR="00723659" w:rsidRPr="00001F7B">
        <w:rPr>
          <w:rFonts w:cstheme="minorHAnsi"/>
        </w:rPr>
        <w:t>5</w:t>
      </w:r>
      <w:r w:rsidR="006543C5" w:rsidRPr="00001F7B">
        <w:rPr>
          <w:rFonts w:cstheme="minorHAnsi"/>
        </w:rPr>
        <w:t>3 and 55-</w:t>
      </w:r>
      <w:r w:rsidR="00723659" w:rsidRPr="00001F7B">
        <w:rPr>
          <w:rFonts w:cstheme="minorHAnsi"/>
        </w:rPr>
        <w:t>5</w:t>
      </w:r>
      <w:r w:rsidR="006543C5" w:rsidRPr="00001F7B">
        <w:rPr>
          <w:rFonts w:cstheme="minorHAnsi"/>
        </w:rPr>
        <w:t xml:space="preserve">6, paras </w:t>
      </w:r>
      <w:r w:rsidR="00DC054E" w:rsidRPr="00001F7B">
        <w:rPr>
          <w:rFonts w:cstheme="minorHAnsi"/>
        </w:rPr>
        <w:t>(11)-(12).</w:t>
      </w:r>
    </w:p>
  </w:footnote>
  <w:footnote w:id="41">
    <w:p w14:paraId="3606294E" w14:textId="79FB6608" w:rsidR="006E22B4" w:rsidRPr="00001F7B" w:rsidRDefault="006E22B4">
      <w:pPr>
        <w:pStyle w:val="FootnoteText"/>
        <w:rPr>
          <w:rFonts w:cstheme="minorHAnsi"/>
        </w:rPr>
      </w:pPr>
      <w:r w:rsidRPr="00001F7B">
        <w:rPr>
          <w:rStyle w:val="FootnoteReference"/>
          <w:rFonts w:cstheme="minorHAnsi"/>
        </w:rPr>
        <w:footnoteRef/>
      </w:r>
      <w:r w:rsidRPr="00001F7B">
        <w:rPr>
          <w:rFonts w:cstheme="minorHAnsi"/>
        </w:rPr>
        <w:t xml:space="preserve"> 1964 </w:t>
      </w:r>
      <w:r w:rsidR="006D687B" w:rsidRPr="00001F7B">
        <w:rPr>
          <w:rFonts w:cstheme="minorHAnsi"/>
        </w:rPr>
        <w:t xml:space="preserve">Report, </w:t>
      </w:r>
      <w:r w:rsidRPr="00001F7B">
        <w:rPr>
          <w:rFonts w:cstheme="minorHAnsi"/>
        </w:rPr>
        <w:t xml:space="preserve">p 54, paras (5)-(6), </w:t>
      </w:r>
      <w:r w:rsidR="001A27D6" w:rsidRPr="00001F7B">
        <w:rPr>
          <w:rFonts w:cstheme="minorHAnsi"/>
        </w:rPr>
        <w:t>1966</w:t>
      </w:r>
      <w:r w:rsidR="006D687B" w:rsidRPr="00001F7B">
        <w:rPr>
          <w:rFonts w:cstheme="minorHAnsi"/>
        </w:rPr>
        <w:t xml:space="preserve"> commentary,</w:t>
      </w:r>
      <w:r w:rsidR="001A27D6" w:rsidRPr="00001F7B">
        <w:rPr>
          <w:rFonts w:cstheme="minorHAnsi"/>
        </w:rPr>
        <w:t xml:space="preserve"> p 218, para (1).</w:t>
      </w:r>
    </w:p>
  </w:footnote>
  <w:footnote w:id="42">
    <w:p w14:paraId="50D0152F" w14:textId="00E66B9A" w:rsidR="001A2290" w:rsidRPr="00001F7B" w:rsidRDefault="001A2290">
      <w:pPr>
        <w:pStyle w:val="FootnoteText"/>
        <w:rPr>
          <w:rFonts w:cstheme="minorHAnsi"/>
        </w:rPr>
      </w:pPr>
      <w:r w:rsidRPr="00001F7B">
        <w:rPr>
          <w:rStyle w:val="FootnoteReference"/>
          <w:rFonts w:cstheme="minorHAnsi"/>
        </w:rPr>
        <w:footnoteRef/>
      </w:r>
      <w:r w:rsidRPr="00001F7B">
        <w:rPr>
          <w:rFonts w:cstheme="minorHAnsi"/>
        </w:rPr>
        <w:t xml:space="preserve"> 1964 </w:t>
      </w:r>
      <w:r w:rsidR="006D687B" w:rsidRPr="00001F7B">
        <w:rPr>
          <w:rFonts w:cstheme="minorHAnsi"/>
        </w:rPr>
        <w:t xml:space="preserve">Report, </w:t>
      </w:r>
      <w:r w:rsidRPr="00001F7B">
        <w:rPr>
          <w:rFonts w:cstheme="minorHAnsi"/>
        </w:rPr>
        <w:t xml:space="preserve">p 54, para (7), stated more generally in </w:t>
      </w:r>
      <w:r w:rsidR="006D687B" w:rsidRPr="00001F7B">
        <w:rPr>
          <w:rFonts w:cstheme="minorHAnsi"/>
        </w:rPr>
        <w:t xml:space="preserve">the </w:t>
      </w:r>
      <w:r w:rsidRPr="00001F7B">
        <w:rPr>
          <w:rFonts w:cstheme="minorHAnsi"/>
        </w:rPr>
        <w:t>1966</w:t>
      </w:r>
      <w:r w:rsidR="006D687B" w:rsidRPr="00001F7B">
        <w:rPr>
          <w:rFonts w:cstheme="minorHAnsi"/>
        </w:rPr>
        <w:t xml:space="preserve"> Commentary</w:t>
      </w:r>
      <w:r w:rsidRPr="00001F7B">
        <w:rPr>
          <w:rFonts w:cstheme="minorHAnsi"/>
        </w:rPr>
        <w:t>, p 218 para (3)</w:t>
      </w:r>
      <w:r w:rsidR="00667C51" w:rsidRPr="00001F7B">
        <w:rPr>
          <w:rFonts w:cstheme="minorHAnsi"/>
        </w:rPr>
        <w:t>. Both commentaries noted that a particular concern of jurists was as to the non-obligatory character of the maxi</w:t>
      </w:r>
      <w:r w:rsidR="00565F63" w:rsidRPr="00001F7B">
        <w:rPr>
          <w:rFonts w:cstheme="minorHAnsi"/>
        </w:rPr>
        <w:t>m</w:t>
      </w:r>
      <w:r w:rsidR="00667C51" w:rsidRPr="00001F7B">
        <w:rPr>
          <w:rFonts w:cstheme="minorHAnsi"/>
        </w:rPr>
        <w:t xml:space="preserve">s and principles, </w:t>
      </w:r>
      <w:r w:rsidR="005A7BA2" w:rsidRPr="00001F7B">
        <w:rPr>
          <w:rFonts w:cstheme="minorHAnsi"/>
        </w:rPr>
        <w:t>1964</w:t>
      </w:r>
      <w:r w:rsidR="00AD6E26" w:rsidRPr="00001F7B">
        <w:rPr>
          <w:rFonts w:cstheme="minorHAnsi"/>
        </w:rPr>
        <w:t xml:space="preserve"> Report</w:t>
      </w:r>
      <w:r w:rsidR="005A7BA2" w:rsidRPr="00001F7B">
        <w:rPr>
          <w:rFonts w:cstheme="minorHAnsi"/>
        </w:rPr>
        <w:t>, p</w:t>
      </w:r>
      <w:r w:rsidR="00AD6E26" w:rsidRPr="00001F7B">
        <w:rPr>
          <w:rFonts w:cstheme="minorHAnsi"/>
        </w:rPr>
        <w:t xml:space="preserve"> </w:t>
      </w:r>
      <w:r w:rsidR="005A7BA2" w:rsidRPr="00001F7B">
        <w:rPr>
          <w:rFonts w:cstheme="minorHAnsi"/>
        </w:rPr>
        <w:t xml:space="preserve">53, para (3), </w:t>
      </w:r>
      <w:r w:rsidR="00667C51" w:rsidRPr="00001F7B">
        <w:rPr>
          <w:rFonts w:cstheme="minorHAnsi"/>
        </w:rPr>
        <w:t>1966</w:t>
      </w:r>
      <w:r w:rsidR="00AD6E26" w:rsidRPr="00001F7B">
        <w:rPr>
          <w:rFonts w:cstheme="minorHAnsi"/>
        </w:rPr>
        <w:t xml:space="preserve"> Commentary</w:t>
      </w:r>
      <w:r w:rsidR="00667C51" w:rsidRPr="00001F7B">
        <w:rPr>
          <w:rFonts w:cstheme="minorHAnsi"/>
        </w:rPr>
        <w:t>, p 218, para (4)</w:t>
      </w:r>
      <w:r w:rsidR="00265D44" w:rsidRPr="00001F7B">
        <w:rPr>
          <w:rFonts w:cstheme="minorHAnsi"/>
        </w:rPr>
        <w:t xml:space="preserve"> - noting that their application depends on the conviction of the interpreter that a particular principle or maxim is appropriate in the circumstances so that recourse to them is discretionary rather than obligatory </w:t>
      </w:r>
      <w:r w:rsidR="00835102" w:rsidRPr="00001F7B">
        <w:rPr>
          <w:rFonts w:cstheme="minorHAnsi"/>
        </w:rPr>
        <w:t>and the interpretation of documents is to some extent an art and not an exact science.</w:t>
      </w:r>
      <w:r w:rsidR="00265D44" w:rsidRPr="00001F7B">
        <w:rPr>
          <w:rFonts w:cstheme="minorHAnsi"/>
        </w:rPr>
        <w:t xml:space="preserve"> </w:t>
      </w:r>
    </w:p>
  </w:footnote>
  <w:footnote w:id="43">
    <w:p w14:paraId="330464A9" w14:textId="7376F05D" w:rsidR="005A7BA2" w:rsidRPr="00001F7B" w:rsidRDefault="005A7BA2">
      <w:pPr>
        <w:pStyle w:val="FootnoteText"/>
        <w:rPr>
          <w:rFonts w:cstheme="minorHAnsi"/>
        </w:rPr>
      </w:pPr>
      <w:r w:rsidRPr="00001F7B">
        <w:rPr>
          <w:rStyle w:val="FootnoteReference"/>
          <w:rFonts w:cstheme="minorHAnsi"/>
        </w:rPr>
        <w:footnoteRef/>
      </w:r>
      <w:r w:rsidRPr="00001F7B">
        <w:rPr>
          <w:rFonts w:cstheme="minorHAnsi"/>
        </w:rPr>
        <w:t xml:space="preserve"> 1964 </w:t>
      </w:r>
      <w:r w:rsidR="00AD6E26" w:rsidRPr="00001F7B">
        <w:rPr>
          <w:rFonts w:cstheme="minorHAnsi"/>
        </w:rPr>
        <w:t xml:space="preserve">Report, </w:t>
      </w:r>
      <w:r w:rsidRPr="00001F7B">
        <w:rPr>
          <w:rFonts w:cstheme="minorHAnsi"/>
        </w:rPr>
        <w:t>p 53, para (4)</w:t>
      </w:r>
      <w:r w:rsidR="002D75BD" w:rsidRPr="00001F7B">
        <w:rPr>
          <w:rFonts w:cstheme="minorHAnsi"/>
        </w:rPr>
        <w:t>, 1966</w:t>
      </w:r>
      <w:r w:rsidR="00AD6E26" w:rsidRPr="00001F7B">
        <w:rPr>
          <w:rFonts w:cstheme="minorHAnsi"/>
        </w:rPr>
        <w:t xml:space="preserve"> Commentary</w:t>
      </w:r>
      <w:r w:rsidR="002D75BD" w:rsidRPr="00001F7B">
        <w:rPr>
          <w:rFonts w:cstheme="minorHAnsi"/>
        </w:rPr>
        <w:t>, p 218, para (2).</w:t>
      </w:r>
    </w:p>
  </w:footnote>
  <w:footnote w:id="44">
    <w:p w14:paraId="2ED870B3" w14:textId="7D589672" w:rsidR="00D9559A" w:rsidRPr="00001F7B" w:rsidRDefault="00D9559A">
      <w:pPr>
        <w:pStyle w:val="FootnoteText"/>
        <w:rPr>
          <w:rFonts w:cstheme="minorHAnsi"/>
        </w:rPr>
      </w:pPr>
      <w:r w:rsidRPr="00001F7B">
        <w:rPr>
          <w:rStyle w:val="FootnoteReference"/>
          <w:rFonts w:cstheme="minorHAnsi"/>
        </w:rPr>
        <w:footnoteRef/>
      </w:r>
      <w:r w:rsidRPr="00001F7B">
        <w:rPr>
          <w:rFonts w:cstheme="minorHAnsi"/>
        </w:rPr>
        <w:t xml:space="preserve"> 1966 </w:t>
      </w:r>
      <w:r w:rsidR="00AD6E26" w:rsidRPr="00001F7B">
        <w:rPr>
          <w:rFonts w:cstheme="minorHAnsi"/>
        </w:rPr>
        <w:t xml:space="preserve">Commentary, </w:t>
      </w:r>
      <w:r w:rsidRPr="00001F7B">
        <w:rPr>
          <w:rFonts w:cstheme="minorHAnsi"/>
        </w:rPr>
        <w:t xml:space="preserve">p 218, para </w:t>
      </w:r>
      <w:r w:rsidR="00AD6E26" w:rsidRPr="00001F7B">
        <w:rPr>
          <w:rFonts w:cstheme="minorHAnsi"/>
        </w:rPr>
        <w:t>(</w:t>
      </w:r>
      <w:r w:rsidR="00835102" w:rsidRPr="00001F7B">
        <w:rPr>
          <w:rFonts w:cstheme="minorHAnsi"/>
        </w:rPr>
        <w:t>2</w:t>
      </w:r>
      <w:r w:rsidR="00565F63" w:rsidRPr="00001F7B">
        <w:rPr>
          <w:rFonts w:cstheme="minorHAnsi"/>
        </w:rPr>
        <w:t>)</w:t>
      </w:r>
      <w:r w:rsidR="00835102" w:rsidRPr="00001F7B">
        <w:rPr>
          <w:rFonts w:cstheme="minorHAnsi"/>
        </w:rPr>
        <w:t>.</w:t>
      </w:r>
    </w:p>
  </w:footnote>
  <w:footnote w:id="45">
    <w:p w14:paraId="2F9DD1E3" w14:textId="17E6E3AE" w:rsidR="004D5DED" w:rsidRPr="00001F7B" w:rsidRDefault="004D5DED">
      <w:pPr>
        <w:pStyle w:val="FootnoteText"/>
        <w:rPr>
          <w:rFonts w:cstheme="minorHAnsi"/>
        </w:rPr>
      </w:pPr>
      <w:r w:rsidRPr="00001F7B">
        <w:rPr>
          <w:rStyle w:val="FootnoteReference"/>
          <w:rFonts w:cstheme="minorHAnsi"/>
        </w:rPr>
        <w:footnoteRef/>
      </w:r>
      <w:r w:rsidRPr="00001F7B">
        <w:rPr>
          <w:rFonts w:cstheme="minorHAnsi"/>
        </w:rPr>
        <w:t xml:space="preserve"> 1964 </w:t>
      </w:r>
      <w:r w:rsidR="00AD6E26" w:rsidRPr="00001F7B">
        <w:rPr>
          <w:rFonts w:cstheme="minorHAnsi"/>
        </w:rPr>
        <w:t xml:space="preserve">Report, </w:t>
      </w:r>
      <w:r w:rsidRPr="00001F7B">
        <w:rPr>
          <w:rFonts w:cstheme="minorHAnsi"/>
        </w:rPr>
        <w:t xml:space="preserve">p 54, para </w:t>
      </w:r>
      <w:r w:rsidR="00565F63" w:rsidRPr="00001F7B">
        <w:rPr>
          <w:rFonts w:cstheme="minorHAnsi"/>
        </w:rPr>
        <w:t>(</w:t>
      </w:r>
      <w:r w:rsidRPr="00001F7B">
        <w:rPr>
          <w:rFonts w:cstheme="minorHAnsi"/>
        </w:rPr>
        <w:t>8</w:t>
      </w:r>
      <w:r w:rsidR="00565F63" w:rsidRPr="00001F7B">
        <w:rPr>
          <w:rFonts w:cstheme="minorHAnsi"/>
        </w:rPr>
        <w:t>).</w:t>
      </w:r>
      <w:r w:rsidR="00D9559A" w:rsidRPr="00001F7B">
        <w:rPr>
          <w:rFonts w:cstheme="minorHAnsi"/>
        </w:rPr>
        <w:t xml:space="preserve"> </w:t>
      </w:r>
    </w:p>
  </w:footnote>
  <w:footnote w:id="46">
    <w:p w14:paraId="5D1E1851" w14:textId="70F2B97F" w:rsidR="004D5DED" w:rsidRPr="00001F7B" w:rsidRDefault="004D5DED">
      <w:pPr>
        <w:pStyle w:val="FootnoteText"/>
        <w:rPr>
          <w:rFonts w:cstheme="minorHAnsi"/>
        </w:rPr>
      </w:pPr>
      <w:r w:rsidRPr="00001F7B">
        <w:rPr>
          <w:rStyle w:val="FootnoteReference"/>
          <w:rFonts w:cstheme="minorHAnsi"/>
        </w:rPr>
        <w:footnoteRef/>
      </w:r>
      <w:r w:rsidRPr="00001F7B">
        <w:rPr>
          <w:rFonts w:cstheme="minorHAnsi"/>
        </w:rPr>
        <w:t xml:space="preserve"> 1964</w:t>
      </w:r>
      <w:r w:rsidR="00AD6E26" w:rsidRPr="00001F7B">
        <w:rPr>
          <w:rFonts w:cstheme="minorHAnsi"/>
        </w:rPr>
        <w:t xml:space="preserve"> Report,</w:t>
      </w:r>
      <w:r w:rsidRPr="00001F7B">
        <w:rPr>
          <w:rFonts w:cstheme="minorHAnsi"/>
        </w:rPr>
        <w:t xml:space="preserve"> p 54</w:t>
      </w:r>
      <w:r w:rsidR="004E232D" w:rsidRPr="00001F7B">
        <w:rPr>
          <w:rFonts w:cstheme="minorHAnsi"/>
        </w:rPr>
        <w:t>,</w:t>
      </w:r>
      <w:r w:rsidRPr="00001F7B">
        <w:rPr>
          <w:rFonts w:cstheme="minorHAnsi"/>
        </w:rPr>
        <w:t xml:space="preserve"> para </w:t>
      </w:r>
      <w:r w:rsidR="00565F63" w:rsidRPr="00001F7B">
        <w:rPr>
          <w:rFonts w:cstheme="minorHAnsi"/>
        </w:rPr>
        <w:t>(</w:t>
      </w:r>
      <w:r w:rsidRPr="00001F7B">
        <w:rPr>
          <w:rFonts w:cstheme="minorHAnsi"/>
        </w:rPr>
        <w:t>8</w:t>
      </w:r>
      <w:r w:rsidR="00565F63" w:rsidRPr="00001F7B">
        <w:rPr>
          <w:rFonts w:cstheme="minorHAnsi"/>
        </w:rPr>
        <w:t xml:space="preserve">), 1966 </w:t>
      </w:r>
      <w:r w:rsidR="00AD6E26" w:rsidRPr="00001F7B">
        <w:rPr>
          <w:rFonts w:cstheme="minorHAnsi"/>
        </w:rPr>
        <w:t xml:space="preserve">Commentary, </w:t>
      </w:r>
      <w:r w:rsidR="00565F63" w:rsidRPr="00001F7B">
        <w:rPr>
          <w:rFonts w:cstheme="minorHAnsi"/>
        </w:rPr>
        <w:t>p 219, para (5).</w:t>
      </w:r>
    </w:p>
  </w:footnote>
  <w:footnote w:id="47">
    <w:p w14:paraId="5381FE87" w14:textId="32326AE2" w:rsidR="00D60296" w:rsidRPr="00001F7B" w:rsidRDefault="00D60296">
      <w:pPr>
        <w:pStyle w:val="FootnoteText"/>
        <w:rPr>
          <w:rFonts w:cstheme="minorHAnsi"/>
        </w:rPr>
      </w:pPr>
      <w:r w:rsidRPr="00001F7B">
        <w:rPr>
          <w:rStyle w:val="FootnoteReference"/>
          <w:rFonts w:cstheme="minorHAnsi"/>
        </w:rPr>
        <w:footnoteRef/>
      </w:r>
      <w:r w:rsidRPr="00001F7B">
        <w:rPr>
          <w:rFonts w:cstheme="minorHAnsi"/>
        </w:rPr>
        <w:t xml:space="preserve"> 1966 </w:t>
      </w:r>
      <w:r w:rsidR="00AD6E26" w:rsidRPr="00001F7B">
        <w:rPr>
          <w:rFonts w:cstheme="minorHAnsi"/>
        </w:rPr>
        <w:t xml:space="preserve">Commentary, </w:t>
      </w:r>
      <w:r w:rsidRPr="00001F7B">
        <w:rPr>
          <w:rFonts w:cstheme="minorHAnsi"/>
        </w:rPr>
        <w:t>p 218, para (5).</w:t>
      </w:r>
    </w:p>
  </w:footnote>
  <w:footnote w:id="48">
    <w:p w14:paraId="6CC8013D" w14:textId="321A9B04" w:rsidR="00BA7381" w:rsidRPr="00001F7B" w:rsidRDefault="00BA7381" w:rsidP="00C94F3E">
      <w:pPr>
        <w:pStyle w:val="NoSpacing"/>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r w:rsidR="00EF5A44" w:rsidRPr="00001F7B">
        <w:rPr>
          <w:rFonts w:cstheme="minorHAnsi"/>
          <w:sz w:val="20"/>
          <w:szCs w:val="20"/>
        </w:rPr>
        <w:t xml:space="preserve">1964 </w:t>
      </w:r>
      <w:r w:rsidR="00AD6E26" w:rsidRPr="00001F7B">
        <w:rPr>
          <w:rFonts w:cstheme="minorHAnsi"/>
          <w:sz w:val="20"/>
          <w:szCs w:val="20"/>
        </w:rPr>
        <w:t xml:space="preserve">Report, </w:t>
      </w:r>
      <w:r w:rsidR="00EF5A44" w:rsidRPr="00001F7B">
        <w:rPr>
          <w:rFonts w:cstheme="minorHAnsi"/>
          <w:sz w:val="20"/>
          <w:szCs w:val="20"/>
        </w:rPr>
        <w:t>p 7, para (7).</w:t>
      </w:r>
      <w:r w:rsidR="00820468" w:rsidRPr="00001F7B">
        <w:rPr>
          <w:rFonts w:cstheme="minorHAnsi"/>
          <w:sz w:val="20"/>
          <w:szCs w:val="20"/>
        </w:rPr>
        <w:t xml:space="preserve"> The possibility that the Vienna rules represented a progressive development rather than codification was noted by Lowe and Williams, ‘A Shirt, a Pair of Sandals, a Cardigan’ (1981) 44 MLR 452, 454 commenting on the case of </w:t>
      </w:r>
      <w:proofErr w:type="spellStart"/>
      <w:r w:rsidR="00820468" w:rsidRPr="00001F7B">
        <w:rPr>
          <w:rFonts w:cstheme="minorHAnsi"/>
          <w:i/>
          <w:iCs/>
          <w:sz w:val="20"/>
          <w:szCs w:val="20"/>
        </w:rPr>
        <w:t>Fothergill</w:t>
      </w:r>
      <w:proofErr w:type="spellEnd"/>
      <w:r w:rsidR="00820468" w:rsidRPr="00001F7B">
        <w:rPr>
          <w:rFonts w:cstheme="minorHAnsi"/>
          <w:i/>
          <w:iCs/>
          <w:sz w:val="20"/>
          <w:szCs w:val="20"/>
        </w:rPr>
        <w:t xml:space="preserve"> v. Monarch Airlines</w:t>
      </w:r>
      <w:r w:rsidR="00820468" w:rsidRPr="00001F7B">
        <w:rPr>
          <w:rFonts w:cstheme="minorHAnsi"/>
          <w:sz w:val="20"/>
          <w:szCs w:val="20"/>
        </w:rPr>
        <w:t>, see below</w:t>
      </w:r>
      <w:r w:rsidR="00AD6E26" w:rsidRPr="00001F7B">
        <w:rPr>
          <w:rFonts w:cstheme="minorHAnsi"/>
          <w:sz w:val="20"/>
          <w:szCs w:val="20"/>
        </w:rPr>
        <w:t>,</w:t>
      </w:r>
      <w:r w:rsidR="00820468" w:rsidRPr="00001F7B">
        <w:rPr>
          <w:rFonts w:cstheme="minorHAnsi"/>
          <w:sz w:val="20"/>
          <w:szCs w:val="20"/>
        </w:rPr>
        <w:t xml:space="preserve"> </w:t>
      </w:r>
      <w:proofErr w:type="spellStart"/>
      <w:r w:rsidR="00AD6E26" w:rsidRPr="00001F7B">
        <w:rPr>
          <w:rFonts w:cstheme="minorHAnsi"/>
          <w:sz w:val="20"/>
          <w:szCs w:val="20"/>
        </w:rPr>
        <w:t>f</w:t>
      </w:r>
      <w:r w:rsidR="00820468" w:rsidRPr="00001F7B">
        <w:rPr>
          <w:rFonts w:cstheme="minorHAnsi"/>
          <w:sz w:val="20"/>
          <w:szCs w:val="20"/>
        </w:rPr>
        <w:t>n</w:t>
      </w:r>
      <w:proofErr w:type="spellEnd"/>
      <w:r w:rsidR="001D5165" w:rsidRPr="00001F7B">
        <w:rPr>
          <w:rFonts w:cstheme="minorHAnsi"/>
          <w:sz w:val="20"/>
          <w:szCs w:val="20"/>
        </w:rPr>
        <w:t xml:space="preserve"> 7</w:t>
      </w:r>
      <w:r w:rsidR="00AB421F" w:rsidRPr="00001F7B">
        <w:rPr>
          <w:rFonts w:cstheme="minorHAnsi"/>
          <w:sz w:val="20"/>
          <w:szCs w:val="20"/>
        </w:rPr>
        <w:t>6</w:t>
      </w:r>
      <w:r w:rsidR="00820468" w:rsidRPr="00001F7B">
        <w:rPr>
          <w:rFonts w:cstheme="minorHAnsi"/>
          <w:sz w:val="20"/>
          <w:szCs w:val="20"/>
        </w:rPr>
        <w:t xml:space="preserve">.  </w:t>
      </w:r>
      <w:r w:rsidR="00530DF3" w:rsidRPr="00001F7B">
        <w:rPr>
          <w:rFonts w:cstheme="minorHAnsi"/>
          <w:sz w:val="20"/>
          <w:szCs w:val="20"/>
        </w:rPr>
        <w:t>See also the references to contrasting views on reflection of CIL or progressive development in Village</w:t>
      </w:r>
      <w:r w:rsidR="002F0277" w:rsidRPr="00001F7B">
        <w:rPr>
          <w:rFonts w:cstheme="minorHAnsi"/>
          <w:sz w:val="20"/>
          <w:szCs w:val="20"/>
        </w:rPr>
        <w:t>r</w:t>
      </w:r>
      <w:r w:rsidR="00E67010" w:rsidRPr="00001F7B">
        <w:rPr>
          <w:rFonts w:cstheme="minorHAnsi"/>
          <w:sz w:val="20"/>
          <w:szCs w:val="20"/>
        </w:rPr>
        <w:t>, ‘</w:t>
      </w:r>
      <w:r w:rsidR="00E67010" w:rsidRPr="00001F7B">
        <w:rPr>
          <w:rFonts w:cstheme="minorHAnsi"/>
          <w:sz w:val="20"/>
          <w:szCs w:val="20"/>
          <w:shd w:val="clear" w:color="auto" w:fill="FFFFFF"/>
        </w:rPr>
        <w:t xml:space="preserve">The Rules on Interpretation - Misgivings, Misunderstandings, Miscarriage? The 'Crucible' Intended by the International Law Commission’ </w:t>
      </w:r>
      <w:proofErr w:type="spellStart"/>
      <w:r w:rsidR="00E67010" w:rsidRPr="00001F7B">
        <w:rPr>
          <w:rFonts w:cstheme="minorHAnsi"/>
          <w:sz w:val="20"/>
          <w:szCs w:val="20"/>
          <w:shd w:val="clear" w:color="auto" w:fill="FFFFFF"/>
        </w:rPr>
        <w:t>ch</w:t>
      </w:r>
      <w:proofErr w:type="spellEnd"/>
      <w:r w:rsidR="00E67010" w:rsidRPr="00001F7B">
        <w:rPr>
          <w:rFonts w:cstheme="minorHAnsi"/>
          <w:sz w:val="20"/>
          <w:szCs w:val="20"/>
          <w:shd w:val="clear" w:color="auto" w:fill="FFFFFF"/>
        </w:rPr>
        <w:t xml:space="preserve"> 6 in </w:t>
      </w:r>
      <w:r w:rsidR="00E67010" w:rsidRPr="00001F7B">
        <w:rPr>
          <w:rFonts w:eastAsia="Times New Roman" w:cstheme="minorHAnsi"/>
          <w:i/>
          <w:iCs/>
          <w:sz w:val="20"/>
          <w:szCs w:val="20"/>
          <w:lang w:eastAsia="en-GB"/>
        </w:rPr>
        <w:t>The Law of Treaties Beyond the Vienna Convention</w:t>
      </w:r>
      <w:r w:rsidR="00C94F3E" w:rsidRPr="00001F7B">
        <w:rPr>
          <w:rFonts w:eastAsia="Times New Roman" w:cstheme="minorHAnsi"/>
          <w:i/>
          <w:iCs/>
          <w:sz w:val="20"/>
          <w:szCs w:val="20"/>
          <w:lang w:eastAsia="en-GB"/>
        </w:rPr>
        <w:t xml:space="preserve"> </w:t>
      </w:r>
      <w:r w:rsidR="00C94F3E" w:rsidRPr="00001F7B">
        <w:rPr>
          <w:rFonts w:eastAsia="Times New Roman" w:cstheme="minorHAnsi"/>
          <w:color w:val="58595B"/>
          <w:sz w:val="20"/>
          <w:szCs w:val="20"/>
          <w:lang w:eastAsia="en-GB"/>
        </w:rPr>
        <w:t>Cannizzaro (ed) 2011, OUP</w:t>
      </w:r>
      <w:r w:rsidR="00C94F3E" w:rsidRPr="00001F7B">
        <w:rPr>
          <w:rFonts w:eastAsia="Times New Roman" w:cstheme="minorHAnsi"/>
          <w:sz w:val="20"/>
          <w:szCs w:val="20"/>
          <w:lang w:eastAsia="en-GB"/>
        </w:rPr>
        <w:t xml:space="preserve">, </w:t>
      </w:r>
      <w:r w:rsidR="002F0277" w:rsidRPr="00001F7B">
        <w:rPr>
          <w:rFonts w:cstheme="minorHAnsi"/>
          <w:sz w:val="20"/>
          <w:szCs w:val="20"/>
        </w:rPr>
        <w:t xml:space="preserve"> </w:t>
      </w:r>
      <w:r w:rsidR="00530DF3" w:rsidRPr="00001F7B">
        <w:rPr>
          <w:rFonts w:cstheme="minorHAnsi"/>
          <w:sz w:val="20"/>
          <w:szCs w:val="20"/>
        </w:rPr>
        <w:t>p</w:t>
      </w:r>
      <w:r w:rsidR="00D27B43" w:rsidRPr="00001F7B">
        <w:rPr>
          <w:rFonts w:cstheme="minorHAnsi"/>
          <w:sz w:val="20"/>
          <w:szCs w:val="20"/>
        </w:rPr>
        <w:t xml:space="preserve"> </w:t>
      </w:r>
      <w:r w:rsidR="00530DF3" w:rsidRPr="00001F7B">
        <w:rPr>
          <w:rFonts w:cstheme="minorHAnsi"/>
          <w:sz w:val="20"/>
          <w:szCs w:val="20"/>
        </w:rPr>
        <w:t>11</w:t>
      </w:r>
      <w:r w:rsidR="002F0277" w:rsidRPr="00001F7B">
        <w:rPr>
          <w:rFonts w:cstheme="minorHAnsi"/>
          <w:sz w:val="20"/>
          <w:szCs w:val="20"/>
        </w:rPr>
        <w:t>8 n</w:t>
      </w:r>
      <w:r w:rsidR="00D27B43" w:rsidRPr="00001F7B">
        <w:rPr>
          <w:rFonts w:cstheme="minorHAnsi"/>
          <w:sz w:val="20"/>
          <w:szCs w:val="20"/>
        </w:rPr>
        <w:t xml:space="preserve"> </w:t>
      </w:r>
      <w:r w:rsidR="002F0277" w:rsidRPr="00001F7B">
        <w:rPr>
          <w:rFonts w:cstheme="minorHAnsi"/>
          <w:sz w:val="20"/>
          <w:szCs w:val="20"/>
        </w:rPr>
        <w:t>8</w:t>
      </w:r>
      <w:r w:rsidR="0026256F" w:rsidRPr="00001F7B">
        <w:rPr>
          <w:rFonts w:cstheme="minorHAnsi"/>
          <w:sz w:val="20"/>
          <w:szCs w:val="20"/>
        </w:rPr>
        <w:t>0</w:t>
      </w:r>
      <w:r w:rsidR="002F0277" w:rsidRPr="00001F7B">
        <w:rPr>
          <w:rFonts w:cstheme="minorHAnsi"/>
          <w:sz w:val="20"/>
          <w:szCs w:val="20"/>
        </w:rPr>
        <w:t xml:space="preserve">. </w:t>
      </w:r>
      <w:r w:rsidR="00820468" w:rsidRPr="00001F7B">
        <w:rPr>
          <w:rFonts w:cstheme="minorHAnsi"/>
          <w:sz w:val="20"/>
          <w:szCs w:val="20"/>
        </w:rPr>
        <w:t>Note that in a case which involved consideration of the application of VCLT principles in respect of a dispute between states not party to it, the argument that although the rules reflect CIL it was the actual rules of CIL which apply rather than those in the Vienna Convention</w:t>
      </w:r>
      <w:r w:rsidR="00B0518A" w:rsidRPr="00001F7B">
        <w:rPr>
          <w:rFonts w:cstheme="minorHAnsi"/>
          <w:sz w:val="20"/>
          <w:szCs w:val="20"/>
        </w:rPr>
        <w:t>,</w:t>
      </w:r>
      <w:r w:rsidR="00820468" w:rsidRPr="00001F7B">
        <w:rPr>
          <w:rFonts w:cstheme="minorHAnsi"/>
          <w:sz w:val="20"/>
          <w:szCs w:val="20"/>
        </w:rPr>
        <w:t xml:space="preserve"> applied in an analytical and taxonomical fashion</w:t>
      </w:r>
      <w:r w:rsidR="00B0518A" w:rsidRPr="00001F7B">
        <w:rPr>
          <w:rFonts w:cstheme="minorHAnsi"/>
          <w:sz w:val="20"/>
          <w:szCs w:val="20"/>
        </w:rPr>
        <w:t>,</w:t>
      </w:r>
      <w:r w:rsidR="00820468" w:rsidRPr="00001F7B">
        <w:rPr>
          <w:rFonts w:cstheme="minorHAnsi"/>
          <w:sz w:val="20"/>
          <w:szCs w:val="20"/>
        </w:rPr>
        <w:t xml:space="preserve"> was rejected by the arbitration tribunal in </w:t>
      </w:r>
      <w:r w:rsidR="00820468" w:rsidRPr="00001F7B">
        <w:rPr>
          <w:rFonts w:cstheme="minorHAnsi"/>
          <w:i/>
          <w:iCs/>
          <w:sz w:val="20"/>
          <w:szCs w:val="20"/>
        </w:rPr>
        <w:t>Rhine Chlorides (Netherlands/France),</w:t>
      </w:r>
      <w:r w:rsidR="00820468" w:rsidRPr="00001F7B">
        <w:rPr>
          <w:rFonts w:cstheme="minorHAnsi"/>
          <w:sz w:val="20"/>
          <w:szCs w:val="20"/>
        </w:rPr>
        <w:t xml:space="preserve"> 12.3.2004, 144 ILR 259, considered by Gardiner, </w:t>
      </w:r>
      <w:r w:rsidR="00BB518B" w:rsidRPr="00001F7B">
        <w:rPr>
          <w:rFonts w:cstheme="minorHAnsi"/>
          <w:sz w:val="20"/>
          <w:szCs w:val="20"/>
        </w:rPr>
        <w:t xml:space="preserve">above, </w:t>
      </w:r>
      <w:proofErr w:type="spellStart"/>
      <w:r w:rsidR="00BB518B" w:rsidRPr="00001F7B">
        <w:rPr>
          <w:rFonts w:cstheme="minorHAnsi"/>
          <w:sz w:val="20"/>
          <w:szCs w:val="20"/>
        </w:rPr>
        <w:t>fn</w:t>
      </w:r>
      <w:proofErr w:type="spellEnd"/>
      <w:r w:rsidR="00BB518B" w:rsidRPr="00001F7B">
        <w:rPr>
          <w:rFonts w:cstheme="minorHAnsi"/>
          <w:sz w:val="20"/>
          <w:szCs w:val="20"/>
        </w:rPr>
        <w:t xml:space="preserve"> </w:t>
      </w:r>
      <w:r w:rsidR="005B29F9" w:rsidRPr="00001F7B">
        <w:rPr>
          <w:rFonts w:cstheme="minorHAnsi"/>
          <w:sz w:val="20"/>
          <w:szCs w:val="20"/>
        </w:rPr>
        <w:t>5</w:t>
      </w:r>
      <w:r w:rsidR="00BB518B" w:rsidRPr="00001F7B">
        <w:rPr>
          <w:rFonts w:cstheme="minorHAnsi"/>
          <w:sz w:val="20"/>
          <w:szCs w:val="20"/>
        </w:rPr>
        <w:t xml:space="preserve">, </w:t>
      </w:r>
      <w:r w:rsidR="00820468" w:rsidRPr="00001F7B">
        <w:rPr>
          <w:rFonts w:cstheme="minorHAnsi"/>
          <w:sz w:val="20"/>
          <w:szCs w:val="20"/>
        </w:rPr>
        <w:t>p</w:t>
      </w:r>
      <w:r w:rsidR="00BB518B" w:rsidRPr="00001F7B">
        <w:rPr>
          <w:rFonts w:cstheme="minorHAnsi"/>
          <w:sz w:val="20"/>
          <w:szCs w:val="20"/>
        </w:rPr>
        <w:t xml:space="preserve"> </w:t>
      </w:r>
      <w:r w:rsidR="00820468" w:rsidRPr="00001F7B">
        <w:rPr>
          <w:rFonts w:cstheme="minorHAnsi"/>
          <w:sz w:val="20"/>
          <w:szCs w:val="20"/>
        </w:rPr>
        <w:t>174</w:t>
      </w:r>
    </w:p>
  </w:footnote>
  <w:footnote w:id="49">
    <w:p w14:paraId="7538EA39" w14:textId="6C925DC8" w:rsidR="003C7B52" w:rsidRPr="00001F7B" w:rsidRDefault="003C7B52">
      <w:pPr>
        <w:pStyle w:val="FootnoteText"/>
        <w:rPr>
          <w:rFonts w:cstheme="minorHAnsi"/>
        </w:rPr>
      </w:pPr>
      <w:r w:rsidRPr="00001F7B">
        <w:rPr>
          <w:rStyle w:val="FootnoteReference"/>
          <w:rFonts w:cstheme="minorHAnsi"/>
        </w:rPr>
        <w:footnoteRef/>
      </w:r>
      <w:r w:rsidRPr="00001F7B">
        <w:rPr>
          <w:rFonts w:cstheme="minorHAnsi"/>
        </w:rPr>
        <w:t xml:space="preserve"> </w:t>
      </w:r>
      <w:r w:rsidR="00B0518A" w:rsidRPr="00001F7B">
        <w:rPr>
          <w:rFonts w:cstheme="minorHAnsi"/>
        </w:rPr>
        <w:t>Report of the International Law Commission of its Seventieth Session (</w:t>
      </w:r>
      <w:r w:rsidR="002500B4" w:rsidRPr="00001F7B">
        <w:rPr>
          <w:rFonts w:cstheme="minorHAnsi"/>
        </w:rPr>
        <w:t>30 April–1 June and 2 July–10 August 2018)</w:t>
      </w:r>
      <w:r w:rsidR="00B0518A" w:rsidRPr="00001F7B">
        <w:rPr>
          <w:rFonts w:cstheme="minorHAnsi"/>
        </w:rPr>
        <w:t xml:space="preserve">, </w:t>
      </w:r>
      <w:r w:rsidR="002500B4" w:rsidRPr="00001F7B">
        <w:rPr>
          <w:rFonts w:cstheme="minorHAnsi"/>
        </w:rPr>
        <w:t>UN Doc., A/73/10,  Ch V ‘</w:t>
      </w:r>
      <w:bookmarkStart w:id="5" w:name="_Hlk112586545"/>
      <w:r w:rsidR="002500B4" w:rsidRPr="00001F7B">
        <w:rPr>
          <w:rFonts w:cstheme="minorHAnsi"/>
        </w:rPr>
        <w:t>Identification of Customary International Law</w:t>
      </w:r>
      <w:bookmarkEnd w:id="5"/>
      <w:r w:rsidR="002500B4" w:rsidRPr="00001F7B">
        <w:rPr>
          <w:rFonts w:cstheme="minorHAnsi"/>
        </w:rPr>
        <w:t xml:space="preserve">‘ </w:t>
      </w:r>
      <w:r w:rsidRPr="00001F7B">
        <w:rPr>
          <w:rFonts w:cstheme="minorHAnsi"/>
        </w:rPr>
        <w:t>Conclusion 2</w:t>
      </w:r>
      <w:bookmarkStart w:id="6" w:name="_Hlk112531812"/>
      <w:r w:rsidR="002500B4" w:rsidRPr="00001F7B">
        <w:rPr>
          <w:rFonts w:cstheme="minorHAnsi"/>
        </w:rPr>
        <w:t>,</w:t>
      </w:r>
      <w:r w:rsidRPr="00001F7B">
        <w:rPr>
          <w:rFonts w:cstheme="minorHAnsi"/>
        </w:rPr>
        <w:t xml:space="preserve"> </w:t>
      </w:r>
      <w:bookmarkEnd w:id="6"/>
      <w:r w:rsidRPr="00001F7B">
        <w:rPr>
          <w:rFonts w:cstheme="minorHAnsi"/>
        </w:rPr>
        <w:t>p</w:t>
      </w:r>
      <w:r w:rsidR="002500B4" w:rsidRPr="00001F7B">
        <w:rPr>
          <w:rFonts w:cstheme="minorHAnsi"/>
        </w:rPr>
        <w:t xml:space="preserve"> </w:t>
      </w:r>
      <w:r w:rsidRPr="00001F7B">
        <w:rPr>
          <w:rFonts w:cstheme="minorHAnsi"/>
        </w:rPr>
        <w:t>119: “To determine the existence and content of a rule of customary international law, it is necessary to ascertain whether there is a general practice that is accepted as law (</w:t>
      </w:r>
      <w:proofErr w:type="spellStart"/>
      <w:r w:rsidRPr="00001F7B">
        <w:rPr>
          <w:rFonts w:cstheme="minorHAnsi"/>
          <w:i/>
          <w:iCs/>
        </w:rPr>
        <w:t>opinio</w:t>
      </w:r>
      <w:proofErr w:type="spellEnd"/>
      <w:r w:rsidRPr="00001F7B">
        <w:rPr>
          <w:rFonts w:cstheme="minorHAnsi"/>
          <w:i/>
          <w:iCs/>
        </w:rPr>
        <w:t xml:space="preserve"> juris</w:t>
      </w:r>
      <w:r w:rsidRPr="00001F7B">
        <w:rPr>
          <w:rFonts w:cstheme="minorHAnsi"/>
        </w:rPr>
        <w:t>).” Conclusion 8 states (p</w:t>
      </w:r>
      <w:r w:rsidR="002500B4" w:rsidRPr="00001F7B">
        <w:rPr>
          <w:rFonts w:cstheme="minorHAnsi"/>
        </w:rPr>
        <w:t xml:space="preserve"> </w:t>
      </w:r>
      <w:r w:rsidRPr="00001F7B">
        <w:rPr>
          <w:rFonts w:cstheme="minorHAnsi"/>
        </w:rPr>
        <w:t>135) “The relevant practice must be general, meaning that it must be sufficiently widespread and representative, as well as consistent.”  Guzman and Meyer, ‘Customary International Law in the 21</w:t>
      </w:r>
      <w:r w:rsidRPr="00001F7B">
        <w:rPr>
          <w:rFonts w:cstheme="minorHAnsi"/>
          <w:vertAlign w:val="superscript"/>
        </w:rPr>
        <w:t>st</w:t>
      </w:r>
      <w:r w:rsidRPr="00001F7B">
        <w:rPr>
          <w:rFonts w:cstheme="minorHAnsi"/>
        </w:rPr>
        <w:t xml:space="preserve"> Century’ in </w:t>
      </w:r>
      <w:r w:rsidRPr="00001F7B">
        <w:rPr>
          <w:rFonts w:cstheme="minorHAnsi"/>
          <w:i/>
          <w:iCs/>
        </w:rPr>
        <w:t>Progress in International Law</w:t>
      </w:r>
      <w:r w:rsidRPr="00001F7B">
        <w:rPr>
          <w:rFonts w:cstheme="minorHAnsi"/>
        </w:rPr>
        <w:t xml:space="preserve">, Miller and </w:t>
      </w:r>
      <w:proofErr w:type="spellStart"/>
      <w:r w:rsidRPr="00001F7B">
        <w:rPr>
          <w:rFonts w:cstheme="minorHAnsi"/>
        </w:rPr>
        <w:t>Bratspies</w:t>
      </w:r>
      <w:proofErr w:type="spellEnd"/>
      <w:r w:rsidRPr="00001F7B">
        <w:rPr>
          <w:rFonts w:cstheme="minorHAnsi"/>
        </w:rPr>
        <w:t xml:space="preserve"> eds,</w:t>
      </w:r>
      <w:r w:rsidR="00E57920" w:rsidRPr="00001F7B">
        <w:rPr>
          <w:rFonts w:cstheme="minorHAnsi"/>
        </w:rPr>
        <w:t xml:space="preserve"> 2008,</w:t>
      </w:r>
      <w:r w:rsidRPr="00001F7B">
        <w:rPr>
          <w:rFonts w:cstheme="minorHAnsi"/>
        </w:rPr>
        <w:t xml:space="preserve"> Brill,</w:t>
      </w:r>
      <w:r w:rsidR="00171C50" w:rsidRPr="00001F7B">
        <w:rPr>
          <w:rFonts w:cstheme="minorHAnsi"/>
        </w:rPr>
        <w:t xml:space="preserve"> 197, </w:t>
      </w:r>
      <w:r w:rsidRPr="00001F7B">
        <w:rPr>
          <w:rFonts w:cstheme="minorHAnsi"/>
        </w:rPr>
        <w:t>at p</w:t>
      </w:r>
      <w:r w:rsidR="00171C50" w:rsidRPr="00001F7B">
        <w:rPr>
          <w:rFonts w:cstheme="minorHAnsi"/>
        </w:rPr>
        <w:t xml:space="preserve"> </w:t>
      </w:r>
      <w:r w:rsidR="0037624E" w:rsidRPr="00001F7B">
        <w:rPr>
          <w:rFonts w:cstheme="minorHAnsi"/>
        </w:rPr>
        <w:t>198</w:t>
      </w:r>
      <w:r w:rsidRPr="00001F7B">
        <w:rPr>
          <w:rFonts w:cstheme="minorHAnsi"/>
        </w:rPr>
        <w:t xml:space="preserve"> state: “State practice is an objective requirement that focuses on the </w:t>
      </w:r>
      <w:r w:rsidR="000B2184" w:rsidRPr="00001F7B">
        <w:rPr>
          <w:rFonts w:cstheme="minorHAnsi"/>
        </w:rPr>
        <w:t>behaviour</w:t>
      </w:r>
      <w:r w:rsidRPr="00001F7B">
        <w:rPr>
          <w:rFonts w:cstheme="minorHAnsi"/>
        </w:rPr>
        <w:t xml:space="preserve"> of states. In contrast, the </w:t>
      </w:r>
      <w:proofErr w:type="spellStart"/>
      <w:r w:rsidRPr="00001F7B">
        <w:rPr>
          <w:rFonts w:cstheme="minorHAnsi"/>
          <w:i/>
          <w:iCs/>
        </w:rPr>
        <w:t>opinio</w:t>
      </w:r>
      <w:proofErr w:type="spellEnd"/>
      <w:r w:rsidRPr="00001F7B">
        <w:rPr>
          <w:rFonts w:cstheme="minorHAnsi"/>
          <w:i/>
          <w:iCs/>
        </w:rPr>
        <w:t xml:space="preserve"> juris</w:t>
      </w:r>
      <w:r w:rsidRPr="00001F7B">
        <w:rPr>
          <w:rFonts w:cstheme="minorHAnsi"/>
        </w:rPr>
        <w:t xml:space="preserve"> requirement focuses on the subjective belief of the state in question. Specifically, the </w:t>
      </w:r>
      <w:proofErr w:type="spellStart"/>
      <w:r w:rsidRPr="00001F7B">
        <w:rPr>
          <w:rFonts w:cstheme="minorHAnsi"/>
          <w:i/>
          <w:iCs/>
        </w:rPr>
        <w:t>opinio</w:t>
      </w:r>
      <w:proofErr w:type="spellEnd"/>
      <w:r w:rsidRPr="00001F7B">
        <w:rPr>
          <w:rFonts w:cstheme="minorHAnsi"/>
          <w:i/>
          <w:iCs/>
        </w:rPr>
        <w:t xml:space="preserve"> juris</w:t>
      </w:r>
      <w:r w:rsidRPr="00001F7B">
        <w:rPr>
          <w:rFonts w:cstheme="minorHAnsi"/>
        </w:rPr>
        <w:t xml:space="preserve"> requirement requires that a state believe itself to be bound by the customary rule in question. ”</w:t>
      </w:r>
    </w:p>
  </w:footnote>
  <w:footnote w:id="50">
    <w:p w14:paraId="0EF657ED" w14:textId="2C340C24" w:rsidR="00C42FDE" w:rsidRPr="00001F7B" w:rsidRDefault="00C42FDE">
      <w:pPr>
        <w:pStyle w:val="FootnoteText"/>
        <w:rPr>
          <w:rFonts w:cstheme="minorHAnsi"/>
        </w:rPr>
      </w:pPr>
      <w:r w:rsidRPr="00001F7B">
        <w:rPr>
          <w:rStyle w:val="FootnoteReference"/>
          <w:rFonts w:cstheme="minorHAnsi"/>
        </w:rPr>
        <w:footnoteRef/>
      </w:r>
      <w:r w:rsidRPr="00001F7B">
        <w:rPr>
          <w:rFonts w:cstheme="minorHAnsi"/>
        </w:rPr>
        <w:t xml:space="preserve"> </w:t>
      </w:r>
      <w:r w:rsidR="00E81228" w:rsidRPr="00001F7B">
        <w:rPr>
          <w:rFonts w:cstheme="minorHAnsi"/>
        </w:rPr>
        <w:t xml:space="preserve">As </w:t>
      </w:r>
      <w:r w:rsidR="00EB38B4" w:rsidRPr="00001F7B">
        <w:rPr>
          <w:rFonts w:cstheme="minorHAnsi"/>
        </w:rPr>
        <w:t>Villager says</w:t>
      </w:r>
      <w:r w:rsidR="0037624E" w:rsidRPr="00001F7B">
        <w:rPr>
          <w:rFonts w:cstheme="minorHAnsi"/>
        </w:rPr>
        <w:t xml:space="preserve">, above, </w:t>
      </w:r>
      <w:proofErr w:type="spellStart"/>
      <w:r w:rsidR="0037624E" w:rsidRPr="00001F7B">
        <w:rPr>
          <w:rFonts w:cstheme="minorHAnsi"/>
        </w:rPr>
        <w:t>fn</w:t>
      </w:r>
      <w:proofErr w:type="spellEnd"/>
      <w:r w:rsidR="0037624E" w:rsidRPr="00001F7B">
        <w:rPr>
          <w:rFonts w:cstheme="minorHAnsi"/>
        </w:rPr>
        <w:t xml:space="preserve"> </w:t>
      </w:r>
      <w:r w:rsidR="000B2184" w:rsidRPr="00001F7B">
        <w:rPr>
          <w:rFonts w:cstheme="minorHAnsi"/>
        </w:rPr>
        <w:t>47</w:t>
      </w:r>
      <w:r w:rsidR="0037624E" w:rsidRPr="00001F7B">
        <w:rPr>
          <w:rFonts w:cstheme="minorHAnsi"/>
        </w:rPr>
        <w:t xml:space="preserve">, </w:t>
      </w:r>
      <w:r w:rsidR="00EB38B4" w:rsidRPr="00001F7B">
        <w:rPr>
          <w:rFonts w:cstheme="minorHAnsi"/>
        </w:rPr>
        <w:t>p</w:t>
      </w:r>
      <w:r w:rsidR="0037624E" w:rsidRPr="00001F7B">
        <w:rPr>
          <w:rFonts w:cstheme="minorHAnsi"/>
        </w:rPr>
        <w:t xml:space="preserve">p </w:t>
      </w:r>
      <w:r w:rsidR="00EB38B4" w:rsidRPr="00001F7B">
        <w:rPr>
          <w:rFonts w:cstheme="minorHAnsi"/>
        </w:rPr>
        <w:t>11</w:t>
      </w:r>
      <w:r w:rsidR="008F5659" w:rsidRPr="00001F7B">
        <w:rPr>
          <w:rFonts w:cstheme="minorHAnsi"/>
        </w:rPr>
        <w:t>7</w:t>
      </w:r>
      <w:r w:rsidR="0037624E" w:rsidRPr="00001F7B">
        <w:rPr>
          <w:rFonts w:cstheme="minorHAnsi"/>
        </w:rPr>
        <w:t>-11</w:t>
      </w:r>
      <w:r w:rsidR="008F5659" w:rsidRPr="00001F7B">
        <w:rPr>
          <w:rFonts w:cstheme="minorHAnsi"/>
        </w:rPr>
        <w:t>8</w:t>
      </w:r>
      <w:r w:rsidR="00E81228" w:rsidRPr="00001F7B">
        <w:rPr>
          <w:rFonts w:cstheme="minorHAnsi"/>
        </w:rPr>
        <w:t>:</w:t>
      </w:r>
      <w:r w:rsidR="00EB38B4" w:rsidRPr="00001F7B">
        <w:rPr>
          <w:rFonts w:cstheme="minorHAnsi"/>
        </w:rPr>
        <w:t xml:space="preserve"> </w:t>
      </w:r>
      <w:r w:rsidR="008F5659" w:rsidRPr="00001F7B">
        <w:rPr>
          <w:rFonts w:cstheme="minorHAnsi"/>
        </w:rPr>
        <w:t>“</w:t>
      </w:r>
      <w:r w:rsidR="00EB38B4" w:rsidRPr="00001F7B">
        <w:rPr>
          <w:rFonts w:cstheme="minorHAnsi"/>
        </w:rPr>
        <w:t>In view of the unsettled pre-1969 situation, in particular the various methods of interpretation, a customary rule on interpretation could not have arisen before the ILC took up the matter. The ILC, while attempting to ‘isolate and codify the basic rules of interpretation’, reached consensus only at an advanced stage on the (hence originally innovative) structure of the ‘General Rule’ in Article 31.</w:t>
      </w:r>
      <w:r w:rsidR="008F5659" w:rsidRPr="00001F7B">
        <w:rPr>
          <w:rFonts w:cstheme="minorHAnsi"/>
        </w:rPr>
        <w:t>”</w:t>
      </w:r>
    </w:p>
  </w:footnote>
  <w:footnote w:id="51">
    <w:p w14:paraId="5F2EF949" w14:textId="077F5E72" w:rsidR="00E102BB" w:rsidRPr="00001F7B" w:rsidRDefault="00E102BB">
      <w:pPr>
        <w:pStyle w:val="FootnoteText"/>
        <w:rPr>
          <w:rFonts w:cstheme="minorHAnsi"/>
        </w:rPr>
      </w:pPr>
      <w:r w:rsidRPr="00001F7B">
        <w:rPr>
          <w:rStyle w:val="FootnoteReference"/>
          <w:rFonts w:cstheme="minorHAnsi"/>
        </w:rPr>
        <w:footnoteRef/>
      </w:r>
      <w:r w:rsidRPr="00001F7B">
        <w:rPr>
          <w:rFonts w:cstheme="minorHAnsi"/>
        </w:rPr>
        <w:t xml:space="preserve"> A basis for the retroactive effect is sometimes seen in the idea that VCLT codified the international law at the time – </w:t>
      </w:r>
      <w:proofErr w:type="spellStart"/>
      <w:r w:rsidRPr="00001F7B">
        <w:rPr>
          <w:rFonts w:cstheme="minorHAnsi"/>
        </w:rPr>
        <w:t>He</w:t>
      </w:r>
      <w:r w:rsidR="00DE0492" w:rsidRPr="00001F7B">
        <w:rPr>
          <w:rFonts w:cstheme="minorHAnsi"/>
        </w:rPr>
        <w:t>n</w:t>
      </w:r>
      <w:r w:rsidRPr="00001F7B">
        <w:rPr>
          <w:rFonts w:cstheme="minorHAnsi"/>
        </w:rPr>
        <w:t>drik</w:t>
      </w:r>
      <w:r w:rsidR="00E1335D">
        <w:rPr>
          <w:rFonts w:cstheme="minorHAnsi"/>
        </w:rPr>
        <w:t>s</w:t>
      </w:r>
      <w:r w:rsidRPr="00001F7B">
        <w:rPr>
          <w:rFonts w:cstheme="minorHAnsi"/>
        </w:rPr>
        <w:t>e</w:t>
      </w:r>
      <w:proofErr w:type="spellEnd"/>
      <w:r w:rsidRPr="00001F7B">
        <w:rPr>
          <w:rFonts w:cstheme="minorHAnsi"/>
        </w:rPr>
        <w:t xml:space="preserve"> and </w:t>
      </w:r>
      <w:proofErr w:type="spellStart"/>
      <w:r w:rsidRPr="00001F7B">
        <w:rPr>
          <w:rFonts w:cstheme="minorHAnsi"/>
        </w:rPr>
        <w:t>Margetson</w:t>
      </w:r>
      <w:proofErr w:type="spellEnd"/>
      <w:r w:rsidR="00DE0492" w:rsidRPr="00001F7B">
        <w:rPr>
          <w:rFonts w:cstheme="minorHAnsi"/>
        </w:rPr>
        <w:t>, a</w:t>
      </w:r>
      <w:r w:rsidR="00644288" w:rsidRPr="00001F7B">
        <w:rPr>
          <w:rFonts w:cstheme="minorHAnsi"/>
        </w:rPr>
        <w:t>bove</w:t>
      </w:r>
      <w:r w:rsidR="00DE0492" w:rsidRPr="00001F7B">
        <w:rPr>
          <w:rFonts w:cstheme="minorHAnsi"/>
        </w:rPr>
        <w:t xml:space="preserve">, </w:t>
      </w:r>
      <w:proofErr w:type="spellStart"/>
      <w:r w:rsidR="00DE0492" w:rsidRPr="00001F7B">
        <w:rPr>
          <w:rFonts w:cstheme="minorHAnsi"/>
        </w:rPr>
        <w:t>fn</w:t>
      </w:r>
      <w:proofErr w:type="spellEnd"/>
      <w:r w:rsidR="00DE0492" w:rsidRPr="00001F7B">
        <w:rPr>
          <w:rFonts w:cstheme="minorHAnsi"/>
        </w:rPr>
        <w:t xml:space="preserve"> </w:t>
      </w:r>
      <w:r w:rsidR="004F1B63" w:rsidRPr="00001F7B">
        <w:rPr>
          <w:rFonts w:cstheme="minorHAnsi"/>
        </w:rPr>
        <w:t>10</w:t>
      </w:r>
      <w:r w:rsidR="00DE0492" w:rsidRPr="00001F7B">
        <w:rPr>
          <w:rFonts w:cstheme="minorHAnsi"/>
        </w:rPr>
        <w:t>,</w:t>
      </w:r>
      <w:r w:rsidRPr="00001F7B">
        <w:rPr>
          <w:rFonts w:cstheme="minorHAnsi"/>
        </w:rPr>
        <w:t xml:space="preserve"> </w:t>
      </w:r>
      <w:r w:rsidR="00DE0492" w:rsidRPr="00001F7B">
        <w:rPr>
          <w:rFonts w:cstheme="minorHAnsi"/>
        </w:rPr>
        <w:t xml:space="preserve">p </w:t>
      </w:r>
      <w:r w:rsidRPr="00001F7B">
        <w:rPr>
          <w:rFonts w:cstheme="minorHAnsi"/>
        </w:rPr>
        <w:t xml:space="preserve">75 and </w:t>
      </w:r>
      <w:r w:rsidR="00DE0492" w:rsidRPr="00001F7B">
        <w:rPr>
          <w:rFonts w:cstheme="minorHAnsi"/>
        </w:rPr>
        <w:t xml:space="preserve">sources cited </w:t>
      </w:r>
      <w:r w:rsidR="008F3D56" w:rsidRPr="00001F7B">
        <w:rPr>
          <w:rFonts w:cstheme="minorHAnsi"/>
        </w:rPr>
        <w:t>by them in n 25.</w:t>
      </w:r>
      <w:r w:rsidR="00960DCE" w:rsidRPr="00001F7B">
        <w:rPr>
          <w:rFonts w:cstheme="minorHAnsi"/>
        </w:rPr>
        <w:t xml:space="preserve"> In the draft of 1964</w:t>
      </w:r>
      <w:r w:rsidR="004F1B63" w:rsidRPr="00001F7B">
        <w:rPr>
          <w:rFonts w:cstheme="minorHAnsi"/>
        </w:rPr>
        <w:t>,</w:t>
      </w:r>
      <w:r w:rsidR="00960DCE" w:rsidRPr="00001F7B">
        <w:rPr>
          <w:rFonts w:cstheme="minorHAnsi"/>
        </w:rPr>
        <w:t xml:space="preserve"> the reference to taking into account any general relevant rules of international law in determining ordinary meaning went on to refer to those </w:t>
      </w:r>
      <w:r w:rsidR="00960DCE" w:rsidRPr="00001F7B">
        <w:rPr>
          <w:rFonts w:cstheme="minorHAnsi"/>
          <w:i/>
          <w:iCs/>
        </w:rPr>
        <w:t>in force at the time of its conclusion</w:t>
      </w:r>
      <w:r w:rsidR="00960DCE" w:rsidRPr="00001F7B">
        <w:rPr>
          <w:rFonts w:cstheme="minorHAnsi"/>
        </w:rPr>
        <w:t>. These words were a reflection of the general principle that a juridical fact must be appreciated in the light of the law contemporary with It (the inter</w:t>
      </w:r>
      <w:r w:rsidR="008F3D56" w:rsidRPr="00001F7B">
        <w:rPr>
          <w:rFonts w:cstheme="minorHAnsi"/>
        </w:rPr>
        <w:t>-</w:t>
      </w:r>
      <w:r w:rsidR="00960DCE" w:rsidRPr="00001F7B">
        <w:rPr>
          <w:rFonts w:cstheme="minorHAnsi"/>
        </w:rPr>
        <w:t>temporal law). They were excised from the 1966 draft but this does not seem to have been intended to negate the principle, to prevent any difficulty of potential evolution of the law</w:t>
      </w:r>
      <w:r w:rsidR="00760243" w:rsidRPr="00001F7B">
        <w:rPr>
          <w:rFonts w:cstheme="minorHAnsi"/>
        </w:rPr>
        <w:t xml:space="preserve">. The absence of any </w:t>
      </w:r>
      <w:r w:rsidR="00870755" w:rsidRPr="00001F7B">
        <w:rPr>
          <w:rFonts w:cstheme="minorHAnsi"/>
        </w:rPr>
        <w:t>clearly identifiable</w:t>
      </w:r>
      <w:r w:rsidR="00760243" w:rsidRPr="00001F7B">
        <w:rPr>
          <w:rFonts w:cstheme="minorHAnsi"/>
        </w:rPr>
        <w:t xml:space="preserve"> CIL at that time </w:t>
      </w:r>
      <w:r w:rsidR="008F3D56" w:rsidRPr="00001F7B">
        <w:rPr>
          <w:rFonts w:cstheme="minorHAnsi"/>
        </w:rPr>
        <w:t xml:space="preserve">suggests that the foundations for the codification of CIL view were shaky.  However, the idea that they were a crystallisation of emerging CIL seems </w:t>
      </w:r>
      <w:r w:rsidR="00870755" w:rsidRPr="00001F7B">
        <w:rPr>
          <w:rFonts w:cstheme="minorHAnsi"/>
        </w:rPr>
        <w:t xml:space="preserve">to be a </w:t>
      </w:r>
      <w:r w:rsidR="008F3D56" w:rsidRPr="00001F7B">
        <w:rPr>
          <w:rFonts w:cstheme="minorHAnsi"/>
        </w:rPr>
        <w:t>stronger</w:t>
      </w:r>
      <w:r w:rsidR="00870755" w:rsidRPr="00001F7B">
        <w:rPr>
          <w:rFonts w:cstheme="minorHAnsi"/>
        </w:rPr>
        <w:t xml:space="preserve"> basi</w:t>
      </w:r>
      <w:r w:rsidR="000634F8" w:rsidRPr="00001F7B">
        <w:rPr>
          <w:rFonts w:cstheme="minorHAnsi"/>
        </w:rPr>
        <w:t xml:space="preserve">s (see below, </w:t>
      </w:r>
      <w:proofErr w:type="spellStart"/>
      <w:r w:rsidR="000634F8" w:rsidRPr="00001F7B">
        <w:rPr>
          <w:rFonts w:cstheme="minorHAnsi"/>
        </w:rPr>
        <w:t>fn</w:t>
      </w:r>
      <w:proofErr w:type="spellEnd"/>
      <w:r w:rsidR="000634F8" w:rsidRPr="00001F7B">
        <w:rPr>
          <w:rFonts w:cstheme="minorHAnsi"/>
        </w:rPr>
        <w:t xml:space="preserve"> 55)</w:t>
      </w:r>
      <w:r w:rsidR="008F3D56" w:rsidRPr="00001F7B">
        <w:rPr>
          <w:rFonts w:cstheme="minorHAnsi"/>
        </w:rPr>
        <w:t>.</w:t>
      </w:r>
    </w:p>
  </w:footnote>
  <w:footnote w:id="52">
    <w:p w14:paraId="502FD750" w14:textId="16631D87" w:rsidR="007545F6" w:rsidRPr="00001F7B" w:rsidRDefault="007545F6" w:rsidP="007545F6">
      <w:pPr>
        <w:pStyle w:val="FootnoteText"/>
        <w:rPr>
          <w:rFonts w:cstheme="minorHAnsi"/>
        </w:rPr>
      </w:pPr>
      <w:r w:rsidRPr="00001F7B">
        <w:rPr>
          <w:rStyle w:val="FootnoteReference"/>
          <w:rFonts w:cstheme="minorHAnsi"/>
        </w:rPr>
        <w:footnoteRef/>
      </w:r>
      <w:r w:rsidRPr="00001F7B">
        <w:rPr>
          <w:rFonts w:cstheme="minorHAnsi"/>
        </w:rPr>
        <w:t xml:space="preserve"> 1966</w:t>
      </w:r>
      <w:r w:rsidR="00870755" w:rsidRPr="00001F7B">
        <w:rPr>
          <w:rFonts w:cstheme="minorHAnsi"/>
        </w:rPr>
        <w:t xml:space="preserve"> Commentary</w:t>
      </w:r>
      <w:r w:rsidRPr="00001F7B">
        <w:rPr>
          <w:rFonts w:cstheme="minorHAnsi"/>
        </w:rPr>
        <w:t xml:space="preserve">, </w:t>
      </w:r>
      <w:r w:rsidR="004F1B63" w:rsidRPr="00001F7B">
        <w:rPr>
          <w:rFonts w:cstheme="minorHAnsi"/>
        </w:rPr>
        <w:t xml:space="preserve">above, </w:t>
      </w:r>
      <w:proofErr w:type="spellStart"/>
      <w:r w:rsidR="004F1B63" w:rsidRPr="00001F7B">
        <w:rPr>
          <w:rFonts w:cstheme="minorHAnsi"/>
        </w:rPr>
        <w:t>fn</w:t>
      </w:r>
      <w:proofErr w:type="spellEnd"/>
      <w:r w:rsidR="004F1B63" w:rsidRPr="00001F7B">
        <w:rPr>
          <w:rFonts w:cstheme="minorHAnsi"/>
        </w:rPr>
        <w:t xml:space="preserve"> 38, </w:t>
      </w:r>
      <w:r w:rsidRPr="00001F7B">
        <w:rPr>
          <w:rFonts w:cstheme="minorHAnsi"/>
        </w:rPr>
        <w:t>p</w:t>
      </w:r>
      <w:r w:rsidR="004F1B63" w:rsidRPr="00001F7B">
        <w:rPr>
          <w:rFonts w:cstheme="minorHAnsi"/>
        </w:rPr>
        <w:t xml:space="preserve"> </w:t>
      </w:r>
      <w:r w:rsidRPr="00001F7B">
        <w:rPr>
          <w:rFonts w:cstheme="minorHAnsi"/>
        </w:rPr>
        <w:t>219 para (5): “...the establishment of some measure of agreement in regard to the basic rules of interpretation is important not only for the application but also for the drafting of treaties.” This is reinforced by the fact that in the draft of 1964 the reference</w:t>
      </w:r>
      <w:r w:rsidR="00870755" w:rsidRPr="00001F7B">
        <w:rPr>
          <w:rFonts w:cstheme="minorHAnsi"/>
        </w:rPr>
        <w:t xml:space="preserve"> </w:t>
      </w:r>
      <w:r w:rsidR="008701D9" w:rsidRPr="00001F7B">
        <w:rPr>
          <w:rFonts w:cstheme="minorHAnsi"/>
        </w:rPr>
        <w:t xml:space="preserve">(at that time in art 70) </w:t>
      </w:r>
      <w:r w:rsidRPr="00001F7B">
        <w:rPr>
          <w:rFonts w:cstheme="minorHAnsi"/>
        </w:rPr>
        <w:t xml:space="preserve">to taking into account any general relevant rules of international law in determining ordinary meaning went on to refer to those </w:t>
      </w:r>
      <w:r w:rsidRPr="00001F7B">
        <w:rPr>
          <w:rFonts w:cstheme="minorHAnsi"/>
          <w:i/>
          <w:iCs/>
        </w:rPr>
        <w:t>in force at the time of its conclusion</w:t>
      </w:r>
      <w:r w:rsidRPr="00001F7B">
        <w:rPr>
          <w:rFonts w:cstheme="minorHAnsi"/>
        </w:rPr>
        <w:t>.</w:t>
      </w:r>
      <w:r w:rsidR="00782D1D" w:rsidRPr="00001F7B">
        <w:rPr>
          <w:rFonts w:cstheme="minorHAnsi"/>
        </w:rPr>
        <w:t xml:space="preserve"> </w:t>
      </w:r>
      <w:r w:rsidRPr="00001F7B">
        <w:rPr>
          <w:rFonts w:cstheme="minorHAnsi"/>
        </w:rPr>
        <w:t xml:space="preserve">These words reflected the general principle that a juridical fact must be appreciated in the light of the law contemporary with </w:t>
      </w:r>
      <w:r w:rsidR="00E83A07">
        <w:rPr>
          <w:rFonts w:cstheme="minorHAnsi"/>
        </w:rPr>
        <w:t>i</w:t>
      </w:r>
      <w:r w:rsidRPr="00001F7B">
        <w:rPr>
          <w:rFonts w:cstheme="minorHAnsi"/>
        </w:rPr>
        <w:t>t (the inter-temporal law). They were excised from the 1966 draft but this does not seem to have been intended to negate the principle</w:t>
      </w:r>
      <w:r w:rsidR="008701D9" w:rsidRPr="00001F7B">
        <w:rPr>
          <w:rFonts w:cstheme="minorHAnsi"/>
        </w:rPr>
        <w:t xml:space="preserve"> but rather</w:t>
      </w:r>
      <w:r w:rsidRPr="00001F7B">
        <w:rPr>
          <w:rFonts w:cstheme="minorHAnsi"/>
        </w:rPr>
        <w:t xml:space="preserve"> to prevent any difficulty of potential evolution of the law. </w:t>
      </w:r>
      <w:r w:rsidRPr="00001F7B">
        <w:rPr>
          <w:rFonts w:cstheme="minorHAnsi"/>
          <w:color w:val="333333"/>
          <w:shd w:val="clear" w:color="auto" w:fill="FFFFFF"/>
        </w:rPr>
        <w:t xml:space="preserve"> In the introductory note to </w:t>
      </w:r>
      <w:r w:rsidR="00086872" w:rsidRPr="00001F7B">
        <w:rPr>
          <w:rFonts w:cstheme="minorHAnsi"/>
          <w:color w:val="333333"/>
          <w:shd w:val="clear" w:color="auto" w:fill="FFFFFF"/>
        </w:rPr>
        <w:t xml:space="preserve">the </w:t>
      </w:r>
      <w:r w:rsidRPr="00001F7B">
        <w:rPr>
          <w:rFonts w:cstheme="minorHAnsi"/>
          <w:color w:val="333333"/>
          <w:shd w:val="clear" w:color="auto" w:fill="FFFFFF"/>
        </w:rPr>
        <w:t xml:space="preserve">VCLT on the UN website </w:t>
      </w:r>
      <w:r w:rsidRPr="00001F7B">
        <w:rPr>
          <w:rFonts w:cstheme="minorHAnsi"/>
        </w:rPr>
        <w:t>(</w:t>
      </w:r>
      <w:hyperlink r:id="rId1" w:history="1">
        <w:r w:rsidRPr="00001F7B">
          <w:rPr>
            <w:rStyle w:val="Hyperlink"/>
            <w:rFonts w:cstheme="minorHAnsi"/>
          </w:rPr>
          <w:t>https://legal.un.org/avl/ha/vclt/vclt.html</w:t>
        </w:r>
      </w:hyperlink>
      <w:r w:rsidRPr="00001F7B">
        <w:rPr>
          <w:rFonts w:cstheme="minorHAnsi"/>
        </w:rPr>
        <w:t xml:space="preserve">) </w:t>
      </w:r>
      <w:r w:rsidRPr="00001F7B">
        <w:rPr>
          <w:rFonts w:cstheme="minorHAnsi"/>
          <w:color w:val="333333"/>
          <w:shd w:val="clear" w:color="auto" w:fill="FFFFFF"/>
        </w:rPr>
        <w:t xml:space="preserve">Professor </w:t>
      </w:r>
      <w:proofErr w:type="spellStart"/>
      <w:r w:rsidRPr="00001F7B">
        <w:rPr>
          <w:rFonts w:cstheme="minorHAnsi"/>
          <w:color w:val="333333"/>
          <w:shd w:val="clear" w:color="auto" w:fill="FFFFFF"/>
        </w:rPr>
        <w:t>Zemanek</w:t>
      </w:r>
      <w:proofErr w:type="spellEnd"/>
      <w:r w:rsidR="00F07A3C" w:rsidRPr="00001F7B">
        <w:rPr>
          <w:rFonts w:cstheme="minorHAnsi"/>
        </w:rPr>
        <w:t xml:space="preserve"> considers that its recognition by the ICJ as CIL along with the high number of parties to it (currently 116) suggests that the instrument states the current general international law of treaties</w:t>
      </w:r>
      <w:r w:rsidR="0060214E" w:rsidRPr="00001F7B">
        <w:rPr>
          <w:rFonts w:cstheme="minorHAnsi"/>
        </w:rPr>
        <w:t xml:space="preserve"> but </w:t>
      </w:r>
      <w:r w:rsidR="008701D9" w:rsidRPr="00001F7B">
        <w:rPr>
          <w:rFonts w:cstheme="minorHAnsi"/>
        </w:rPr>
        <w:t xml:space="preserve">he </w:t>
      </w:r>
      <w:r w:rsidR="0060214E" w:rsidRPr="00001F7B">
        <w:rPr>
          <w:rFonts w:cstheme="minorHAnsi"/>
        </w:rPr>
        <w:t xml:space="preserve">states also: </w:t>
      </w:r>
      <w:r w:rsidRPr="00001F7B">
        <w:rPr>
          <w:rFonts w:cstheme="minorHAnsi"/>
          <w:color w:val="333333"/>
          <w:shd w:val="clear" w:color="auto" w:fill="FFFFFF"/>
        </w:rPr>
        <w:t>“Yet, it is not clear whether the Court</w:t>
      </w:r>
      <w:r w:rsidR="00086872" w:rsidRPr="00001F7B">
        <w:rPr>
          <w:rFonts w:cstheme="minorHAnsi"/>
          <w:color w:val="333333"/>
          <w:shd w:val="clear" w:color="auto" w:fill="FFFFFF"/>
        </w:rPr>
        <w:t xml:space="preserve"> </w:t>
      </w:r>
      <w:r w:rsidRPr="00001F7B">
        <w:rPr>
          <w:rFonts w:cstheme="minorHAnsi"/>
          <w:color w:val="333333"/>
          <w:shd w:val="clear" w:color="auto" w:fill="FFFFFF"/>
        </w:rPr>
        <w:t>was of the opinion that the custom had existed </w:t>
      </w:r>
      <w:r w:rsidRPr="00001F7B">
        <w:rPr>
          <w:rStyle w:val="Emphasis"/>
          <w:rFonts w:cstheme="minorHAnsi"/>
          <w:color w:val="333333"/>
          <w:shd w:val="clear" w:color="auto" w:fill="FFFFFF"/>
        </w:rPr>
        <w:t>before</w:t>
      </w:r>
      <w:r w:rsidRPr="00001F7B">
        <w:rPr>
          <w:rFonts w:cstheme="minorHAnsi"/>
          <w:color w:val="333333"/>
          <w:shd w:val="clear" w:color="auto" w:fill="FFFFFF"/>
        </w:rPr>
        <w:t> the Vienna Convention and had been codified in it, or that it had been generated by it and was by now “existing”.</w:t>
      </w:r>
    </w:p>
  </w:footnote>
  <w:footnote w:id="53">
    <w:p w14:paraId="1DC49489" w14:textId="123B4426" w:rsidR="000F79FF" w:rsidRPr="00001F7B" w:rsidRDefault="000F79FF">
      <w:pPr>
        <w:pStyle w:val="FootnoteText"/>
        <w:rPr>
          <w:rFonts w:cstheme="minorHAnsi"/>
        </w:rPr>
      </w:pPr>
      <w:r w:rsidRPr="00001F7B">
        <w:rPr>
          <w:rStyle w:val="FootnoteReference"/>
          <w:rFonts w:cstheme="minorHAnsi"/>
        </w:rPr>
        <w:footnoteRef/>
      </w:r>
      <w:r w:rsidRPr="00001F7B">
        <w:rPr>
          <w:rFonts w:cstheme="minorHAnsi"/>
        </w:rPr>
        <w:t xml:space="preserve"> But see Villager</w:t>
      </w:r>
      <w:r w:rsidR="008701D9" w:rsidRPr="00001F7B">
        <w:rPr>
          <w:rFonts w:cstheme="minorHAnsi"/>
        </w:rPr>
        <w:t xml:space="preserve">, above, </w:t>
      </w:r>
      <w:proofErr w:type="spellStart"/>
      <w:r w:rsidR="008701D9" w:rsidRPr="00001F7B">
        <w:rPr>
          <w:rFonts w:cstheme="minorHAnsi"/>
        </w:rPr>
        <w:t>fn</w:t>
      </w:r>
      <w:proofErr w:type="spellEnd"/>
      <w:r w:rsidR="008701D9" w:rsidRPr="00001F7B">
        <w:rPr>
          <w:rFonts w:cstheme="minorHAnsi"/>
        </w:rPr>
        <w:t xml:space="preserve"> </w:t>
      </w:r>
      <w:r w:rsidR="0086025E" w:rsidRPr="00001F7B">
        <w:rPr>
          <w:rFonts w:cstheme="minorHAnsi"/>
        </w:rPr>
        <w:t>47</w:t>
      </w:r>
      <w:r w:rsidR="008701D9" w:rsidRPr="00001F7B">
        <w:rPr>
          <w:rFonts w:cstheme="minorHAnsi"/>
        </w:rPr>
        <w:t>,</w:t>
      </w:r>
      <w:r w:rsidRPr="00001F7B">
        <w:rPr>
          <w:rFonts w:cstheme="minorHAnsi"/>
        </w:rPr>
        <w:t xml:space="preserve"> p 107 that “In the opinion of most Commission members in 1964, these rules found support in international law and embodied the contextual approach to interpretation.” If this extends back to the late 1940’s and early 1950’s it might </w:t>
      </w:r>
      <w:r w:rsidR="009F043C" w:rsidRPr="00001F7B">
        <w:rPr>
          <w:rFonts w:cstheme="minorHAnsi"/>
        </w:rPr>
        <w:t xml:space="preserve">be </w:t>
      </w:r>
      <w:r w:rsidRPr="00001F7B">
        <w:rPr>
          <w:rFonts w:cstheme="minorHAnsi"/>
        </w:rPr>
        <w:t xml:space="preserve">possible to say that a </w:t>
      </w:r>
      <w:r w:rsidR="000634F8" w:rsidRPr="00001F7B">
        <w:rPr>
          <w:rFonts w:cstheme="minorHAnsi"/>
        </w:rPr>
        <w:t>con</w:t>
      </w:r>
      <w:r w:rsidRPr="00001F7B">
        <w:rPr>
          <w:rFonts w:cstheme="minorHAnsi"/>
        </w:rPr>
        <w:t xml:space="preserve">textual approach </w:t>
      </w:r>
      <w:r w:rsidR="00960DCE" w:rsidRPr="00001F7B">
        <w:rPr>
          <w:rFonts w:cstheme="minorHAnsi"/>
        </w:rPr>
        <w:t xml:space="preserve">could or </w:t>
      </w:r>
      <w:r w:rsidRPr="00001F7B">
        <w:rPr>
          <w:rFonts w:cstheme="minorHAnsi"/>
        </w:rPr>
        <w:t xml:space="preserve">should have been in the minds of the </w:t>
      </w:r>
      <w:r w:rsidR="00960DCE" w:rsidRPr="00001F7B">
        <w:rPr>
          <w:rFonts w:cstheme="minorHAnsi"/>
        </w:rPr>
        <w:t>creators of CMR.</w:t>
      </w:r>
    </w:p>
  </w:footnote>
  <w:footnote w:id="54">
    <w:p w14:paraId="53391B01" w14:textId="11E48EA5" w:rsidR="007A7802" w:rsidRPr="00001F7B" w:rsidRDefault="007A7802">
      <w:pPr>
        <w:pStyle w:val="FootnoteText"/>
        <w:rPr>
          <w:rFonts w:cstheme="minorHAnsi"/>
        </w:rPr>
      </w:pPr>
      <w:r w:rsidRPr="00001F7B">
        <w:rPr>
          <w:rStyle w:val="FootnoteReference"/>
          <w:rFonts w:cstheme="minorHAnsi"/>
        </w:rPr>
        <w:footnoteRef/>
      </w:r>
      <w:r w:rsidRPr="00001F7B">
        <w:rPr>
          <w:rFonts w:cstheme="minorHAnsi"/>
        </w:rPr>
        <w:t xml:space="preserve"> Codifications of customary law are among the devices said to clarify what rules </w:t>
      </w:r>
      <w:r w:rsidRPr="00001F7B">
        <w:rPr>
          <w:rFonts w:cstheme="minorHAnsi"/>
          <w:i/>
          <w:iCs/>
        </w:rPr>
        <w:t>states</w:t>
      </w:r>
      <w:r w:rsidRPr="00001F7B">
        <w:rPr>
          <w:rFonts w:cstheme="minorHAnsi"/>
        </w:rPr>
        <w:t xml:space="preserve"> (my emphasis) view as legally binding</w:t>
      </w:r>
      <w:r w:rsidR="00B7614B" w:rsidRPr="00001F7B">
        <w:rPr>
          <w:rFonts w:cstheme="minorHAnsi"/>
        </w:rPr>
        <w:t>, Guzman and Meyer, above</w:t>
      </w:r>
      <w:r w:rsidR="008701D9" w:rsidRPr="00001F7B">
        <w:rPr>
          <w:rFonts w:cstheme="minorHAnsi"/>
        </w:rPr>
        <w:t>,</w:t>
      </w:r>
      <w:r w:rsidR="00B7614B" w:rsidRPr="00001F7B">
        <w:rPr>
          <w:rFonts w:cstheme="minorHAnsi"/>
        </w:rPr>
        <w:t xml:space="preserve"> </w:t>
      </w:r>
      <w:proofErr w:type="spellStart"/>
      <w:r w:rsidR="008701D9" w:rsidRPr="00001F7B">
        <w:rPr>
          <w:rFonts w:cstheme="minorHAnsi"/>
        </w:rPr>
        <w:t>f</w:t>
      </w:r>
      <w:r w:rsidR="00B7614B" w:rsidRPr="00001F7B">
        <w:rPr>
          <w:rFonts w:cstheme="minorHAnsi"/>
        </w:rPr>
        <w:t>n</w:t>
      </w:r>
      <w:proofErr w:type="spellEnd"/>
      <w:r w:rsidR="00B7614B" w:rsidRPr="00001F7B">
        <w:rPr>
          <w:rFonts w:cstheme="minorHAnsi"/>
        </w:rPr>
        <w:t xml:space="preserve"> </w:t>
      </w:r>
      <w:r w:rsidR="0086025E" w:rsidRPr="00001F7B">
        <w:rPr>
          <w:rFonts w:cstheme="minorHAnsi"/>
        </w:rPr>
        <w:t>48</w:t>
      </w:r>
      <w:r w:rsidR="00B7614B" w:rsidRPr="00001F7B">
        <w:rPr>
          <w:rFonts w:cstheme="minorHAnsi"/>
        </w:rPr>
        <w:t>, pp</w:t>
      </w:r>
      <w:r w:rsidR="008701D9" w:rsidRPr="00001F7B">
        <w:rPr>
          <w:rFonts w:cstheme="minorHAnsi"/>
        </w:rPr>
        <w:t xml:space="preserve"> </w:t>
      </w:r>
      <w:r w:rsidR="00B7614B" w:rsidRPr="00001F7B">
        <w:rPr>
          <w:rFonts w:cstheme="minorHAnsi"/>
        </w:rPr>
        <w:t>205-</w:t>
      </w:r>
      <w:r w:rsidR="008701D9" w:rsidRPr="00001F7B">
        <w:rPr>
          <w:rFonts w:cstheme="minorHAnsi"/>
        </w:rPr>
        <w:t>20</w:t>
      </w:r>
      <w:r w:rsidR="00B7614B" w:rsidRPr="00001F7B">
        <w:rPr>
          <w:rFonts w:cstheme="minorHAnsi"/>
        </w:rPr>
        <w:t>6</w:t>
      </w:r>
    </w:p>
  </w:footnote>
  <w:footnote w:id="55">
    <w:p w14:paraId="01F064BC" w14:textId="6E4DB97C" w:rsidR="00AC3457" w:rsidRPr="00001F7B" w:rsidRDefault="00AC3457">
      <w:pPr>
        <w:pStyle w:val="FootnoteText"/>
        <w:rPr>
          <w:rFonts w:cstheme="minorHAnsi"/>
        </w:rPr>
      </w:pPr>
      <w:r w:rsidRPr="00001F7B">
        <w:rPr>
          <w:rStyle w:val="FootnoteReference"/>
          <w:rFonts w:cstheme="minorHAnsi"/>
        </w:rPr>
        <w:footnoteRef/>
      </w:r>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w:t>
      </w:r>
      <w:r w:rsidR="0086025E" w:rsidRPr="00001F7B">
        <w:rPr>
          <w:rFonts w:cstheme="minorHAnsi"/>
        </w:rPr>
        <w:t>48</w:t>
      </w:r>
      <w:r w:rsidRPr="00001F7B">
        <w:rPr>
          <w:rFonts w:cstheme="minorHAnsi"/>
        </w:rPr>
        <w:t>.</w:t>
      </w:r>
    </w:p>
  </w:footnote>
  <w:footnote w:id="56">
    <w:p w14:paraId="260E72BE" w14:textId="527E2289" w:rsidR="00E353F1" w:rsidRPr="00001F7B" w:rsidRDefault="00E353F1">
      <w:pPr>
        <w:pStyle w:val="FootnoteText"/>
        <w:rPr>
          <w:rFonts w:cstheme="minorHAnsi"/>
        </w:rPr>
      </w:pPr>
      <w:r w:rsidRPr="00001F7B">
        <w:rPr>
          <w:rStyle w:val="FootnoteReference"/>
          <w:rFonts w:cstheme="minorHAnsi"/>
        </w:rPr>
        <w:footnoteRef/>
      </w:r>
      <w:r w:rsidRPr="00001F7B">
        <w:rPr>
          <w:rFonts w:cstheme="minorHAnsi"/>
        </w:rPr>
        <w:t xml:space="preserve"> In respect of this see further Document A/CN.4/659 of 14.4.2</w:t>
      </w:r>
      <w:r w:rsidR="005A401F" w:rsidRPr="00001F7B">
        <w:rPr>
          <w:rFonts w:cstheme="minorHAnsi"/>
        </w:rPr>
        <w:t>0</w:t>
      </w:r>
      <w:r w:rsidRPr="00001F7B">
        <w:rPr>
          <w:rFonts w:cstheme="minorHAnsi"/>
        </w:rPr>
        <w:t>13 produced by the ILC Secretariat, Observation 26 (at p</w:t>
      </w:r>
      <w:r w:rsidR="0042533F" w:rsidRPr="00001F7B">
        <w:rPr>
          <w:rFonts w:cstheme="minorHAnsi"/>
        </w:rPr>
        <w:t xml:space="preserve"> </w:t>
      </w:r>
      <w:r w:rsidRPr="00001F7B">
        <w:rPr>
          <w:rFonts w:cstheme="minorHAnsi"/>
        </w:rPr>
        <w:t>161) which states “While indicating that a treaty does not itself bind third States, the Commission has, on several occasions, recognized that treaties may contribute to the crystallization or development of a rule of customary international law.” In n 122 it states</w:t>
      </w:r>
      <w:r w:rsidR="00782D1D" w:rsidRPr="00001F7B">
        <w:rPr>
          <w:rFonts w:cstheme="minorHAnsi"/>
        </w:rPr>
        <w:t>:</w:t>
      </w:r>
      <w:r w:rsidRPr="00001F7B">
        <w:rPr>
          <w:rFonts w:cstheme="minorHAnsi"/>
        </w:rPr>
        <w:t xml:space="preserve"> “See para. (11) of the commentary to guideline 3.1.5.3 on reservations to treaties, Yearbook … 2011, vol. II (Part Three), p 223: “A ‘codification convention’ often crystallizes as rules of general international law rules which did not have that status at the time of its adoption.”</w:t>
      </w:r>
    </w:p>
  </w:footnote>
  <w:footnote w:id="57">
    <w:p w14:paraId="70EC2EEF" w14:textId="73708142" w:rsidR="00A70EB2" w:rsidRPr="00001F7B" w:rsidRDefault="007770A4" w:rsidP="00855128">
      <w:pPr>
        <w:rPr>
          <w:rFonts w:cstheme="minorHAnsi"/>
          <w:sz w:val="20"/>
          <w:szCs w:val="20"/>
        </w:rPr>
      </w:pPr>
      <w:r w:rsidRPr="00001F7B">
        <w:rPr>
          <w:rStyle w:val="FootnoteReference"/>
          <w:rFonts w:cstheme="minorHAnsi"/>
          <w:sz w:val="20"/>
          <w:szCs w:val="20"/>
        </w:rPr>
        <w:footnoteRef/>
      </w:r>
      <w:r w:rsidR="00A70EB2" w:rsidRPr="00001F7B">
        <w:rPr>
          <w:rFonts w:cstheme="minorHAnsi"/>
          <w:sz w:val="20"/>
          <w:szCs w:val="20"/>
        </w:rPr>
        <w:t xml:space="preserve"> </w:t>
      </w:r>
      <w:r w:rsidRPr="00001F7B">
        <w:rPr>
          <w:rFonts w:cstheme="minorHAnsi"/>
          <w:sz w:val="20"/>
          <w:szCs w:val="20"/>
        </w:rPr>
        <w:t>T</w:t>
      </w:r>
      <w:r w:rsidR="00AA720C" w:rsidRPr="00001F7B">
        <w:rPr>
          <w:rFonts w:cstheme="minorHAnsi"/>
          <w:sz w:val="20"/>
          <w:szCs w:val="20"/>
        </w:rPr>
        <w:t xml:space="preserve">he Identification of Customary International Law </w:t>
      </w:r>
      <w:r w:rsidR="00782D1D" w:rsidRPr="00001F7B">
        <w:rPr>
          <w:rFonts w:cstheme="minorHAnsi"/>
          <w:sz w:val="20"/>
          <w:szCs w:val="20"/>
        </w:rPr>
        <w:t>R</w:t>
      </w:r>
      <w:r w:rsidR="00AA720C" w:rsidRPr="00001F7B">
        <w:rPr>
          <w:rFonts w:cstheme="minorHAnsi"/>
          <w:sz w:val="20"/>
          <w:szCs w:val="20"/>
        </w:rPr>
        <w:t xml:space="preserve">eport, above </w:t>
      </w:r>
      <w:proofErr w:type="spellStart"/>
      <w:r w:rsidR="00AA720C" w:rsidRPr="00001F7B">
        <w:rPr>
          <w:rFonts w:cstheme="minorHAnsi"/>
          <w:sz w:val="20"/>
          <w:szCs w:val="20"/>
        </w:rPr>
        <w:t>fn</w:t>
      </w:r>
      <w:proofErr w:type="spellEnd"/>
      <w:r w:rsidR="00AA720C" w:rsidRPr="00001F7B">
        <w:rPr>
          <w:rFonts w:cstheme="minorHAnsi"/>
          <w:sz w:val="20"/>
          <w:szCs w:val="20"/>
        </w:rPr>
        <w:t xml:space="preserve"> </w:t>
      </w:r>
      <w:r w:rsidR="00D73015" w:rsidRPr="00001F7B">
        <w:rPr>
          <w:rFonts w:cstheme="minorHAnsi"/>
          <w:sz w:val="20"/>
          <w:szCs w:val="20"/>
        </w:rPr>
        <w:t>48</w:t>
      </w:r>
      <w:r w:rsidR="00AA720C" w:rsidRPr="00001F7B">
        <w:rPr>
          <w:rFonts w:cstheme="minorHAnsi"/>
          <w:sz w:val="20"/>
          <w:szCs w:val="20"/>
        </w:rPr>
        <w:t>,</w:t>
      </w:r>
      <w:r w:rsidR="00A70EB2" w:rsidRPr="00001F7B">
        <w:rPr>
          <w:rFonts w:cstheme="minorHAnsi"/>
          <w:sz w:val="20"/>
          <w:szCs w:val="20"/>
        </w:rPr>
        <w:t xml:space="preserve"> </w:t>
      </w:r>
      <w:r w:rsidRPr="00001F7B">
        <w:rPr>
          <w:rFonts w:cstheme="minorHAnsi"/>
          <w:sz w:val="20"/>
          <w:szCs w:val="20"/>
        </w:rPr>
        <w:t>after setting out Conclusion</w:t>
      </w:r>
      <w:r w:rsidR="007F57D4">
        <w:rPr>
          <w:rFonts w:cstheme="minorHAnsi"/>
          <w:sz w:val="20"/>
          <w:szCs w:val="20"/>
        </w:rPr>
        <w:t xml:space="preserve"> </w:t>
      </w:r>
      <w:r w:rsidR="00053049" w:rsidRPr="00001F7B">
        <w:rPr>
          <w:rFonts w:cstheme="minorHAnsi"/>
          <w:sz w:val="20"/>
          <w:szCs w:val="20"/>
        </w:rPr>
        <w:t>11</w:t>
      </w:r>
      <w:r w:rsidRPr="00001F7B">
        <w:rPr>
          <w:rFonts w:cstheme="minorHAnsi"/>
          <w:sz w:val="20"/>
          <w:szCs w:val="20"/>
        </w:rPr>
        <w:t xml:space="preserve"> (see text to </w:t>
      </w:r>
      <w:proofErr w:type="spellStart"/>
      <w:r w:rsidR="00E83A07">
        <w:rPr>
          <w:rFonts w:cstheme="minorHAnsi"/>
          <w:sz w:val="20"/>
          <w:szCs w:val="20"/>
        </w:rPr>
        <w:t>f</w:t>
      </w:r>
      <w:r w:rsidRPr="00001F7B">
        <w:rPr>
          <w:rFonts w:cstheme="minorHAnsi"/>
          <w:sz w:val="20"/>
          <w:szCs w:val="20"/>
        </w:rPr>
        <w:t>n</w:t>
      </w:r>
      <w:proofErr w:type="spellEnd"/>
      <w:r w:rsidRPr="00001F7B">
        <w:rPr>
          <w:rFonts w:cstheme="minorHAnsi"/>
          <w:sz w:val="20"/>
          <w:szCs w:val="20"/>
        </w:rPr>
        <w:t xml:space="preserve"> 5</w:t>
      </w:r>
      <w:r w:rsidR="007F57D4">
        <w:rPr>
          <w:rFonts w:cstheme="minorHAnsi"/>
          <w:sz w:val="20"/>
          <w:szCs w:val="20"/>
        </w:rPr>
        <w:t>4</w:t>
      </w:r>
      <w:r w:rsidRPr="00001F7B">
        <w:rPr>
          <w:rFonts w:cstheme="minorHAnsi"/>
          <w:sz w:val="20"/>
          <w:szCs w:val="20"/>
        </w:rPr>
        <w:t xml:space="preserve">) continues </w:t>
      </w:r>
      <w:r w:rsidR="00A70EB2" w:rsidRPr="00001F7B">
        <w:rPr>
          <w:rFonts w:cstheme="minorHAnsi"/>
          <w:sz w:val="20"/>
          <w:szCs w:val="20"/>
        </w:rPr>
        <w:t>(</w:t>
      </w:r>
      <w:r w:rsidRPr="00001F7B">
        <w:rPr>
          <w:rFonts w:cstheme="minorHAnsi"/>
          <w:sz w:val="20"/>
          <w:szCs w:val="20"/>
        </w:rPr>
        <w:t>pp</w:t>
      </w:r>
      <w:r w:rsidR="0042533F" w:rsidRPr="00001F7B">
        <w:rPr>
          <w:rFonts w:cstheme="minorHAnsi"/>
          <w:sz w:val="20"/>
          <w:szCs w:val="20"/>
        </w:rPr>
        <w:t xml:space="preserve"> </w:t>
      </w:r>
      <w:r w:rsidR="00A70EB2" w:rsidRPr="00001F7B">
        <w:rPr>
          <w:rFonts w:cstheme="minorHAnsi"/>
          <w:sz w:val="20"/>
          <w:szCs w:val="20"/>
        </w:rPr>
        <w:t>143-</w:t>
      </w:r>
      <w:r w:rsidRPr="00001F7B">
        <w:rPr>
          <w:rFonts w:cstheme="minorHAnsi"/>
          <w:sz w:val="20"/>
          <w:szCs w:val="20"/>
        </w:rPr>
        <w:t>14</w:t>
      </w:r>
      <w:r w:rsidR="00A70EB2" w:rsidRPr="00001F7B">
        <w:rPr>
          <w:rFonts w:cstheme="minorHAnsi"/>
          <w:sz w:val="20"/>
          <w:szCs w:val="20"/>
        </w:rPr>
        <w:t xml:space="preserve">4): “(2) While treaties are, as such, binding only on the parties thereto, they may have an important role to play in recording and defining rules deriving from custom, or indeed in developing them. Their provisions (and the processes of their adoption and application) may shed light on the content of customary international law. Clearly expressed treaty provisions may offer particularly convenient evidence as to the existence or content of rules of customary international law when they are found to be declaratory of such rules. Yet the words “may reflect” caution that, in and of themselves, treaties cannot create a rule of customary international law or conclusively attest to its existence or content. (3) The number of parties to a treaty may be an important factor in determining whether particular rules set forth therein reflect customary international law; treaties that have obtained near-universal acceptance may be seen as particularly indicative in this respect. </w:t>
      </w:r>
      <w:r w:rsidR="00524115" w:rsidRPr="00001F7B">
        <w:rPr>
          <w:rFonts w:cstheme="minorHAnsi"/>
          <w:sz w:val="20"/>
          <w:szCs w:val="20"/>
        </w:rPr>
        <w:t>But treaties that are not yet in force or which have not yet attained widespread participation may also be influential in certain circumstances, particularly where they were adopted without opposition or by an overwhelming majority of States. In any case, the attitude of States not party to a widely ratified treaty, both at the time of its conclusion and subsequently, will also be of relevance.”   Note the warning in comment 7 p</w:t>
      </w:r>
      <w:r w:rsidR="00D73015" w:rsidRPr="00001F7B">
        <w:rPr>
          <w:rFonts w:cstheme="minorHAnsi"/>
          <w:sz w:val="20"/>
          <w:szCs w:val="20"/>
        </w:rPr>
        <w:t xml:space="preserve"> </w:t>
      </w:r>
      <w:r w:rsidR="00524115" w:rsidRPr="00001F7B">
        <w:rPr>
          <w:rFonts w:cstheme="minorHAnsi"/>
          <w:sz w:val="20"/>
          <w:szCs w:val="20"/>
        </w:rPr>
        <w:t>176:  “</w:t>
      </w:r>
      <w:r w:rsidR="00782D1D" w:rsidRPr="00001F7B">
        <w:rPr>
          <w:rFonts w:cstheme="minorHAnsi"/>
          <w:sz w:val="20"/>
          <w:szCs w:val="20"/>
        </w:rPr>
        <w:t>….</w:t>
      </w:r>
      <w:r w:rsidR="00524115" w:rsidRPr="00001F7B">
        <w:rPr>
          <w:rFonts w:cstheme="minorHAnsi"/>
          <w:sz w:val="20"/>
          <w:szCs w:val="20"/>
        </w:rPr>
        <w:t xml:space="preserve">a general practice accepted as law (accompanied by </w:t>
      </w:r>
      <w:proofErr w:type="spellStart"/>
      <w:r w:rsidR="00524115" w:rsidRPr="00001F7B">
        <w:rPr>
          <w:rFonts w:cstheme="minorHAnsi"/>
          <w:i/>
          <w:iCs/>
          <w:sz w:val="20"/>
          <w:szCs w:val="20"/>
        </w:rPr>
        <w:t>opinio</w:t>
      </w:r>
      <w:proofErr w:type="spellEnd"/>
      <w:r w:rsidR="00524115" w:rsidRPr="00001F7B">
        <w:rPr>
          <w:rFonts w:cstheme="minorHAnsi"/>
          <w:i/>
          <w:iCs/>
          <w:sz w:val="20"/>
          <w:szCs w:val="20"/>
        </w:rPr>
        <w:t xml:space="preserve"> juris</w:t>
      </w:r>
      <w:r w:rsidR="00524115" w:rsidRPr="00001F7B">
        <w:rPr>
          <w:rFonts w:cstheme="minorHAnsi"/>
          <w:sz w:val="20"/>
          <w:szCs w:val="20"/>
        </w:rPr>
        <w:t>) “in the sense of the provision invoked” must be observed. Given that the concordant behaviour of parties to the treaty among themselves could presumably be attributed to the treaty obligation, rather than to acceptance of the rule in question as binding under customary international law, the practice of such parties in relation to non-parties to the treaty, and of non-parties in relation to parties or among themselves, will have particular value.” In the context of CMR it might be pertinent to examine the practice of non-state parties to VCLT e.g.</w:t>
      </w:r>
      <w:r w:rsidR="00D234F2" w:rsidRPr="00001F7B">
        <w:rPr>
          <w:rFonts w:cstheme="minorHAnsi"/>
          <w:sz w:val="20"/>
          <w:szCs w:val="20"/>
        </w:rPr>
        <w:t>,</w:t>
      </w:r>
      <w:r w:rsidR="00524115" w:rsidRPr="00001F7B">
        <w:rPr>
          <w:rFonts w:cstheme="minorHAnsi"/>
          <w:sz w:val="20"/>
          <w:szCs w:val="20"/>
        </w:rPr>
        <w:t xml:space="preserve"> France</w:t>
      </w:r>
      <w:r w:rsidR="003A1E4E" w:rsidRPr="00001F7B">
        <w:rPr>
          <w:rFonts w:cstheme="minorHAnsi"/>
          <w:sz w:val="20"/>
          <w:szCs w:val="20"/>
        </w:rPr>
        <w:t>,</w:t>
      </w:r>
      <w:r w:rsidR="00AA720C" w:rsidRPr="00001F7B">
        <w:rPr>
          <w:rFonts w:cstheme="minorHAnsi"/>
          <w:sz w:val="20"/>
          <w:szCs w:val="20"/>
        </w:rPr>
        <w:t xml:space="preserve"> USA.</w:t>
      </w:r>
    </w:p>
  </w:footnote>
  <w:footnote w:id="58">
    <w:p w14:paraId="6616A876" w14:textId="21A0E095" w:rsidR="009972A2" w:rsidRPr="00001F7B" w:rsidRDefault="009972A2">
      <w:pPr>
        <w:pStyle w:val="FootnoteText"/>
        <w:rPr>
          <w:rFonts w:cstheme="minorHAnsi"/>
        </w:rPr>
      </w:pPr>
      <w:r w:rsidRPr="00001F7B">
        <w:rPr>
          <w:rStyle w:val="FootnoteReference"/>
          <w:rFonts w:cstheme="minorHAnsi"/>
        </w:rPr>
        <w:footnoteRef/>
      </w:r>
      <w:r w:rsidRPr="00001F7B">
        <w:rPr>
          <w:rFonts w:cstheme="minorHAnsi"/>
        </w:rPr>
        <w:t xml:space="preserve"> </w:t>
      </w:r>
      <w:r w:rsidR="00E0252D" w:rsidRPr="00001F7B">
        <w:rPr>
          <w:rFonts w:cstheme="minorHAnsi"/>
        </w:rPr>
        <w:t xml:space="preserve">‘Subsequent agreements and subsequent practice in relation to the interpretation of treaties’ </w:t>
      </w:r>
      <w:r w:rsidR="008858DD" w:rsidRPr="00001F7B">
        <w:rPr>
          <w:rFonts w:cstheme="minorHAnsi"/>
        </w:rPr>
        <w:t xml:space="preserve">UN Doc </w:t>
      </w:r>
      <w:r w:rsidR="00AC38DE" w:rsidRPr="00001F7B">
        <w:rPr>
          <w:rFonts w:cstheme="minorHAnsi"/>
        </w:rPr>
        <w:t>A/73/10</w:t>
      </w:r>
      <w:r w:rsidR="00BD331D" w:rsidRPr="00001F7B">
        <w:rPr>
          <w:rFonts w:cstheme="minorHAnsi"/>
        </w:rPr>
        <w:t>,</w:t>
      </w:r>
      <w:r w:rsidR="00AC38DE" w:rsidRPr="00001F7B">
        <w:rPr>
          <w:rFonts w:cstheme="minorHAnsi"/>
        </w:rPr>
        <w:t xml:space="preserve"> </w:t>
      </w:r>
      <w:r w:rsidR="00BD331D" w:rsidRPr="00001F7B">
        <w:rPr>
          <w:rFonts w:cstheme="minorHAnsi"/>
        </w:rPr>
        <w:t xml:space="preserve">Ch IV, </w:t>
      </w:r>
      <w:r w:rsidR="00AC38DE" w:rsidRPr="00001F7B">
        <w:rPr>
          <w:rFonts w:cstheme="minorHAnsi"/>
        </w:rPr>
        <w:t>p</w:t>
      </w:r>
      <w:r w:rsidR="008858DD" w:rsidRPr="00001F7B">
        <w:rPr>
          <w:rFonts w:cstheme="minorHAnsi"/>
        </w:rPr>
        <w:t xml:space="preserve"> </w:t>
      </w:r>
      <w:r w:rsidR="00AC38DE" w:rsidRPr="00001F7B">
        <w:rPr>
          <w:rFonts w:cstheme="minorHAnsi"/>
        </w:rPr>
        <w:t>1</w:t>
      </w:r>
      <w:r w:rsidR="00E0252D" w:rsidRPr="00001F7B">
        <w:rPr>
          <w:rFonts w:cstheme="minorHAnsi"/>
        </w:rPr>
        <w:t>1,</w:t>
      </w:r>
      <w:r w:rsidR="00BD331D" w:rsidRPr="00001F7B">
        <w:rPr>
          <w:rFonts w:cstheme="minorHAnsi"/>
        </w:rPr>
        <w:t xml:space="preserve"> </w:t>
      </w:r>
      <w:r w:rsidR="006D30A4" w:rsidRPr="00001F7B">
        <w:rPr>
          <w:rFonts w:cstheme="minorHAnsi"/>
        </w:rPr>
        <w:t xml:space="preserve">at p </w:t>
      </w:r>
      <w:r w:rsidR="00E0252D" w:rsidRPr="00001F7B">
        <w:rPr>
          <w:rFonts w:cstheme="minorHAnsi"/>
        </w:rPr>
        <w:t>13</w:t>
      </w:r>
      <w:r w:rsidR="00AC38DE" w:rsidRPr="00001F7B">
        <w:rPr>
          <w:rFonts w:cstheme="minorHAnsi"/>
        </w:rPr>
        <w:t xml:space="preserve">. </w:t>
      </w:r>
      <w:r w:rsidR="00FF7D83" w:rsidRPr="00001F7B">
        <w:rPr>
          <w:rFonts w:cstheme="minorHAnsi"/>
        </w:rPr>
        <w:t>The Commission decided not to address the issue of whether</w:t>
      </w:r>
      <w:r w:rsidR="00AC38DE" w:rsidRPr="00001F7B">
        <w:rPr>
          <w:rFonts w:cstheme="minorHAnsi"/>
        </w:rPr>
        <w:t xml:space="preserve"> art 33</w:t>
      </w:r>
      <w:r w:rsidR="00FF7D83" w:rsidRPr="00001F7B">
        <w:rPr>
          <w:rFonts w:cstheme="minorHAnsi"/>
        </w:rPr>
        <w:t xml:space="preserve"> also reflects CIL, see p</w:t>
      </w:r>
      <w:r w:rsidR="006D30A4" w:rsidRPr="00001F7B">
        <w:rPr>
          <w:rFonts w:cstheme="minorHAnsi"/>
        </w:rPr>
        <w:t xml:space="preserve"> </w:t>
      </w:r>
      <w:r w:rsidR="00FF7D83" w:rsidRPr="00001F7B">
        <w:rPr>
          <w:rFonts w:cstheme="minorHAnsi"/>
        </w:rPr>
        <w:t>19</w:t>
      </w:r>
      <w:r w:rsidR="004B1742" w:rsidRPr="00001F7B">
        <w:rPr>
          <w:rFonts w:cstheme="minorHAnsi"/>
        </w:rPr>
        <w:t xml:space="preserve"> but in n 31 the evidence pertaining to the decisions of the </w:t>
      </w:r>
      <w:r w:rsidR="00085378" w:rsidRPr="00001F7B">
        <w:rPr>
          <w:rFonts w:cstheme="minorHAnsi"/>
        </w:rPr>
        <w:t xml:space="preserve">ICJ </w:t>
      </w:r>
      <w:r w:rsidR="004B1742" w:rsidRPr="00001F7B">
        <w:rPr>
          <w:rFonts w:cstheme="minorHAnsi"/>
        </w:rPr>
        <w:t>and the WTO</w:t>
      </w:r>
      <w:r w:rsidR="00053049" w:rsidRPr="00001F7B">
        <w:rPr>
          <w:rFonts w:cstheme="minorHAnsi"/>
        </w:rPr>
        <w:t xml:space="preserve"> with reference to parts of art 33</w:t>
      </w:r>
      <w:r w:rsidR="004B1742" w:rsidRPr="00001F7B">
        <w:rPr>
          <w:rFonts w:cstheme="minorHAnsi"/>
        </w:rPr>
        <w:t xml:space="preserve"> is set out along with an indication that ITLOS and the European Court of Human Rights have gone one step further and stated that article 33 as a whole reflects customary law.</w:t>
      </w:r>
    </w:p>
  </w:footnote>
  <w:footnote w:id="59">
    <w:p w14:paraId="6340E632" w14:textId="5DEBA5FC" w:rsidR="00AC11D4" w:rsidRPr="00001F7B" w:rsidRDefault="00AC11D4">
      <w:pPr>
        <w:pStyle w:val="FootnoteText"/>
        <w:rPr>
          <w:rFonts w:cstheme="minorHAnsi"/>
        </w:rPr>
      </w:pPr>
      <w:r w:rsidRPr="00001F7B">
        <w:rPr>
          <w:rStyle w:val="FootnoteReference"/>
          <w:rFonts w:cstheme="minorHAnsi"/>
        </w:rPr>
        <w:footnoteRef/>
      </w:r>
      <w:r w:rsidRPr="00001F7B">
        <w:rPr>
          <w:rFonts w:cstheme="minorHAnsi"/>
        </w:rPr>
        <w:t xml:space="preserve"> </w:t>
      </w:r>
      <w:r w:rsidR="00B11528" w:rsidRPr="00001F7B">
        <w:rPr>
          <w:rFonts w:cstheme="minorHAnsi"/>
        </w:rPr>
        <w:t xml:space="preserve">A p 18, n 21: </w:t>
      </w:r>
      <w:r w:rsidR="009410FF" w:rsidRPr="00001F7B">
        <w:rPr>
          <w:rFonts w:cstheme="minorHAnsi"/>
        </w:rPr>
        <w:t xml:space="preserve">Y. le Bouthillier, “Commentary on article 32 of the Vienna Convention” in </w:t>
      </w:r>
      <w:r w:rsidR="009410FF" w:rsidRPr="00001F7B">
        <w:rPr>
          <w:rFonts w:cstheme="minorHAnsi"/>
          <w:i/>
          <w:iCs/>
        </w:rPr>
        <w:t>The Vienna Conventions on the Law of Treaties: A Commentary</w:t>
      </w:r>
      <w:r w:rsidR="009410FF" w:rsidRPr="00001F7B">
        <w:rPr>
          <w:rFonts w:cstheme="minorHAnsi"/>
        </w:rPr>
        <w:t>, O. Corten and P. Klein, eds</w:t>
      </w:r>
      <w:r w:rsidR="007770A4" w:rsidRPr="00001F7B">
        <w:rPr>
          <w:rFonts w:cstheme="minorHAnsi"/>
        </w:rPr>
        <w:t xml:space="preserve">, 2011, </w:t>
      </w:r>
      <w:r w:rsidR="009410FF" w:rsidRPr="00001F7B">
        <w:rPr>
          <w:rFonts w:cstheme="minorHAnsi"/>
        </w:rPr>
        <w:t>O</w:t>
      </w:r>
      <w:r w:rsidR="00AD4357" w:rsidRPr="00001F7B">
        <w:rPr>
          <w:rFonts w:cstheme="minorHAnsi"/>
        </w:rPr>
        <w:t>UP</w:t>
      </w:r>
      <w:r w:rsidR="009410FF" w:rsidRPr="00001F7B">
        <w:rPr>
          <w:rFonts w:cstheme="minorHAnsi"/>
        </w:rPr>
        <w:t>, pp.841–865, at pp</w:t>
      </w:r>
      <w:r w:rsidR="00AD4357" w:rsidRPr="00001F7B">
        <w:rPr>
          <w:rFonts w:cstheme="minorHAnsi"/>
        </w:rPr>
        <w:t xml:space="preserve"> </w:t>
      </w:r>
      <w:r w:rsidR="009410FF" w:rsidRPr="00001F7B">
        <w:rPr>
          <w:rFonts w:cstheme="minorHAnsi"/>
        </w:rPr>
        <w:t xml:space="preserve">843–846, paras 4–8; P. </w:t>
      </w:r>
      <w:proofErr w:type="spellStart"/>
      <w:r w:rsidR="009410FF" w:rsidRPr="00001F7B">
        <w:rPr>
          <w:rFonts w:cstheme="minorHAnsi"/>
        </w:rPr>
        <w:t>Daillier</w:t>
      </w:r>
      <w:proofErr w:type="spellEnd"/>
      <w:r w:rsidR="009410FF" w:rsidRPr="00001F7B">
        <w:rPr>
          <w:rFonts w:cstheme="minorHAnsi"/>
        </w:rPr>
        <w:t xml:space="preserve">, M. Forteau and A. Pellet, </w:t>
      </w:r>
      <w:r w:rsidR="009410FF" w:rsidRPr="00001F7B">
        <w:rPr>
          <w:rFonts w:cstheme="minorHAnsi"/>
          <w:i/>
          <w:iCs/>
        </w:rPr>
        <w:t>Droit international public</w:t>
      </w:r>
      <w:r w:rsidR="009410FF" w:rsidRPr="00001F7B">
        <w:rPr>
          <w:rFonts w:cstheme="minorHAnsi"/>
        </w:rPr>
        <w:t xml:space="preserve">, 8th ed. </w:t>
      </w:r>
      <w:r w:rsidR="009410FF" w:rsidRPr="00001F7B">
        <w:rPr>
          <w:rFonts w:cstheme="minorHAnsi"/>
          <w:lang w:val="fr-FR"/>
        </w:rPr>
        <w:t>(Paris, LGDJ, 2009), pp</w:t>
      </w:r>
      <w:r w:rsidR="00AD4357" w:rsidRPr="00001F7B">
        <w:rPr>
          <w:rFonts w:cstheme="minorHAnsi"/>
          <w:lang w:val="fr-FR"/>
        </w:rPr>
        <w:t xml:space="preserve"> </w:t>
      </w:r>
      <w:r w:rsidR="009410FF" w:rsidRPr="00001F7B">
        <w:rPr>
          <w:rFonts w:cstheme="minorHAnsi"/>
          <w:lang w:val="fr-FR"/>
        </w:rPr>
        <w:t xml:space="preserve">285–286; Gardiner, </w:t>
      </w:r>
      <w:proofErr w:type="spellStart"/>
      <w:r w:rsidR="009410FF" w:rsidRPr="00001F7B">
        <w:rPr>
          <w:rFonts w:cstheme="minorHAnsi"/>
          <w:i/>
          <w:iCs/>
          <w:lang w:val="fr-FR"/>
        </w:rPr>
        <w:t>Treaty</w:t>
      </w:r>
      <w:proofErr w:type="spellEnd"/>
      <w:r w:rsidR="009410FF" w:rsidRPr="00001F7B">
        <w:rPr>
          <w:rFonts w:cstheme="minorHAnsi"/>
          <w:i/>
          <w:iCs/>
          <w:lang w:val="fr-FR"/>
        </w:rPr>
        <w:t xml:space="preserve"> </w:t>
      </w:r>
      <w:proofErr w:type="spellStart"/>
      <w:r w:rsidR="009410FF" w:rsidRPr="00001F7B">
        <w:rPr>
          <w:rFonts w:cstheme="minorHAnsi"/>
          <w:i/>
          <w:iCs/>
          <w:lang w:val="fr-FR"/>
        </w:rPr>
        <w:t>Interpretation</w:t>
      </w:r>
      <w:proofErr w:type="spellEnd"/>
      <w:r w:rsidR="00AD4357" w:rsidRPr="00001F7B">
        <w:rPr>
          <w:rFonts w:cstheme="minorHAnsi"/>
          <w:lang w:val="fr-FR"/>
        </w:rPr>
        <w:t>,</w:t>
      </w:r>
      <w:r w:rsidR="00CC5045" w:rsidRPr="00001F7B">
        <w:rPr>
          <w:rFonts w:cstheme="minorHAnsi"/>
          <w:lang w:val="fr-FR"/>
        </w:rPr>
        <w:t xml:space="preserve"> </w:t>
      </w:r>
      <w:proofErr w:type="spellStart"/>
      <w:r w:rsidR="00F01A07" w:rsidRPr="00001F7B">
        <w:rPr>
          <w:rFonts w:cstheme="minorHAnsi"/>
          <w:lang w:val="fr-FR"/>
        </w:rPr>
        <w:t>above</w:t>
      </w:r>
      <w:proofErr w:type="spellEnd"/>
      <w:r w:rsidR="00F01A07" w:rsidRPr="00001F7B">
        <w:rPr>
          <w:rFonts w:cstheme="minorHAnsi"/>
          <w:lang w:val="fr-FR"/>
        </w:rPr>
        <w:t xml:space="preserve">, </w:t>
      </w:r>
      <w:proofErr w:type="spellStart"/>
      <w:r w:rsidR="00F01A07" w:rsidRPr="00001F7B">
        <w:rPr>
          <w:rFonts w:cstheme="minorHAnsi"/>
          <w:lang w:val="fr-FR"/>
        </w:rPr>
        <w:t>fn</w:t>
      </w:r>
      <w:proofErr w:type="spellEnd"/>
      <w:r w:rsidR="00F01A07" w:rsidRPr="00001F7B">
        <w:rPr>
          <w:rFonts w:cstheme="minorHAnsi"/>
          <w:lang w:val="fr-FR"/>
        </w:rPr>
        <w:t xml:space="preserve"> 5, </w:t>
      </w:r>
      <w:r w:rsidR="009410FF" w:rsidRPr="00001F7B">
        <w:rPr>
          <w:rFonts w:cstheme="minorHAnsi"/>
          <w:lang w:val="fr-FR"/>
        </w:rPr>
        <w:t xml:space="preserve">pp 13–20; </w:t>
      </w:r>
      <w:proofErr w:type="spellStart"/>
      <w:r w:rsidR="009410FF" w:rsidRPr="00001F7B">
        <w:rPr>
          <w:rFonts w:cstheme="minorHAnsi"/>
          <w:lang w:val="fr-FR"/>
        </w:rPr>
        <w:t>Villiger</w:t>
      </w:r>
      <w:proofErr w:type="spellEnd"/>
      <w:r w:rsidR="009410FF" w:rsidRPr="00001F7B">
        <w:rPr>
          <w:rFonts w:cstheme="minorHAnsi"/>
          <w:lang w:val="fr-FR"/>
        </w:rPr>
        <w:t xml:space="preserve">, </w:t>
      </w:r>
      <w:r w:rsidR="005147F5" w:rsidRPr="00001F7B">
        <w:rPr>
          <w:rFonts w:cstheme="minorHAnsi"/>
          <w:lang w:val="fr-FR"/>
        </w:rPr>
        <w:t>‘</w:t>
      </w:r>
      <w:r w:rsidR="009410FF" w:rsidRPr="00001F7B">
        <w:rPr>
          <w:rFonts w:cstheme="minorHAnsi"/>
          <w:lang w:val="fr-FR"/>
        </w:rPr>
        <w:t>The 1969 Vienna Convention</w:t>
      </w:r>
      <w:r w:rsidR="005147F5" w:rsidRPr="00001F7B">
        <w:rPr>
          <w:rFonts w:cstheme="minorHAnsi"/>
          <w:lang w:val="fr-FR"/>
        </w:rPr>
        <w:t xml:space="preserve">: 40 </w:t>
      </w:r>
      <w:proofErr w:type="spellStart"/>
      <w:r w:rsidR="005147F5" w:rsidRPr="00001F7B">
        <w:rPr>
          <w:rFonts w:cstheme="minorHAnsi"/>
          <w:lang w:val="fr-FR"/>
        </w:rPr>
        <w:t>years</w:t>
      </w:r>
      <w:proofErr w:type="spellEnd"/>
      <w:r w:rsidR="005147F5" w:rsidRPr="00001F7B">
        <w:rPr>
          <w:rFonts w:cstheme="minorHAnsi"/>
          <w:lang w:val="fr-FR"/>
        </w:rPr>
        <w:t xml:space="preserve"> </w:t>
      </w:r>
      <w:proofErr w:type="spellStart"/>
      <w:r w:rsidR="005147F5" w:rsidRPr="00001F7B">
        <w:rPr>
          <w:rFonts w:cstheme="minorHAnsi"/>
          <w:lang w:val="fr-FR"/>
        </w:rPr>
        <w:t>after</w:t>
      </w:r>
      <w:proofErr w:type="spellEnd"/>
      <w:r w:rsidR="005147F5" w:rsidRPr="00001F7B">
        <w:rPr>
          <w:rFonts w:cstheme="minorHAnsi"/>
          <w:lang w:val="fr-FR"/>
        </w:rPr>
        <w:t>’ Recueil des cours de l’Académie de droit international de La Haye 2009</w:t>
      </w:r>
      <w:r w:rsidR="009410FF" w:rsidRPr="00001F7B">
        <w:rPr>
          <w:rFonts w:cstheme="minorHAnsi"/>
          <w:lang w:val="fr-FR"/>
        </w:rPr>
        <w:t xml:space="preserve"> pp</w:t>
      </w:r>
      <w:r w:rsidR="00CC527B" w:rsidRPr="00001F7B">
        <w:rPr>
          <w:rFonts w:cstheme="minorHAnsi"/>
          <w:lang w:val="fr-FR"/>
        </w:rPr>
        <w:t xml:space="preserve"> </w:t>
      </w:r>
      <w:r w:rsidR="009410FF" w:rsidRPr="00001F7B">
        <w:rPr>
          <w:rFonts w:cstheme="minorHAnsi"/>
          <w:lang w:val="fr-FR"/>
        </w:rPr>
        <w:t>132–133</w:t>
      </w:r>
      <w:r w:rsidR="003A607E" w:rsidRPr="00001F7B">
        <w:rPr>
          <w:rFonts w:cstheme="minorHAnsi"/>
          <w:lang w:val="fr-FR"/>
        </w:rPr>
        <w:t>.</w:t>
      </w:r>
      <w:r w:rsidR="001F04DF" w:rsidRPr="00001F7B">
        <w:rPr>
          <w:rFonts w:cstheme="minorHAnsi"/>
          <w:lang w:val="fr-FR"/>
        </w:rPr>
        <w:t xml:space="preserve"> </w:t>
      </w:r>
      <w:r w:rsidR="001F04DF" w:rsidRPr="00001F7B">
        <w:rPr>
          <w:rFonts w:cstheme="minorHAnsi"/>
        </w:rPr>
        <w:t xml:space="preserve">See also </w:t>
      </w:r>
      <w:proofErr w:type="spellStart"/>
      <w:r w:rsidR="001F04DF" w:rsidRPr="00001F7B">
        <w:rPr>
          <w:rFonts w:cstheme="minorHAnsi"/>
        </w:rPr>
        <w:t>Zemanek</w:t>
      </w:r>
      <w:proofErr w:type="spellEnd"/>
      <w:r w:rsidR="001F04DF" w:rsidRPr="00001F7B">
        <w:rPr>
          <w:rFonts w:cstheme="minorHAnsi"/>
        </w:rPr>
        <w:t>,</w:t>
      </w:r>
      <w:r w:rsidR="00855128" w:rsidRPr="00001F7B">
        <w:rPr>
          <w:rFonts w:cstheme="minorHAnsi"/>
        </w:rPr>
        <w:t xml:space="preserve"> who</w:t>
      </w:r>
      <w:r w:rsidR="001F04DF" w:rsidRPr="00001F7B">
        <w:rPr>
          <w:rFonts w:cstheme="minorHAnsi"/>
        </w:rPr>
        <w:t xml:space="preserve"> in the introductory note to VCLT on the UN website (above</w:t>
      </w:r>
      <w:r w:rsidR="00F01A07" w:rsidRPr="00001F7B">
        <w:rPr>
          <w:rFonts w:cstheme="minorHAnsi"/>
        </w:rPr>
        <w:t>,</w:t>
      </w:r>
      <w:r w:rsidR="001F04DF" w:rsidRPr="00001F7B">
        <w:rPr>
          <w:rFonts w:cstheme="minorHAnsi"/>
        </w:rPr>
        <w:t xml:space="preserve"> </w:t>
      </w:r>
      <w:proofErr w:type="spellStart"/>
      <w:r w:rsidR="00F01A07" w:rsidRPr="00001F7B">
        <w:rPr>
          <w:rFonts w:cstheme="minorHAnsi"/>
        </w:rPr>
        <w:t>f</w:t>
      </w:r>
      <w:r w:rsidR="001F04DF" w:rsidRPr="00001F7B">
        <w:rPr>
          <w:rFonts w:cstheme="minorHAnsi"/>
        </w:rPr>
        <w:t>n</w:t>
      </w:r>
      <w:proofErr w:type="spellEnd"/>
      <w:r w:rsidR="00F01A07" w:rsidRPr="00001F7B">
        <w:rPr>
          <w:rFonts w:cstheme="minorHAnsi"/>
        </w:rPr>
        <w:t xml:space="preserve"> 51</w:t>
      </w:r>
      <w:r w:rsidR="001F04DF" w:rsidRPr="00001F7B">
        <w:rPr>
          <w:rFonts w:cstheme="minorHAnsi"/>
        </w:rPr>
        <w:t>) considers that in view of its recognition by the ICJ as CIL along with the high number of parties to it (currently 116) the instrument states the current general international law of treaties.</w:t>
      </w:r>
      <w:r w:rsidR="009F7610" w:rsidRPr="00001F7B">
        <w:rPr>
          <w:rFonts w:cstheme="minorHAnsi"/>
        </w:rPr>
        <w:t xml:space="preserve"> For Waibel</w:t>
      </w:r>
      <w:r w:rsidR="008602BA" w:rsidRPr="00001F7B">
        <w:rPr>
          <w:rFonts w:cstheme="minorHAnsi"/>
        </w:rPr>
        <w:t>,</w:t>
      </w:r>
      <w:r w:rsidR="0069447F" w:rsidRPr="00001F7B">
        <w:rPr>
          <w:rFonts w:cstheme="minorHAnsi"/>
        </w:rPr>
        <w:t xml:space="preserve"> </w:t>
      </w:r>
      <w:r w:rsidR="008602BA" w:rsidRPr="00001F7B">
        <w:rPr>
          <w:rFonts w:cstheme="minorHAnsi"/>
        </w:rPr>
        <w:t xml:space="preserve">above, </w:t>
      </w:r>
      <w:proofErr w:type="spellStart"/>
      <w:r w:rsidR="008602BA" w:rsidRPr="00001F7B">
        <w:rPr>
          <w:rFonts w:cstheme="minorHAnsi"/>
        </w:rPr>
        <w:t>fn</w:t>
      </w:r>
      <w:proofErr w:type="spellEnd"/>
      <w:r w:rsidR="008602BA" w:rsidRPr="00001F7B">
        <w:rPr>
          <w:rFonts w:cstheme="minorHAnsi"/>
        </w:rPr>
        <w:t xml:space="preserve"> </w:t>
      </w:r>
      <w:r w:rsidR="00F01A07" w:rsidRPr="00001F7B">
        <w:rPr>
          <w:rFonts w:cstheme="minorHAnsi"/>
        </w:rPr>
        <w:t>3</w:t>
      </w:r>
      <w:r w:rsidR="0069447F" w:rsidRPr="00001F7B">
        <w:rPr>
          <w:rFonts w:cstheme="minorHAnsi"/>
        </w:rPr>
        <w:t>, p 28</w:t>
      </w:r>
      <w:r w:rsidR="008D4FC2" w:rsidRPr="00001F7B">
        <w:rPr>
          <w:rFonts w:cstheme="minorHAnsi"/>
        </w:rPr>
        <w:t>:</w:t>
      </w:r>
      <w:r w:rsidR="009F7610" w:rsidRPr="00001F7B">
        <w:rPr>
          <w:rFonts w:cstheme="minorHAnsi"/>
        </w:rPr>
        <w:t xml:space="preserve"> </w:t>
      </w:r>
      <w:r w:rsidR="008D4FC2" w:rsidRPr="00001F7B">
        <w:rPr>
          <w:rFonts w:cstheme="minorHAnsi"/>
        </w:rPr>
        <w:t>“As part of general international law, the VCLT principles on interpretation are the interpretive methodology of choice for international courts and tribunals.”</w:t>
      </w:r>
    </w:p>
  </w:footnote>
  <w:footnote w:id="60">
    <w:p w14:paraId="01A9F93D" w14:textId="2FE5C3CD" w:rsidR="00B11528" w:rsidRPr="00001F7B" w:rsidRDefault="00B11528">
      <w:pPr>
        <w:pStyle w:val="FootnoteText"/>
        <w:rPr>
          <w:rFonts w:cstheme="minorHAnsi"/>
        </w:rPr>
      </w:pPr>
      <w:r w:rsidRPr="00001F7B">
        <w:rPr>
          <w:rStyle w:val="FootnoteReference"/>
          <w:rFonts w:cstheme="minorHAnsi"/>
        </w:rPr>
        <w:footnoteRef/>
      </w:r>
      <w:r w:rsidRPr="00001F7B">
        <w:rPr>
          <w:rFonts w:cstheme="minorHAnsi"/>
        </w:rPr>
        <w:t xml:space="preserve"> Pp 18-19, the cases are cited</w:t>
      </w:r>
      <w:r w:rsidR="00547F05" w:rsidRPr="00001F7B">
        <w:rPr>
          <w:rFonts w:cstheme="minorHAnsi"/>
        </w:rPr>
        <w:t xml:space="preserve"> in footnotes 22-29 (</w:t>
      </w:r>
      <w:proofErr w:type="spellStart"/>
      <w:r w:rsidR="00547F05" w:rsidRPr="00001F7B">
        <w:rPr>
          <w:rFonts w:cstheme="minorHAnsi"/>
        </w:rPr>
        <w:t>approx</w:t>
      </w:r>
      <w:proofErr w:type="spellEnd"/>
      <w:r w:rsidR="00547F05" w:rsidRPr="00001F7B">
        <w:rPr>
          <w:rFonts w:cstheme="minorHAnsi"/>
        </w:rPr>
        <w:t xml:space="preserve"> 25). </w:t>
      </w:r>
    </w:p>
  </w:footnote>
  <w:footnote w:id="61">
    <w:p w14:paraId="72532FAE" w14:textId="344B9EF2" w:rsidR="00D52739" w:rsidRPr="00001F7B" w:rsidRDefault="00D52739">
      <w:pPr>
        <w:pStyle w:val="FootnoteText"/>
        <w:rPr>
          <w:rFonts w:cstheme="minorHAnsi"/>
        </w:rPr>
      </w:pPr>
      <w:r w:rsidRPr="00001F7B">
        <w:rPr>
          <w:rStyle w:val="FootnoteReference"/>
          <w:rFonts w:cstheme="minorHAnsi"/>
        </w:rPr>
        <w:footnoteRef/>
      </w:r>
      <w:r w:rsidRPr="00001F7B">
        <w:rPr>
          <w:rFonts w:cstheme="minorHAnsi"/>
        </w:rPr>
        <w:t xml:space="preserve"> Gardiner</w:t>
      </w:r>
      <w:r w:rsidR="00C116FB" w:rsidRPr="00001F7B">
        <w:rPr>
          <w:rFonts w:cstheme="minorHAnsi"/>
        </w:rPr>
        <w:t xml:space="preserve">, </w:t>
      </w:r>
      <w:r w:rsidR="00402ACF" w:rsidRPr="00001F7B">
        <w:rPr>
          <w:rFonts w:cstheme="minorHAnsi"/>
        </w:rPr>
        <w:t xml:space="preserve">above, </w:t>
      </w:r>
      <w:proofErr w:type="spellStart"/>
      <w:r w:rsidR="00402ACF" w:rsidRPr="00001F7B">
        <w:rPr>
          <w:rFonts w:cstheme="minorHAnsi"/>
        </w:rPr>
        <w:t>f</w:t>
      </w:r>
      <w:r w:rsidR="00A92DAD" w:rsidRPr="00001F7B">
        <w:rPr>
          <w:rFonts w:cstheme="minorHAnsi"/>
        </w:rPr>
        <w:t>n</w:t>
      </w:r>
      <w:proofErr w:type="spellEnd"/>
      <w:r w:rsidR="00395B25" w:rsidRPr="00001F7B">
        <w:rPr>
          <w:rFonts w:cstheme="minorHAnsi"/>
        </w:rPr>
        <w:t xml:space="preserve"> </w:t>
      </w:r>
      <w:r w:rsidR="00C116FB" w:rsidRPr="00001F7B">
        <w:rPr>
          <w:rFonts w:cstheme="minorHAnsi"/>
        </w:rPr>
        <w:t>5</w:t>
      </w:r>
      <w:r w:rsidRPr="00001F7B">
        <w:rPr>
          <w:rFonts w:cstheme="minorHAnsi"/>
        </w:rPr>
        <w:t xml:space="preserve">, </w:t>
      </w:r>
      <w:r w:rsidR="00C116FB" w:rsidRPr="00001F7B">
        <w:rPr>
          <w:rFonts w:cstheme="minorHAnsi"/>
        </w:rPr>
        <w:t>pp</w:t>
      </w:r>
      <w:r w:rsidR="00402ACF" w:rsidRPr="00001F7B">
        <w:rPr>
          <w:rFonts w:cstheme="minorHAnsi"/>
        </w:rPr>
        <w:t xml:space="preserve"> </w:t>
      </w:r>
      <w:r w:rsidR="00C116FB" w:rsidRPr="00001F7B">
        <w:rPr>
          <w:rFonts w:cstheme="minorHAnsi"/>
        </w:rPr>
        <w:t>13-19</w:t>
      </w:r>
      <w:r w:rsidR="004E6ED4" w:rsidRPr="00001F7B">
        <w:rPr>
          <w:rFonts w:cstheme="minorHAnsi"/>
        </w:rPr>
        <w:t xml:space="preserve">.  See e.g., </w:t>
      </w:r>
      <w:r w:rsidRPr="00001F7B">
        <w:rPr>
          <w:rFonts w:cstheme="minorHAnsi"/>
        </w:rPr>
        <w:t>at p 16</w:t>
      </w:r>
      <w:r w:rsidR="006D117E" w:rsidRPr="00001F7B">
        <w:rPr>
          <w:rFonts w:cstheme="minorHAnsi"/>
        </w:rPr>
        <w:t>,</w:t>
      </w:r>
      <w:r w:rsidRPr="00001F7B">
        <w:rPr>
          <w:rFonts w:cstheme="minorHAnsi"/>
        </w:rPr>
        <w:t xml:space="preserve"> for clear recognition by the ICJ</w:t>
      </w:r>
      <w:r w:rsidR="00C116FB" w:rsidRPr="00001F7B">
        <w:rPr>
          <w:rFonts w:cstheme="minorHAnsi"/>
        </w:rPr>
        <w:t xml:space="preserve"> he</w:t>
      </w:r>
      <w:r w:rsidR="004E6ED4" w:rsidRPr="00001F7B">
        <w:rPr>
          <w:rFonts w:cstheme="minorHAnsi"/>
        </w:rPr>
        <w:t xml:space="preserve"> </w:t>
      </w:r>
      <w:bookmarkStart w:id="8" w:name="_Hlk108711752"/>
      <w:r w:rsidR="004E6ED4" w:rsidRPr="00001F7B">
        <w:rPr>
          <w:rFonts w:cstheme="minorHAnsi"/>
        </w:rPr>
        <w:t>cites</w:t>
      </w:r>
      <w:r w:rsidRPr="00001F7B">
        <w:rPr>
          <w:rFonts w:cstheme="minorHAnsi"/>
        </w:rPr>
        <w:t xml:space="preserve"> </w:t>
      </w:r>
      <w:proofErr w:type="spellStart"/>
      <w:r w:rsidRPr="00001F7B">
        <w:rPr>
          <w:rFonts w:cstheme="minorHAnsi"/>
          <w:i/>
          <w:iCs/>
        </w:rPr>
        <w:t>Avena</w:t>
      </w:r>
      <w:proofErr w:type="spellEnd"/>
      <w:r w:rsidRPr="00001F7B">
        <w:rPr>
          <w:rFonts w:cstheme="minorHAnsi"/>
          <w:i/>
          <w:iCs/>
        </w:rPr>
        <w:t xml:space="preserve"> and Other Mexican Nationals (Mexico v United States of America)</w:t>
      </w:r>
      <w:r w:rsidRPr="00001F7B">
        <w:rPr>
          <w:rFonts w:cstheme="minorHAnsi"/>
        </w:rPr>
        <w:t xml:space="preserve"> [2004] ICJ Reports 37</w:t>
      </w:r>
      <w:bookmarkEnd w:id="8"/>
      <w:r w:rsidRPr="00001F7B">
        <w:rPr>
          <w:rFonts w:cstheme="minorHAnsi"/>
        </w:rPr>
        <w:t>-8 [83]</w:t>
      </w:r>
      <w:r w:rsidR="00BD21A0" w:rsidRPr="00001F7B">
        <w:rPr>
          <w:rFonts w:cstheme="minorHAnsi"/>
        </w:rPr>
        <w:t xml:space="preserve">  </w:t>
      </w:r>
      <w:hyperlink r:id="rId2" w:history="1">
        <w:r w:rsidR="00BD21A0" w:rsidRPr="00001F7B">
          <w:rPr>
            <w:rStyle w:val="Hyperlink"/>
            <w:rFonts w:cstheme="minorHAnsi"/>
          </w:rPr>
          <w:t>https://www.icj-cij.org/en/decisions</w:t>
        </w:r>
      </w:hyperlink>
      <w:r w:rsidR="00BD21A0" w:rsidRPr="00001F7B">
        <w:rPr>
          <w:rFonts w:cstheme="minorHAnsi"/>
        </w:rPr>
        <w:t xml:space="preserve"> (see further </w:t>
      </w:r>
      <w:proofErr w:type="spellStart"/>
      <w:r w:rsidR="00BD21A0" w:rsidRPr="00001F7B">
        <w:rPr>
          <w:rFonts w:cstheme="minorHAnsi"/>
        </w:rPr>
        <w:t>Aust</w:t>
      </w:r>
      <w:proofErr w:type="spellEnd"/>
      <w:r w:rsidR="00BD21A0" w:rsidRPr="00001F7B">
        <w:rPr>
          <w:rFonts w:cstheme="minorHAnsi"/>
        </w:rPr>
        <w:t xml:space="preserve">, </w:t>
      </w:r>
      <w:proofErr w:type="spellStart"/>
      <w:r w:rsidR="00BD21A0" w:rsidRPr="00001F7B">
        <w:rPr>
          <w:rFonts w:cstheme="minorHAnsi"/>
        </w:rPr>
        <w:t>Rodiles</w:t>
      </w:r>
      <w:proofErr w:type="spellEnd"/>
      <w:r w:rsidR="00BD21A0" w:rsidRPr="00001F7B">
        <w:rPr>
          <w:rFonts w:cstheme="minorHAnsi"/>
        </w:rPr>
        <w:t xml:space="preserve"> and </w:t>
      </w:r>
      <w:proofErr w:type="spellStart"/>
      <w:r w:rsidR="00BD21A0" w:rsidRPr="00001F7B">
        <w:rPr>
          <w:rFonts w:cstheme="minorHAnsi"/>
        </w:rPr>
        <w:t>Staurbach</w:t>
      </w:r>
      <w:proofErr w:type="spellEnd"/>
      <w:r w:rsidR="00BD21A0" w:rsidRPr="00001F7B">
        <w:rPr>
          <w:rFonts w:cstheme="minorHAnsi"/>
        </w:rPr>
        <w:t>, ‘Unity or Uniformity? Domestic Courts and Treaty Interpretation’ (2014) Leiden Journal of International Law, 75, 80)</w:t>
      </w:r>
      <w:r w:rsidR="00AE1E1C" w:rsidRPr="00001F7B">
        <w:rPr>
          <w:rFonts w:cstheme="minorHAnsi"/>
        </w:rPr>
        <w:t xml:space="preserve">. </w:t>
      </w:r>
      <w:r w:rsidR="00402ACF" w:rsidRPr="00001F7B">
        <w:rPr>
          <w:rFonts w:cstheme="minorHAnsi"/>
        </w:rPr>
        <w:t>Gardiner</w:t>
      </w:r>
      <w:r w:rsidR="00AE1E1C" w:rsidRPr="00001F7B">
        <w:rPr>
          <w:rFonts w:cstheme="minorHAnsi"/>
        </w:rPr>
        <w:t xml:space="preserve"> goes on to note (p</w:t>
      </w:r>
      <w:r w:rsidR="00402ACF" w:rsidRPr="00001F7B">
        <w:rPr>
          <w:rFonts w:cstheme="minorHAnsi"/>
        </w:rPr>
        <w:t xml:space="preserve"> </w:t>
      </w:r>
      <w:r w:rsidR="00AE1E1C" w:rsidRPr="00001F7B">
        <w:rPr>
          <w:rFonts w:cstheme="minorHAnsi"/>
        </w:rPr>
        <w:t xml:space="preserve">17) that whilst the ICJ tends only to refer to Article 31 and 32 this probably reflects the infrequency with which reference to Article 33 is required but where a difference between languages has arisen the ICJ has stated that this provision also reflects customary international law, citing e.g. </w:t>
      </w:r>
      <w:bookmarkStart w:id="9" w:name="_Hlk108711835"/>
      <w:proofErr w:type="spellStart"/>
      <w:r w:rsidR="00AE1E1C" w:rsidRPr="00001F7B">
        <w:rPr>
          <w:rFonts w:cstheme="minorHAnsi"/>
          <w:i/>
          <w:iCs/>
        </w:rPr>
        <w:t>LaGrand</w:t>
      </w:r>
      <w:proofErr w:type="spellEnd"/>
      <w:r w:rsidR="00AE1E1C" w:rsidRPr="00001F7B">
        <w:rPr>
          <w:rFonts w:cstheme="minorHAnsi"/>
          <w:i/>
          <w:iCs/>
        </w:rPr>
        <w:t xml:space="preserve"> (Germany v USA) </w:t>
      </w:r>
      <w:r w:rsidR="00AE1E1C" w:rsidRPr="00001F7B">
        <w:rPr>
          <w:rFonts w:cstheme="minorHAnsi"/>
        </w:rPr>
        <w:t>[2001] ICJ Reports 466</w:t>
      </w:r>
      <w:bookmarkEnd w:id="9"/>
      <w:r w:rsidR="00AE1E1C" w:rsidRPr="00001F7B">
        <w:rPr>
          <w:rFonts w:cstheme="minorHAnsi"/>
        </w:rPr>
        <w:t>, 502</w:t>
      </w:r>
      <w:r w:rsidR="006D117E" w:rsidRPr="00001F7B">
        <w:rPr>
          <w:rFonts w:cstheme="minorHAnsi"/>
        </w:rPr>
        <w:t xml:space="preserve">, para </w:t>
      </w:r>
      <w:r w:rsidR="00AE1E1C" w:rsidRPr="00001F7B">
        <w:rPr>
          <w:rFonts w:cstheme="minorHAnsi"/>
        </w:rPr>
        <w:t>101.</w:t>
      </w:r>
      <w:r w:rsidR="009221C3" w:rsidRPr="00001F7B">
        <w:rPr>
          <w:rFonts w:cstheme="minorHAnsi"/>
        </w:rPr>
        <w:t xml:space="preserve"> A detailed review of the use by international organisations and international courts and tribunals is provided in </w:t>
      </w:r>
      <w:r w:rsidR="00402ACF" w:rsidRPr="00001F7B">
        <w:rPr>
          <w:rFonts w:cstheme="minorHAnsi"/>
        </w:rPr>
        <w:t xml:space="preserve">his book, </w:t>
      </w:r>
      <w:r w:rsidR="009221C3" w:rsidRPr="00001F7B">
        <w:rPr>
          <w:rFonts w:cstheme="minorHAnsi"/>
        </w:rPr>
        <w:t>Ch</w:t>
      </w:r>
      <w:r w:rsidR="006D117E" w:rsidRPr="00001F7B">
        <w:rPr>
          <w:rFonts w:cstheme="minorHAnsi"/>
        </w:rPr>
        <w:t xml:space="preserve"> </w:t>
      </w:r>
      <w:r w:rsidR="009221C3" w:rsidRPr="00001F7B">
        <w:rPr>
          <w:rFonts w:cstheme="minorHAnsi"/>
        </w:rPr>
        <w:t>4 pp 125-141.</w:t>
      </w:r>
    </w:p>
  </w:footnote>
  <w:footnote w:id="62">
    <w:p w14:paraId="69A49681" w14:textId="21CF9CBA" w:rsidR="005B1A36" w:rsidRPr="00001F7B" w:rsidRDefault="005B1A36" w:rsidP="001D7385">
      <w:pPr>
        <w:pStyle w:val="FootnoteText"/>
        <w:rPr>
          <w:rFonts w:cstheme="minorHAnsi"/>
        </w:rPr>
      </w:pPr>
      <w:r w:rsidRPr="00001F7B">
        <w:rPr>
          <w:rStyle w:val="FootnoteReference"/>
          <w:rFonts w:cstheme="minorHAnsi"/>
        </w:rPr>
        <w:footnoteRef/>
      </w:r>
      <w:r w:rsidRPr="00001F7B">
        <w:rPr>
          <w:rFonts w:cstheme="minorHAnsi"/>
        </w:rPr>
        <w:t xml:space="preserve"> </w:t>
      </w:r>
      <w:r w:rsidR="00402ACF" w:rsidRPr="00001F7B">
        <w:rPr>
          <w:rFonts w:cstheme="minorHAnsi"/>
        </w:rPr>
        <w:t>Above</w:t>
      </w:r>
      <w:r w:rsidR="00395B25" w:rsidRPr="00001F7B">
        <w:rPr>
          <w:rFonts w:cstheme="minorHAnsi"/>
        </w:rPr>
        <w:t>,</w:t>
      </w:r>
      <w:r w:rsidR="00402ACF" w:rsidRPr="00001F7B">
        <w:rPr>
          <w:rFonts w:cstheme="minorHAnsi"/>
        </w:rPr>
        <w:t xml:space="preserve"> </w:t>
      </w:r>
      <w:proofErr w:type="spellStart"/>
      <w:r w:rsidR="00402ACF" w:rsidRPr="00001F7B">
        <w:rPr>
          <w:rFonts w:cstheme="minorHAnsi"/>
        </w:rPr>
        <w:t>fn</w:t>
      </w:r>
      <w:proofErr w:type="spellEnd"/>
      <w:r w:rsidR="00402ACF" w:rsidRPr="00001F7B">
        <w:rPr>
          <w:rFonts w:cstheme="minorHAnsi"/>
        </w:rPr>
        <w:t xml:space="preserve"> </w:t>
      </w:r>
      <w:r w:rsidR="006D117E" w:rsidRPr="00001F7B">
        <w:rPr>
          <w:rFonts w:cstheme="minorHAnsi"/>
        </w:rPr>
        <w:t>47</w:t>
      </w:r>
      <w:r w:rsidR="00402ACF" w:rsidRPr="00001F7B">
        <w:rPr>
          <w:rFonts w:cstheme="minorHAnsi"/>
        </w:rPr>
        <w:t>,</w:t>
      </w:r>
      <w:r w:rsidR="00395B25" w:rsidRPr="00001F7B">
        <w:rPr>
          <w:rFonts w:cstheme="minorHAnsi"/>
        </w:rPr>
        <w:t xml:space="preserve"> p 118.</w:t>
      </w:r>
    </w:p>
  </w:footnote>
  <w:footnote w:id="63">
    <w:p w14:paraId="615178E9" w14:textId="1E43C376" w:rsidR="00526A95" w:rsidRPr="00001F7B" w:rsidRDefault="00526A95">
      <w:pPr>
        <w:pStyle w:val="FootnoteText"/>
        <w:rPr>
          <w:rFonts w:cstheme="minorHAnsi"/>
        </w:rPr>
      </w:pPr>
      <w:r w:rsidRPr="00001F7B">
        <w:rPr>
          <w:rStyle w:val="FootnoteReference"/>
          <w:rFonts w:cstheme="minorHAnsi"/>
        </w:rPr>
        <w:footnoteRef/>
      </w:r>
      <w:r w:rsidRPr="00001F7B">
        <w:rPr>
          <w:rFonts w:cstheme="minorHAnsi"/>
        </w:rPr>
        <w:t xml:space="preserve"> </w:t>
      </w:r>
      <w:r w:rsidR="00395B25" w:rsidRPr="00001F7B">
        <w:rPr>
          <w:rFonts w:cstheme="minorHAnsi"/>
        </w:rPr>
        <w:t xml:space="preserve">Above, </w:t>
      </w:r>
      <w:proofErr w:type="spellStart"/>
      <w:r w:rsidR="00395B25" w:rsidRPr="00001F7B">
        <w:rPr>
          <w:rFonts w:cstheme="minorHAnsi"/>
        </w:rPr>
        <w:t>fn</w:t>
      </w:r>
      <w:proofErr w:type="spellEnd"/>
      <w:r w:rsidR="00395B25" w:rsidRPr="00001F7B">
        <w:rPr>
          <w:rFonts w:cstheme="minorHAnsi"/>
        </w:rPr>
        <w:t xml:space="preserve"> </w:t>
      </w:r>
      <w:r w:rsidR="006D117E" w:rsidRPr="00001F7B">
        <w:rPr>
          <w:rFonts w:cstheme="minorHAnsi"/>
        </w:rPr>
        <w:t>47</w:t>
      </w:r>
      <w:r w:rsidR="00395B25" w:rsidRPr="00001F7B">
        <w:rPr>
          <w:rFonts w:cstheme="minorHAnsi"/>
        </w:rPr>
        <w:t>,</w:t>
      </w:r>
      <w:r w:rsidR="00702ECA" w:rsidRPr="00001F7B">
        <w:rPr>
          <w:rFonts w:cstheme="minorHAnsi"/>
        </w:rPr>
        <w:t xml:space="preserve"> p</w:t>
      </w:r>
      <w:r w:rsidR="00395B25" w:rsidRPr="00001F7B">
        <w:rPr>
          <w:rFonts w:cstheme="minorHAnsi"/>
        </w:rPr>
        <w:t xml:space="preserve"> </w:t>
      </w:r>
      <w:r w:rsidR="00702ECA" w:rsidRPr="00001F7B">
        <w:rPr>
          <w:rFonts w:cstheme="minorHAnsi"/>
        </w:rPr>
        <w:t>119.</w:t>
      </w:r>
      <w:r w:rsidR="007C2C26" w:rsidRPr="00001F7B">
        <w:rPr>
          <w:rFonts w:cstheme="minorHAnsi"/>
        </w:rPr>
        <w:t xml:space="preserve"> This will be examined further below</w:t>
      </w:r>
      <w:r w:rsidR="00F46724" w:rsidRPr="00001F7B">
        <w:rPr>
          <w:rFonts w:cstheme="minorHAnsi"/>
        </w:rPr>
        <w:t xml:space="preserve"> after consideration of the Rules in detail</w:t>
      </w:r>
      <w:r w:rsidR="000F7C15" w:rsidRPr="00001F7B">
        <w:rPr>
          <w:rFonts w:cstheme="minorHAnsi"/>
        </w:rPr>
        <w:t>.</w:t>
      </w:r>
      <w:r w:rsidR="00C116FB" w:rsidRPr="00001F7B">
        <w:rPr>
          <w:rFonts w:cstheme="minorHAnsi"/>
        </w:rPr>
        <w:t xml:space="preserve"> </w:t>
      </w:r>
      <w:r w:rsidR="00B95DC0" w:rsidRPr="00001F7B">
        <w:rPr>
          <w:rFonts w:cstheme="minorHAnsi"/>
        </w:rPr>
        <w:t xml:space="preserve"> Nevertheless, </w:t>
      </w:r>
      <w:r w:rsidR="000D7546" w:rsidRPr="00001F7B">
        <w:rPr>
          <w:rFonts w:cstheme="minorHAnsi"/>
        </w:rPr>
        <w:t xml:space="preserve">as noted in Gardiner, </w:t>
      </w:r>
      <w:r w:rsidR="006D117E" w:rsidRPr="00001F7B">
        <w:rPr>
          <w:rFonts w:cstheme="minorHAnsi"/>
        </w:rPr>
        <w:t xml:space="preserve">above, </w:t>
      </w:r>
      <w:proofErr w:type="spellStart"/>
      <w:r w:rsidR="006D117E" w:rsidRPr="00001F7B">
        <w:rPr>
          <w:rFonts w:cstheme="minorHAnsi"/>
        </w:rPr>
        <w:t>fn</w:t>
      </w:r>
      <w:proofErr w:type="spellEnd"/>
      <w:r w:rsidR="006D117E" w:rsidRPr="00001F7B">
        <w:rPr>
          <w:rFonts w:cstheme="minorHAnsi"/>
        </w:rPr>
        <w:t xml:space="preserve"> 5, </w:t>
      </w:r>
      <w:r w:rsidR="000D7546" w:rsidRPr="00001F7B">
        <w:rPr>
          <w:rFonts w:cstheme="minorHAnsi"/>
        </w:rPr>
        <w:t>p</w:t>
      </w:r>
      <w:r w:rsidR="006D117E" w:rsidRPr="00001F7B">
        <w:rPr>
          <w:rFonts w:cstheme="minorHAnsi"/>
        </w:rPr>
        <w:t xml:space="preserve"> </w:t>
      </w:r>
      <w:r w:rsidR="000D7546" w:rsidRPr="00001F7B">
        <w:rPr>
          <w:rFonts w:cstheme="minorHAnsi"/>
        </w:rPr>
        <w:t>13 n</w:t>
      </w:r>
      <w:r w:rsidR="006D117E" w:rsidRPr="00001F7B">
        <w:rPr>
          <w:rFonts w:cstheme="minorHAnsi"/>
        </w:rPr>
        <w:t xml:space="preserve"> </w:t>
      </w:r>
      <w:r w:rsidR="000D7546" w:rsidRPr="00001F7B">
        <w:rPr>
          <w:rFonts w:cstheme="minorHAnsi"/>
        </w:rPr>
        <w:t xml:space="preserve">22, </w:t>
      </w:r>
      <w:r w:rsidR="00B95DC0" w:rsidRPr="00001F7B">
        <w:rPr>
          <w:rFonts w:cstheme="minorHAnsi"/>
        </w:rPr>
        <w:t xml:space="preserve">at least one tribunal has rejected the suggestion that as CIL the Rules should not be applied with the same kind of vigour as would be the case if it were itself binding as between the parties, </w:t>
      </w:r>
      <w:r w:rsidR="00B95DC0" w:rsidRPr="00001F7B">
        <w:rPr>
          <w:rFonts w:cstheme="minorHAnsi"/>
          <w:i/>
          <w:iCs/>
        </w:rPr>
        <w:t>Case Concerning the Auditing of Accounts (Netherlands/France</w:t>
      </w:r>
      <w:r w:rsidR="00B95DC0" w:rsidRPr="00001F7B">
        <w:rPr>
          <w:rFonts w:cstheme="minorHAnsi"/>
        </w:rPr>
        <w:t>). Award of 12.3.2004, para.77</w:t>
      </w:r>
      <w:r w:rsidR="000D7546" w:rsidRPr="00001F7B">
        <w:rPr>
          <w:rFonts w:cstheme="minorHAnsi"/>
        </w:rPr>
        <w:t>.</w:t>
      </w:r>
      <w:r w:rsidR="00B95DC0" w:rsidRPr="00001F7B">
        <w:rPr>
          <w:rFonts w:cstheme="minorHAnsi"/>
        </w:rPr>
        <w:t xml:space="preserve"> </w:t>
      </w:r>
    </w:p>
  </w:footnote>
  <w:footnote w:id="64">
    <w:p w14:paraId="2C4CED19" w14:textId="438E8D76" w:rsidR="000E18AF" w:rsidRPr="00001F7B" w:rsidRDefault="000E18AF">
      <w:pPr>
        <w:pStyle w:val="FootnoteText"/>
        <w:rPr>
          <w:rFonts w:cstheme="minorHAnsi"/>
        </w:rPr>
      </w:pPr>
      <w:r w:rsidRPr="00001F7B">
        <w:rPr>
          <w:rStyle w:val="FootnoteReference"/>
          <w:rFonts w:cstheme="minorHAnsi"/>
        </w:rPr>
        <w:footnoteRef/>
      </w:r>
      <w:r w:rsidRPr="00001F7B">
        <w:rPr>
          <w:rFonts w:cstheme="minorHAnsi"/>
        </w:rPr>
        <w:t xml:space="preserve"> </w:t>
      </w:r>
      <w:r w:rsidR="00197AAC" w:rsidRPr="00001F7B">
        <w:rPr>
          <w:rFonts w:cstheme="minorHAnsi"/>
        </w:rPr>
        <w:t xml:space="preserve">Above </w:t>
      </w:r>
      <w:proofErr w:type="spellStart"/>
      <w:r w:rsidR="00395B25" w:rsidRPr="00001F7B">
        <w:rPr>
          <w:rFonts w:cstheme="minorHAnsi"/>
        </w:rPr>
        <w:t>f</w:t>
      </w:r>
      <w:r w:rsidR="00197AAC" w:rsidRPr="00001F7B">
        <w:rPr>
          <w:rFonts w:cstheme="minorHAnsi"/>
        </w:rPr>
        <w:t>n</w:t>
      </w:r>
      <w:proofErr w:type="spellEnd"/>
      <w:r w:rsidR="00197AAC" w:rsidRPr="00001F7B">
        <w:rPr>
          <w:rFonts w:cstheme="minorHAnsi"/>
        </w:rPr>
        <w:t xml:space="preserve"> </w:t>
      </w:r>
      <w:r w:rsidR="003051FA" w:rsidRPr="00001F7B">
        <w:rPr>
          <w:rFonts w:cstheme="minorHAnsi"/>
        </w:rPr>
        <w:t>57</w:t>
      </w:r>
      <w:r w:rsidR="00197AAC" w:rsidRPr="00001F7B">
        <w:rPr>
          <w:rFonts w:cstheme="minorHAnsi"/>
        </w:rPr>
        <w:t>,</w:t>
      </w:r>
      <w:r w:rsidR="00395B25" w:rsidRPr="00001F7B">
        <w:rPr>
          <w:rFonts w:cstheme="minorHAnsi"/>
        </w:rPr>
        <w:t xml:space="preserve"> </w:t>
      </w:r>
      <w:r w:rsidR="00366B05" w:rsidRPr="00001F7B">
        <w:rPr>
          <w:rFonts w:cstheme="minorHAnsi"/>
        </w:rPr>
        <w:t>P</w:t>
      </w:r>
      <w:r w:rsidR="00395B25" w:rsidRPr="00001F7B">
        <w:rPr>
          <w:rFonts w:cstheme="minorHAnsi"/>
        </w:rPr>
        <w:t xml:space="preserve"> </w:t>
      </w:r>
      <w:r w:rsidR="00366B05" w:rsidRPr="00001F7B">
        <w:rPr>
          <w:rFonts w:cstheme="minorHAnsi"/>
        </w:rPr>
        <w:t>19</w:t>
      </w:r>
      <w:r w:rsidR="00197AAC" w:rsidRPr="00001F7B">
        <w:rPr>
          <w:rFonts w:cstheme="minorHAnsi"/>
        </w:rPr>
        <w:t>.</w:t>
      </w:r>
      <w:r w:rsidR="00D1457D" w:rsidRPr="00001F7B">
        <w:rPr>
          <w:rFonts w:cstheme="minorHAnsi"/>
        </w:rPr>
        <w:t xml:space="preserve"> See also the </w:t>
      </w:r>
      <w:r w:rsidR="00FB2944" w:rsidRPr="00001F7B">
        <w:rPr>
          <w:rFonts w:cstheme="minorHAnsi"/>
        </w:rPr>
        <w:t>f</w:t>
      </w:r>
      <w:r w:rsidR="00D1457D" w:rsidRPr="00001F7B">
        <w:rPr>
          <w:rFonts w:cstheme="minorHAnsi"/>
        </w:rPr>
        <w:t xml:space="preserve">irst </w:t>
      </w:r>
      <w:r w:rsidR="00FB2944" w:rsidRPr="00001F7B">
        <w:rPr>
          <w:rFonts w:cstheme="minorHAnsi"/>
        </w:rPr>
        <w:t>r</w:t>
      </w:r>
      <w:r w:rsidR="00D1457D" w:rsidRPr="00001F7B">
        <w:rPr>
          <w:rFonts w:cstheme="minorHAnsi"/>
        </w:rPr>
        <w:t xml:space="preserve">eport </w:t>
      </w:r>
      <w:r w:rsidR="00696220" w:rsidRPr="00001F7B">
        <w:rPr>
          <w:rFonts w:cstheme="minorHAnsi"/>
        </w:rPr>
        <w:t xml:space="preserve">on subsequent </w:t>
      </w:r>
      <w:r w:rsidR="00FB2944" w:rsidRPr="00001F7B">
        <w:rPr>
          <w:rFonts w:cstheme="minorHAnsi"/>
        </w:rPr>
        <w:t>a</w:t>
      </w:r>
      <w:r w:rsidR="00696220" w:rsidRPr="00001F7B">
        <w:rPr>
          <w:rFonts w:cstheme="minorHAnsi"/>
        </w:rPr>
        <w:t xml:space="preserve">greements and </w:t>
      </w:r>
      <w:r w:rsidR="00FB2944" w:rsidRPr="00001F7B">
        <w:rPr>
          <w:rFonts w:cstheme="minorHAnsi"/>
        </w:rPr>
        <w:t xml:space="preserve">subsequent </w:t>
      </w:r>
      <w:r w:rsidR="009A5056" w:rsidRPr="00001F7B">
        <w:rPr>
          <w:rFonts w:cstheme="minorHAnsi"/>
        </w:rPr>
        <w:t xml:space="preserve">practice in relation to treaty interpretation, </w:t>
      </w:r>
      <w:r w:rsidR="008C1B40" w:rsidRPr="00001F7B">
        <w:rPr>
          <w:rFonts w:cstheme="minorHAnsi"/>
        </w:rPr>
        <w:t>19.3.</w:t>
      </w:r>
      <w:r w:rsidR="00E323A6" w:rsidRPr="00001F7B">
        <w:rPr>
          <w:rFonts w:cstheme="minorHAnsi"/>
        </w:rPr>
        <w:t xml:space="preserve">2013, A/CN.4/660, </w:t>
      </w:r>
      <w:r w:rsidR="00D1457D" w:rsidRPr="00001F7B">
        <w:rPr>
          <w:rFonts w:cstheme="minorHAnsi"/>
        </w:rPr>
        <w:t>para</w:t>
      </w:r>
      <w:r w:rsidR="00395B25" w:rsidRPr="00001F7B">
        <w:rPr>
          <w:rFonts w:cstheme="minorHAnsi"/>
        </w:rPr>
        <w:t xml:space="preserve"> </w:t>
      </w:r>
      <w:r w:rsidR="00D1457D" w:rsidRPr="00001F7B">
        <w:rPr>
          <w:rFonts w:cstheme="minorHAnsi"/>
        </w:rPr>
        <w:t>10</w:t>
      </w:r>
      <w:r w:rsidR="00E323A6" w:rsidRPr="00001F7B">
        <w:rPr>
          <w:rFonts w:cstheme="minorHAnsi"/>
        </w:rPr>
        <w:t>.</w:t>
      </w:r>
      <w:r w:rsidR="0094119F" w:rsidRPr="00001F7B">
        <w:rPr>
          <w:rFonts w:cstheme="minorHAnsi"/>
        </w:rPr>
        <w:t xml:space="preserve"> See further Gardiner, p</w:t>
      </w:r>
      <w:r w:rsidR="00395B25" w:rsidRPr="00001F7B">
        <w:rPr>
          <w:rFonts w:cstheme="minorHAnsi"/>
        </w:rPr>
        <w:t xml:space="preserve"> </w:t>
      </w:r>
      <w:r w:rsidR="0094119F" w:rsidRPr="00001F7B">
        <w:rPr>
          <w:rFonts w:cstheme="minorHAnsi"/>
        </w:rPr>
        <w:t xml:space="preserve">13 where he </w:t>
      </w:r>
      <w:r w:rsidR="002530D7" w:rsidRPr="00001F7B">
        <w:rPr>
          <w:rFonts w:cstheme="minorHAnsi"/>
        </w:rPr>
        <w:t xml:space="preserve">cites the Award of 24.5.2005 of the </w:t>
      </w:r>
      <w:r w:rsidR="002530D7" w:rsidRPr="00001F7B">
        <w:rPr>
          <w:rFonts w:cstheme="minorHAnsi"/>
          <w:i/>
          <w:iCs/>
        </w:rPr>
        <w:t>Arbitration Regarding the Iron Rhine (“</w:t>
      </w:r>
      <w:proofErr w:type="spellStart"/>
      <w:r w:rsidR="002530D7" w:rsidRPr="00001F7B">
        <w:rPr>
          <w:rFonts w:cstheme="minorHAnsi"/>
          <w:i/>
          <w:iCs/>
        </w:rPr>
        <w:t>IJzeren</w:t>
      </w:r>
      <w:proofErr w:type="spellEnd"/>
      <w:r w:rsidR="002530D7" w:rsidRPr="00001F7B">
        <w:rPr>
          <w:rFonts w:cstheme="minorHAnsi"/>
          <w:i/>
          <w:iCs/>
        </w:rPr>
        <w:t xml:space="preserve"> Rijn”) Railway (Belgium/Netherlands)</w:t>
      </w:r>
      <w:r w:rsidR="002530D7" w:rsidRPr="00001F7B">
        <w:rPr>
          <w:rFonts w:cstheme="minorHAnsi"/>
        </w:rPr>
        <w:t>, XXVII RIAA 35, p</w:t>
      </w:r>
      <w:r w:rsidR="00395B25" w:rsidRPr="00001F7B">
        <w:rPr>
          <w:rFonts w:cstheme="minorHAnsi"/>
        </w:rPr>
        <w:t xml:space="preserve"> </w:t>
      </w:r>
      <w:r w:rsidR="002530D7" w:rsidRPr="00001F7B">
        <w:rPr>
          <w:rFonts w:cstheme="minorHAnsi"/>
        </w:rPr>
        <w:t>62, para</w:t>
      </w:r>
      <w:r w:rsidR="00395B25" w:rsidRPr="00001F7B">
        <w:rPr>
          <w:rFonts w:cstheme="minorHAnsi"/>
        </w:rPr>
        <w:t xml:space="preserve"> </w:t>
      </w:r>
      <w:r w:rsidR="002530D7" w:rsidRPr="00001F7B">
        <w:rPr>
          <w:rFonts w:cstheme="minorHAnsi"/>
        </w:rPr>
        <w:t xml:space="preserve">45 where it was noted </w:t>
      </w:r>
      <w:r w:rsidR="00395B25" w:rsidRPr="00001F7B">
        <w:rPr>
          <w:rFonts w:cstheme="minorHAnsi"/>
        </w:rPr>
        <w:t xml:space="preserve">that </w:t>
      </w:r>
      <w:r w:rsidR="002530D7" w:rsidRPr="00001F7B">
        <w:rPr>
          <w:rFonts w:cstheme="minorHAnsi"/>
        </w:rPr>
        <w:t xml:space="preserve">the ICJ has applied customary rules of interpretation, now </w:t>
      </w:r>
      <w:r w:rsidR="0010206E" w:rsidRPr="00001F7B">
        <w:rPr>
          <w:rFonts w:cstheme="minorHAnsi"/>
        </w:rPr>
        <w:t>reflected</w:t>
      </w:r>
      <w:r w:rsidR="002530D7" w:rsidRPr="00001F7B">
        <w:rPr>
          <w:rFonts w:cstheme="minorHAnsi"/>
        </w:rPr>
        <w:t xml:space="preserve"> </w:t>
      </w:r>
      <w:r w:rsidR="0010206E" w:rsidRPr="00001F7B">
        <w:rPr>
          <w:rFonts w:cstheme="minorHAnsi"/>
        </w:rPr>
        <w:t>in arts. 31 and 32 to a treaty concluded in 1955…and to a treaty conclude</w:t>
      </w:r>
      <w:r w:rsidR="000D7546" w:rsidRPr="00001F7B">
        <w:rPr>
          <w:rFonts w:cstheme="minorHAnsi"/>
        </w:rPr>
        <w:t>d</w:t>
      </w:r>
      <w:r w:rsidR="0010206E" w:rsidRPr="00001F7B">
        <w:rPr>
          <w:rFonts w:cstheme="minorHAnsi"/>
        </w:rPr>
        <w:t xml:space="preserve"> in 1890, bearing on rights of States that even on the day of Judgement were still not parties to the Vienna Conventio</w:t>
      </w:r>
      <w:r w:rsidR="001A3F03" w:rsidRPr="00001F7B">
        <w:rPr>
          <w:rFonts w:cstheme="minorHAnsi"/>
        </w:rPr>
        <w:t>n. He</w:t>
      </w:r>
      <w:r w:rsidR="0010206E" w:rsidRPr="00001F7B">
        <w:rPr>
          <w:rFonts w:cstheme="minorHAnsi"/>
        </w:rPr>
        <w:t xml:space="preserve"> go</w:t>
      </w:r>
      <w:r w:rsidR="001A3F03" w:rsidRPr="00001F7B">
        <w:rPr>
          <w:rFonts w:cstheme="minorHAnsi"/>
        </w:rPr>
        <w:t>es</w:t>
      </w:r>
      <w:r w:rsidR="0010206E" w:rsidRPr="00001F7B">
        <w:rPr>
          <w:rFonts w:cstheme="minorHAnsi"/>
        </w:rPr>
        <w:t xml:space="preserve"> on t</w:t>
      </w:r>
      <w:r w:rsidR="00395B25" w:rsidRPr="00001F7B">
        <w:rPr>
          <w:rFonts w:cstheme="minorHAnsi"/>
        </w:rPr>
        <w:t>o</w:t>
      </w:r>
      <w:r w:rsidR="0010206E" w:rsidRPr="00001F7B">
        <w:rPr>
          <w:rFonts w:cstheme="minorHAnsi"/>
        </w:rPr>
        <w:t xml:space="preserve"> state: </w:t>
      </w:r>
      <w:r w:rsidR="00395B25" w:rsidRPr="00001F7B">
        <w:rPr>
          <w:rFonts w:cstheme="minorHAnsi"/>
        </w:rPr>
        <w:t>“</w:t>
      </w:r>
      <w:r w:rsidR="0010206E" w:rsidRPr="00001F7B">
        <w:rPr>
          <w:rFonts w:cstheme="minorHAnsi"/>
        </w:rPr>
        <w:t>There is no case after the adoption of the Vienna Convention in 1969 in which the (ICJ) or any other leading tribunal has failed so to act” which Gardiner takes to mean that neither the ICJ no</w:t>
      </w:r>
      <w:r w:rsidR="00623FCB" w:rsidRPr="00001F7B">
        <w:rPr>
          <w:rFonts w:cstheme="minorHAnsi"/>
        </w:rPr>
        <w:t xml:space="preserve">r </w:t>
      </w:r>
      <w:r w:rsidR="0010206E" w:rsidRPr="00001F7B">
        <w:rPr>
          <w:rFonts w:cstheme="minorHAnsi"/>
        </w:rPr>
        <w:t xml:space="preserve">other leading tribunals have ever denied </w:t>
      </w:r>
      <w:r w:rsidR="003B6F38" w:rsidRPr="00001F7B">
        <w:rPr>
          <w:rFonts w:cstheme="minorHAnsi"/>
        </w:rPr>
        <w:t xml:space="preserve">that applicability (even if positive affirmation took a little while). </w:t>
      </w:r>
      <w:r w:rsidR="00370C11" w:rsidRPr="00001F7B">
        <w:rPr>
          <w:rFonts w:cstheme="minorHAnsi"/>
        </w:rPr>
        <w:t xml:space="preserve">Further cases on this aspect include </w:t>
      </w:r>
      <w:r w:rsidR="00370C11" w:rsidRPr="00001F7B">
        <w:rPr>
          <w:rFonts w:cstheme="minorHAnsi"/>
          <w:i/>
          <w:iCs/>
        </w:rPr>
        <w:t>Case Concerning Pulp Mills on the River Uruguay (Argentina v Uruguay)</w:t>
      </w:r>
      <w:r w:rsidR="00370C11" w:rsidRPr="00001F7B">
        <w:rPr>
          <w:rFonts w:cstheme="minorHAnsi"/>
        </w:rPr>
        <w:t xml:space="preserve"> [2010] ICJ Reports 18, para</w:t>
      </w:r>
      <w:r w:rsidR="00395B25" w:rsidRPr="00001F7B">
        <w:rPr>
          <w:rFonts w:cstheme="minorHAnsi"/>
        </w:rPr>
        <w:t xml:space="preserve"> </w:t>
      </w:r>
      <w:r w:rsidR="00370C11" w:rsidRPr="00001F7B">
        <w:rPr>
          <w:rFonts w:cstheme="minorHAnsi"/>
        </w:rPr>
        <w:t>65 (Gardiner, p</w:t>
      </w:r>
      <w:r w:rsidR="008D24B6" w:rsidRPr="00001F7B">
        <w:rPr>
          <w:rFonts w:cstheme="minorHAnsi"/>
        </w:rPr>
        <w:t xml:space="preserve"> </w:t>
      </w:r>
      <w:r w:rsidR="00370C11" w:rsidRPr="00001F7B">
        <w:rPr>
          <w:rFonts w:cstheme="minorHAnsi"/>
        </w:rPr>
        <w:t>17 n</w:t>
      </w:r>
      <w:r w:rsidR="008D24B6" w:rsidRPr="00001F7B">
        <w:rPr>
          <w:rFonts w:cstheme="minorHAnsi"/>
        </w:rPr>
        <w:t xml:space="preserve"> </w:t>
      </w:r>
      <w:r w:rsidR="00370C11" w:rsidRPr="00001F7B">
        <w:rPr>
          <w:rFonts w:cstheme="minorHAnsi"/>
        </w:rPr>
        <w:t xml:space="preserve">39), </w:t>
      </w:r>
      <w:r w:rsidR="00053AA8" w:rsidRPr="00001F7B">
        <w:rPr>
          <w:rFonts w:cstheme="minorHAnsi"/>
        </w:rPr>
        <w:t xml:space="preserve"> </w:t>
      </w:r>
      <w:proofErr w:type="spellStart"/>
      <w:r w:rsidR="00053AA8" w:rsidRPr="00001F7B">
        <w:rPr>
          <w:rFonts w:cstheme="minorHAnsi"/>
          <w:i/>
          <w:iCs/>
        </w:rPr>
        <w:t>Avena</w:t>
      </w:r>
      <w:proofErr w:type="spellEnd"/>
      <w:r w:rsidR="00053AA8" w:rsidRPr="00001F7B">
        <w:rPr>
          <w:rFonts w:cstheme="minorHAnsi"/>
          <w:i/>
          <w:iCs/>
        </w:rPr>
        <w:t xml:space="preserve"> and Other Mexican Nationals (Mexico v United States of America)</w:t>
      </w:r>
      <w:r w:rsidR="00053AA8" w:rsidRPr="00001F7B">
        <w:rPr>
          <w:rFonts w:cstheme="minorHAnsi"/>
        </w:rPr>
        <w:t xml:space="preserve"> [2004] ICJ Reports 37 (concerning the Convention on Consular relations 1963)</w:t>
      </w:r>
      <w:r w:rsidR="00623FCB" w:rsidRPr="00001F7B">
        <w:rPr>
          <w:rFonts w:cstheme="minorHAnsi"/>
        </w:rPr>
        <w:t>,</w:t>
      </w:r>
      <w:r w:rsidR="00053AA8" w:rsidRPr="00001F7B">
        <w:rPr>
          <w:rFonts w:cstheme="minorHAnsi"/>
        </w:rPr>
        <w:t xml:space="preserve"> </w:t>
      </w:r>
      <w:proofErr w:type="spellStart"/>
      <w:r w:rsidR="00053AA8" w:rsidRPr="00001F7B">
        <w:rPr>
          <w:rFonts w:cstheme="minorHAnsi"/>
          <w:i/>
          <w:iCs/>
        </w:rPr>
        <w:t>LaGrand</w:t>
      </w:r>
      <w:proofErr w:type="spellEnd"/>
      <w:r w:rsidR="00053AA8" w:rsidRPr="00001F7B">
        <w:rPr>
          <w:rFonts w:cstheme="minorHAnsi"/>
          <w:i/>
          <w:iCs/>
        </w:rPr>
        <w:t xml:space="preserve"> (Germany v USA) </w:t>
      </w:r>
      <w:r w:rsidR="00053AA8" w:rsidRPr="00001F7B">
        <w:rPr>
          <w:rFonts w:cstheme="minorHAnsi"/>
        </w:rPr>
        <w:t>[2001] ICJ Reports 466</w:t>
      </w:r>
      <w:r w:rsidR="00BC47FD" w:rsidRPr="00001F7B">
        <w:rPr>
          <w:rFonts w:cstheme="minorHAnsi"/>
        </w:rPr>
        <w:t xml:space="preserve"> (Article 41 of the </w:t>
      </w:r>
      <w:r w:rsidR="008D24B6" w:rsidRPr="00001F7B">
        <w:rPr>
          <w:rFonts w:cstheme="minorHAnsi"/>
        </w:rPr>
        <w:t xml:space="preserve">ICJ </w:t>
      </w:r>
      <w:r w:rsidR="00BC47FD" w:rsidRPr="00001F7B">
        <w:rPr>
          <w:rFonts w:cstheme="minorHAnsi"/>
        </w:rPr>
        <w:t>Statute)</w:t>
      </w:r>
      <w:r w:rsidR="00623FCB" w:rsidRPr="00001F7B">
        <w:rPr>
          <w:rFonts w:cstheme="minorHAnsi"/>
        </w:rPr>
        <w:t xml:space="preserve"> and </w:t>
      </w:r>
      <w:r w:rsidR="00623FCB" w:rsidRPr="00001F7B">
        <w:rPr>
          <w:rFonts w:cstheme="minorHAnsi"/>
          <w:i/>
          <w:iCs/>
        </w:rPr>
        <w:t>Busby v Alaska</w:t>
      </w:r>
      <w:r w:rsidR="00623FCB" w:rsidRPr="00001F7B">
        <w:rPr>
          <w:rFonts w:cstheme="minorHAnsi"/>
        </w:rPr>
        <w:t>,</w:t>
      </w:r>
      <w:r w:rsidR="006A1D49" w:rsidRPr="00001F7B">
        <w:rPr>
          <w:rFonts w:cstheme="minorHAnsi"/>
        </w:rPr>
        <w:t xml:space="preserve"> (2002) </w:t>
      </w:r>
      <w:r w:rsidR="006A1D49" w:rsidRPr="00001F7B">
        <w:rPr>
          <w:rStyle w:val="Strong"/>
          <w:rFonts w:cstheme="minorHAnsi"/>
          <w:b w:val="0"/>
          <w:bCs w:val="0"/>
          <w:color w:val="000000"/>
          <w:shd w:val="clear" w:color="auto" w:fill="FFFFFF"/>
        </w:rPr>
        <w:t>40 P.3d 807</w:t>
      </w:r>
      <w:r w:rsidR="00623FCB" w:rsidRPr="00001F7B">
        <w:rPr>
          <w:rFonts w:cstheme="minorHAnsi"/>
        </w:rPr>
        <w:t xml:space="preserve"> </w:t>
      </w:r>
      <w:r w:rsidR="006A1D49" w:rsidRPr="00001F7B">
        <w:rPr>
          <w:rFonts w:cstheme="minorHAnsi"/>
        </w:rPr>
        <w:t>(</w:t>
      </w:r>
      <w:r w:rsidR="00623FCB" w:rsidRPr="00001F7B">
        <w:rPr>
          <w:rFonts w:cstheme="minorHAnsi"/>
        </w:rPr>
        <w:t>UN Convention on Road Traffic 1949</w:t>
      </w:r>
      <w:r w:rsidR="006A1D49" w:rsidRPr="00001F7B">
        <w:rPr>
          <w:rFonts w:cstheme="minorHAnsi"/>
        </w:rPr>
        <w:t xml:space="preserve">), </w:t>
      </w:r>
      <w:r w:rsidR="00623FCB" w:rsidRPr="00001F7B">
        <w:rPr>
          <w:rFonts w:cstheme="minorHAnsi"/>
        </w:rPr>
        <w:t>applying art</w:t>
      </w:r>
      <w:r w:rsidR="008D24B6" w:rsidRPr="00001F7B">
        <w:rPr>
          <w:rFonts w:cstheme="minorHAnsi"/>
        </w:rPr>
        <w:t xml:space="preserve"> </w:t>
      </w:r>
      <w:r w:rsidR="00623FCB" w:rsidRPr="00001F7B">
        <w:rPr>
          <w:rFonts w:cstheme="minorHAnsi"/>
        </w:rPr>
        <w:t xml:space="preserve">33 </w:t>
      </w:r>
      <w:r w:rsidR="008C1F90" w:rsidRPr="00001F7B">
        <w:rPr>
          <w:rFonts w:cstheme="minorHAnsi"/>
        </w:rPr>
        <w:t xml:space="preserve">(Gardiner, p 436 and see below text to </w:t>
      </w:r>
      <w:proofErr w:type="spellStart"/>
      <w:r w:rsidR="008C1F90" w:rsidRPr="00001F7B">
        <w:rPr>
          <w:rFonts w:cstheme="minorHAnsi"/>
        </w:rPr>
        <w:t>fn</w:t>
      </w:r>
      <w:proofErr w:type="spellEnd"/>
      <w:r w:rsidR="008D24B6" w:rsidRPr="00001F7B">
        <w:rPr>
          <w:rFonts w:cstheme="minorHAnsi"/>
        </w:rPr>
        <w:t xml:space="preserve"> </w:t>
      </w:r>
      <w:r w:rsidR="00120B96" w:rsidRPr="00001F7B">
        <w:rPr>
          <w:rFonts w:cstheme="minorHAnsi"/>
        </w:rPr>
        <w:t>257</w:t>
      </w:r>
      <w:r w:rsidR="008C1F90" w:rsidRPr="00001F7B">
        <w:rPr>
          <w:rFonts w:cstheme="minorHAnsi"/>
        </w:rPr>
        <w:t>)</w:t>
      </w:r>
      <w:r w:rsidR="006A1D49" w:rsidRPr="00001F7B">
        <w:rPr>
          <w:rFonts w:cstheme="minorHAnsi"/>
        </w:rPr>
        <w:t>.</w:t>
      </w:r>
      <w:r w:rsidR="008D24B6" w:rsidRPr="00001F7B">
        <w:rPr>
          <w:rFonts w:cstheme="minorHAnsi"/>
        </w:rPr>
        <w:t xml:space="preserve"> In that case Judge </w:t>
      </w:r>
      <w:proofErr w:type="spellStart"/>
      <w:r w:rsidR="008D24B6" w:rsidRPr="00001F7B">
        <w:rPr>
          <w:rFonts w:cstheme="minorHAnsi"/>
        </w:rPr>
        <w:t>Mannheimer</w:t>
      </w:r>
      <w:proofErr w:type="spellEnd"/>
      <w:r w:rsidR="008D24B6" w:rsidRPr="00001F7B">
        <w:rPr>
          <w:rFonts w:cstheme="minorHAnsi"/>
        </w:rPr>
        <w:t xml:space="preserve"> said</w:t>
      </w:r>
      <w:r w:rsidR="006A1D49" w:rsidRPr="00001F7B">
        <w:rPr>
          <w:rFonts w:cstheme="minorHAnsi"/>
        </w:rPr>
        <w:t xml:space="preserve"> (p 814)</w:t>
      </w:r>
      <w:r w:rsidR="008D24B6" w:rsidRPr="00001F7B">
        <w:rPr>
          <w:rFonts w:cstheme="minorHAnsi"/>
        </w:rPr>
        <w:t>:</w:t>
      </w:r>
      <w:r w:rsidR="00623FCB" w:rsidRPr="00001F7B">
        <w:rPr>
          <w:rFonts w:cstheme="minorHAnsi"/>
        </w:rPr>
        <w:t xml:space="preserve"> “</w:t>
      </w:r>
      <w:r w:rsidR="00623FCB" w:rsidRPr="00001F7B">
        <w:rPr>
          <w:rFonts w:cstheme="minorHAnsi"/>
          <w:color w:val="000000"/>
          <w:shd w:val="clear" w:color="auto" w:fill="FFFFFF"/>
        </w:rPr>
        <w:t xml:space="preserve">However, as the Fifth Circuit noted in </w:t>
      </w:r>
      <w:proofErr w:type="spellStart"/>
      <w:r w:rsidR="00623FCB" w:rsidRPr="00001F7B">
        <w:rPr>
          <w:rFonts w:cstheme="minorHAnsi"/>
          <w:i/>
          <w:iCs/>
          <w:color w:val="000000"/>
          <w:shd w:val="clear" w:color="auto" w:fill="FFFFFF"/>
        </w:rPr>
        <w:t>Kreimerman</w:t>
      </w:r>
      <w:proofErr w:type="spellEnd"/>
      <w:r w:rsidR="00623FCB" w:rsidRPr="00001F7B">
        <w:rPr>
          <w:rFonts w:cstheme="minorHAnsi"/>
          <w:i/>
          <w:iCs/>
          <w:color w:val="000000"/>
          <w:shd w:val="clear" w:color="auto" w:fill="FFFFFF"/>
        </w:rPr>
        <w:t xml:space="preserve"> v. Casa </w:t>
      </w:r>
      <w:proofErr w:type="spellStart"/>
      <w:r w:rsidR="00623FCB" w:rsidRPr="00001F7B">
        <w:rPr>
          <w:rFonts w:cstheme="minorHAnsi"/>
          <w:i/>
          <w:iCs/>
          <w:color w:val="000000"/>
          <w:shd w:val="clear" w:color="auto" w:fill="FFFFFF"/>
        </w:rPr>
        <w:t>Veerkamp</w:t>
      </w:r>
      <w:proofErr w:type="spellEnd"/>
      <w:r w:rsidR="00623FCB" w:rsidRPr="00001F7B">
        <w:rPr>
          <w:rFonts w:cstheme="minorHAnsi"/>
          <w:i/>
          <w:iCs/>
          <w:color w:val="000000"/>
          <w:shd w:val="clear" w:color="auto" w:fill="FFFFFF"/>
        </w:rPr>
        <w:t>, S.A</w:t>
      </w:r>
      <w:r w:rsidR="00623FCB" w:rsidRPr="00001F7B">
        <w:rPr>
          <w:rFonts w:cstheme="minorHAnsi"/>
          <w:color w:val="000000"/>
          <w:shd w:val="clear" w:color="auto" w:fill="FFFFFF"/>
        </w:rPr>
        <w:t>., "Although the United States is not a party to the Vienna Convention, it regards the substantive provisions of the Vienna Convention as codifying the international law of treaties."</w:t>
      </w:r>
      <w:r w:rsidR="008D24B6" w:rsidRPr="00001F7B">
        <w:rPr>
          <w:rFonts w:cstheme="minorHAnsi"/>
          <w:color w:val="000000"/>
          <w:shd w:val="clear" w:color="auto" w:fill="FFFFFF"/>
        </w:rPr>
        <w:t xml:space="preserve"> </w:t>
      </w:r>
      <w:r w:rsidR="00623FCB" w:rsidRPr="00001F7B">
        <w:rPr>
          <w:rFonts w:cstheme="minorHAnsi"/>
          <w:color w:val="000000"/>
          <w:shd w:val="clear" w:color="auto" w:fill="FFFFFF"/>
        </w:rPr>
        <w:t xml:space="preserve">Or as the Washington Supreme Court stated in </w:t>
      </w:r>
      <w:r w:rsidR="00623FCB" w:rsidRPr="00001F7B">
        <w:rPr>
          <w:rFonts w:cstheme="minorHAnsi"/>
          <w:i/>
          <w:iCs/>
          <w:color w:val="000000"/>
          <w:shd w:val="clear" w:color="auto" w:fill="FFFFFF"/>
        </w:rPr>
        <w:t>State v. Pang</w:t>
      </w:r>
      <w:r w:rsidR="00623FCB" w:rsidRPr="00001F7B">
        <w:rPr>
          <w:rFonts w:cstheme="minorHAnsi"/>
          <w:color w:val="000000"/>
          <w:shd w:val="clear" w:color="auto" w:fill="FFFFFF"/>
        </w:rPr>
        <w:t>, the Vienna Convention "is accepted as the authoritative guide to treaty law and practice and declaratory of customary international law."</w:t>
      </w:r>
      <w:r w:rsidR="00120B96" w:rsidRPr="00001F7B">
        <w:rPr>
          <w:rFonts w:cstheme="minorHAnsi"/>
          <w:color w:val="000000"/>
          <w:shd w:val="clear" w:color="auto" w:fill="FFFFFF"/>
        </w:rPr>
        <w:t>”</w:t>
      </w:r>
    </w:p>
  </w:footnote>
  <w:footnote w:id="65">
    <w:p w14:paraId="16A293F1" w14:textId="7D55D9DD" w:rsidR="00A15DD8" w:rsidRPr="00001F7B" w:rsidRDefault="00A15DD8" w:rsidP="00412E24">
      <w:pPr>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r w:rsidR="007A64D0" w:rsidRPr="00001F7B">
        <w:rPr>
          <w:rFonts w:cstheme="minorHAnsi"/>
          <w:sz w:val="20"/>
          <w:szCs w:val="20"/>
        </w:rPr>
        <w:t xml:space="preserve">If the true effect of the recognition given to the application the Rules as CIL to prior treaties is that it is being applied retrospectively this gives rise to </w:t>
      </w:r>
      <w:r w:rsidR="006A1D49" w:rsidRPr="00001F7B">
        <w:rPr>
          <w:rFonts w:cstheme="minorHAnsi"/>
          <w:sz w:val="20"/>
          <w:szCs w:val="20"/>
        </w:rPr>
        <w:t xml:space="preserve">a </w:t>
      </w:r>
      <w:r w:rsidR="007A64D0" w:rsidRPr="00001F7B">
        <w:rPr>
          <w:rFonts w:cstheme="minorHAnsi"/>
          <w:sz w:val="20"/>
          <w:szCs w:val="20"/>
        </w:rPr>
        <w:t>further policy issue.</w:t>
      </w:r>
      <w:r w:rsidR="00B31F0D" w:rsidRPr="00001F7B">
        <w:rPr>
          <w:rFonts w:cstheme="minorHAnsi"/>
          <w:sz w:val="20"/>
          <w:szCs w:val="20"/>
        </w:rPr>
        <w:t xml:space="preserve"> </w:t>
      </w:r>
      <w:r w:rsidR="007A64D0" w:rsidRPr="00001F7B">
        <w:rPr>
          <w:rFonts w:cstheme="minorHAnsi"/>
          <w:sz w:val="20"/>
          <w:szCs w:val="20"/>
        </w:rPr>
        <w:t>This is the relationship with the</w:t>
      </w:r>
      <w:r w:rsidRPr="00001F7B">
        <w:rPr>
          <w:rFonts w:cstheme="minorHAnsi"/>
          <w:sz w:val="20"/>
          <w:szCs w:val="20"/>
        </w:rPr>
        <w:t xml:space="preserve"> general rule that a treaty is not to be regarded as intended to have retroactive effects unless such an intention is expressed in the treaty or is clearly to be implied from its terms, </w:t>
      </w:r>
      <w:r w:rsidR="007A64D0" w:rsidRPr="00001F7B">
        <w:rPr>
          <w:rFonts w:cstheme="minorHAnsi"/>
          <w:sz w:val="20"/>
          <w:szCs w:val="20"/>
        </w:rPr>
        <w:t>(</w:t>
      </w:r>
      <w:r w:rsidRPr="00001F7B">
        <w:rPr>
          <w:rFonts w:cstheme="minorHAnsi"/>
          <w:sz w:val="20"/>
          <w:szCs w:val="20"/>
        </w:rPr>
        <w:t>1964</w:t>
      </w:r>
      <w:r w:rsidR="0086471D" w:rsidRPr="00001F7B">
        <w:rPr>
          <w:rFonts w:cstheme="minorHAnsi"/>
          <w:sz w:val="20"/>
          <w:szCs w:val="20"/>
        </w:rPr>
        <w:t xml:space="preserve"> Report</w:t>
      </w:r>
      <w:r w:rsidR="001817C2" w:rsidRPr="00001F7B">
        <w:rPr>
          <w:rFonts w:cstheme="minorHAnsi"/>
          <w:sz w:val="20"/>
          <w:szCs w:val="20"/>
        </w:rPr>
        <w:t xml:space="preserve">, </w:t>
      </w:r>
      <w:r w:rsidR="0086471D" w:rsidRPr="00001F7B">
        <w:rPr>
          <w:rFonts w:cstheme="minorHAnsi"/>
          <w:sz w:val="20"/>
          <w:szCs w:val="20"/>
        </w:rPr>
        <w:t xml:space="preserve">above </w:t>
      </w:r>
      <w:proofErr w:type="spellStart"/>
      <w:r w:rsidR="0086471D" w:rsidRPr="00001F7B">
        <w:rPr>
          <w:rFonts w:cstheme="minorHAnsi"/>
          <w:sz w:val="20"/>
          <w:szCs w:val="20"/>
        </w:rPr>
        <w:t>fn</w:t>
      </w:r>
      <w:proofErr w:type="spellEnd"/>
      <w:r w:rsidR="0086471D" w:rsidRPr="00001F7B">
        <w:rPr>
          <w:rFonts w:cstheme="minorHAnsi"/>
          <w:sz w:val="20"/>
          <w:szCs w:val="20"/>
        </w:rPr>
        <w:t xml:space="preserve"> 39, </w:t>
      </w:r>
      <w:r w:rsidRPr="00001F7B">
        <w:rPr>
          <w:rFonts w:cstheme="minorHAnsi"/>
          <w:sz w:val="20"/>
          <w:szCs w:val="20"/>
        </w:rPr>
        <w:t>p</w:t>
      </w:r>
      <w:r w:rsidR="006A1D49" w:rsidRPr="00001F7B">
        <w:rPr>
          <w:rFonts w:cstheme="minorHAnsi"/>
          <w:sz w:val="20"/>
          <w:szCs w:val="20"/>
        </w:rPr>
        <w:t xml:space="preserve"> </w:t>
      </w:r>
      <w:r w:rsidRPr="00001F7B">
        <w:rPr>
          <w:rFonts w:cstheme="minorHAnsi"/>
          <w:sz w:val="20"/>
          <w:szCs w:val="20"/>
        </w:rPr>
        <w:t>10 para 2</w:t>
      </w:r>
      <w:r w:rsidR="001817C2" w:rsidRPr="00001F7B">
        <w:rPr>
          <w:rFonts w:cstheme="minorHAnsi"/>
          <w:sz w:val="20"/>
          <w:szCs w:val="20"/>
        </w:rPr>
        <w:t>)</w:t>
      </w:r>
      <w:r w:rsidRPr="00001F7B">
        <w:rPr>
          <w:rFonts w:cstheme="minorHAnsi"/>
          <w:sz w:val="20"/>
          <w:szCs w:val="20"/>
        </w:rPr>
        <w:t>. The principle is reflected in art</w:t>
      </w:r>
      <w:r w:rsidR="006A1D49" w:rsidRPr="00001F7B">
        <w:rPr>
          <w:rFonts w:cstheme="minorHAnsi"/>
          <w:sz w:val="20"/>
          <w:szCs w:val="20"/>
        </w:rPr>
        <w:t xml:space="preserve"> </w:t>
      </w:r>
      <w:r w:rsidRPr="00001F7B">
        <w:rPr>
          <w:rFonts w:cstheme="minorHAnsi"/>
          <w:sz w:val="20"/>
          <w:szCs w:val="20"/>
        </w:rPr>
        <w:t xml:space="preserve">4 of </w:t>
      </w:r>
      <w:r w:rsidR="006B0F14" w:rsidRPr="00001F7B">
        <w:rPr>
          <w:rFonts w:cstheme="minorHAnsi"/>
          <w:sz w:val="20"/>
          <w:szCs w:val="20"/>
        </w:rPr>
        <w:t xml:space="preserve">the </w:t>
      </w:r>
      <w:r w:rsidRPr="00001F7B">
        <w:rPr>
          <w:rFonts w:cstheme="minorHAnsi"/>
          <w:sz w:val="20"/>
          <w:szCs w:val="20"/>
        </w:rPr>
        <w:t>VCLT but the general principle as such may show th</w:t>
      </w:r>
      <w:r w:rsidR="00B31F0D" w:rsidRPr="00001F7B">
        <w:rPr>
          <w:rFonts w:cstheme="minorHAnsi"/>
          <w:sz w:val="20"/>
          <w:szCs w:val="20"/>
        </w:rPr>
        <w:t>e</w:t>
      </w:r>
      <w:r w:rsidRPr="00001F7B">
        <w:rPr>
          <w:rFonts w:cstheme="minorHAnsi"/>
          <w:sz w:val="20"/>
          <w:szCs w:val="20"/>
        </w:rPr>
        <w:t xml:space="preserve"> importance of non-retroactivity</w:t>
      </w:r>
      <w:r w:rsidR="00233A5B" w:rsidRPr="00001F7B">
        <w:rPr>
          <w:rFonts w:cstheme="minorHAnsi"/>
          <w:sz w:val="20"/>
          <w:szCs w:val="20"/>
        </w:rPr>
        <w:t>,</w:t>
      </w:r>
      <w:r w:rsidR="0029386A" w:rsidRPr="00001F7B">
        <w:rPr>
          <w:rFonts w:cstheme="minorHAnsi"/>
          <w:sz w:val="20"/>
          <w:szCs w:val="20"/>
        </w:rPr>
        <w:t xml:space="preserve"> </w:t>
      </w:r>
      <w:r w:rsidRPr="00001F7B">
        <w:rPr>
          <w:rFonts w:cstheme="minorHAnsi"/>
          <w:sz w:val="20"/>
          <w:szCs w:val="20"/>
        </w:rPr>
        <w:t>unless clearly intended</w:t>
      </w:r>
      <w:r w:rsidR="006B0F14" w:rsidRPr="00001F7B">
        <w:rPr>
          <w:rFonts w:cstheme="minorHAnsi"/>
          <w:sz w:val="20"/>
          <w:szCs w:val="20"/>
        </w:rPr>
        <w:t>,</w:t>
      </w:r>
      <w:r w:rsidRPr="00001F7B">
        <w:rPr>
          <w:rFonts w:cstheme="minorHAnsi"/>
          <w:sz w:val="20"/>
          <w:szCs w:val="20"/>
        </w:rPr>
        <w:t xml:space="preserve"> which would seem a difficulty for CIL to achieve.</w:t>
      </w:r>
      <w:r w:rsidR="00200634" w:rsidRPr="00001F7B">
        <w:rPr>
          <w:rFonts w:cstheme="minorHAnsi"/>
          <w:sz w:val="20"/>
          <w:szCs w:val="20"/>
        </w:rPr>
        <w:t xml:space="preserve"> However, so long as the Rules are seen as a crystallization of emergent rules of CIL </w:t>
      </w:r>
      <w:r w:rsidR="00B516F6" w:rsidRPr="00001F7B">
        <w:rPr>
          <w:rFonts w:cstheme="minorHAnsi"/>
          <w:sz w:val="20"/>
          <w:szCs w:val="20"/>
        </w:rPr>
        <w:t>it m</w:t>
      </w:r>
      <w:r w:rsidR="006B0F14" w:rsidRPr="00001F7B">
        <w:rPr>
          <w:rFonts w:cstheme="minorHAnsi"/>
          <w:sz w:val="20"/>
          <w:szCs w:val="20"/>
        </w:rPr>
        <w:t xml:space="preserve">ight </w:t>
      </w:r>
      <w:r w:rsidR="00B516F6" w:rsidRPr="00001F7B">
        <w:rPr>
          <w:rFonts w:cstheme="minorHAnsi"/>
          <w:sz w:val="20"/>
          <w:szCs w:val="20"/>
        </w:rPr>
        <w:t xml:space="preserve">be </w:t>
      </w:r>
      <w:r w:rsidR="006B0F14" w:rsidRPr="00001F7B">
        <w:rPr>
          <w:rFonts w:cstheme="minorHAnsi"/>
          <w:sz w:val="20"/>
          <w:szCs w:val="20"/>
        </w:rPr>
        <w:t xml:space="preserve">possible to </w:t>
      </w:r>
      <w:r w:rsidR="00B516F6" w:rsidRPr="00001F7B">
        <w:rPr>
          <w:rFonts w:cstheme="minorHAnsi"/>
          <w:sz w:val="20"/>
          <w:szCs w:val="20"/>
        </w:rPr>
        <w:t>regard</w:t>
      </w:r>
      <w:r w:rsidR="00C04ACD" w:rsidRPr="00001F7B">
        <w:rPr>
          <w:rFonts w:cstheme="minorHAnsi"/>
          <w:sz w:val="20"/>
          <w:szCs w:val="20"/>
        </w:rPr>
        <w:t xml:space="preserve"> </w:t>
      </w:r>
      <w:r w:rsidR="007F033D">
        <w:rPr>
          <w:rFonts w:cstheme="minorHAnsi"/>
          <w:sz w:val="20"/>
          <w:szCs w:val="20"/>
        </w:rPr>
        <w:t>them</w:t>
      </w:r>
      <w:r w:rsidR="00B516F6" w:rsidRPr="00001F7B">
        <w:rPr>
          <w:rFonts w:cstheme="minorHAnsi"/>
          <w:sz w:val="20"/>
          <w:szCs w:val="20"/>
        </w:rPr>
        <w:t xml:space="preserve"> as not technically retroactive.</w:t>
      </w:r>
    </w:p>
  </w:footnote>
  <w:footnote w:id="66">
    <w:p w14:paraId="6C316793" w14:textId="22C7202C" w:rsidR="00B62CC4" w:rsidRPr="00001F7B" w:rsidRDefault="00B62CC4">
      <w:pPr>
        <w:pStyle w:val="FootnoteText"/>
        <w:rPr>
          <w:rFonts w:cstheme="minorHAnsi"/>
        </w:rPr>
      </w:pPr>
      <w:r w:rsidRPr="00001F7B">
        <w:rPr>
          <w:rStyle w:val="FootnoteReference"/>
          <w:rFonts w:cstheme="minorHAnsi"/>
        </w:rPr>
        <w:footnoteRef/>
      </w:r>
      <w:r w:rsidRPr="00001F7B">
        <w:rPr>
          <w:rFonts w:cstheme="minorHAnsi"/>
        </w:rPr>
        <w:t xml:space="preserve"> See, however, the practical realities considered below, text to </w:t>
      </w:r>
      <w:proofErr w:type="spellStart"/>
      <w:r w:rsidRPr="00001F7B">
        <w:rPr>
          <w:rFonts w:cstheme="minorHAnsi"/>
        </w:rPr>
        <w:t>fn</w:t>
      </w:r>
      <w:proofErr w:type="spellEnd"/>
      <w:r w:rsidR="00F34BD1" w:rsidRPr="00001F7B">
        <w:rPr>
          <w:rFonts w:cstheme="minorHAnsi"/>
        </w:rPr>
        <w:t xml:space="preserve"> 8</w:t>
      </w:r>
      <w:r w:rsidR="00BB0776" w:rsidRPr="00001F7B">
        <w:rPr>
          <w:rFonts w:cstheme="minorHAnsi"/>
        </w:rPr>
        <w:t>8</w:t>
      </w:r>
      <w:r w:rsidRPr="00001F7B">
        <w:rPr>
          <w:rFonts w:cstheme="minorHAnsi"/>
        </w:rPr>
        <w:t xml:space="preserve">. </w:t>
      </w:r>
    </w:p>
  </w:footnote>
  <w:footnote w:id="67">
    <w:p w14:paraId="3284D3A0" w14:textId="3A4CF530" w:rsidR="003E5186" w:rsidRPr="00001F7B" w:rsidRDefault="003E5186">
      <w:pPr>
        <w:pStyle w:val="FootnoteText"/>
        <w:rPr>
          <w:rFonts w:cstheme="minorHAnsi"/>
        </w:rPr>
      </w:pPr>
      <w:r w:rsidRPr="00001F7B">
        <w:rPr>
          <w:rStyle w:val="FootnoteReference"/>
          <w:rFonts w:cstheme="minorHAnsi"/>
        </w:rPr>
        <w:footnoteRef/>
      </w:r>
      <w:r w:rsidR="00605D4E" w:rsidRPr="00001F7B">
        <w:rPr>
          <w:rFonts w:cstheme="minorHAnsi"/>
        </w:rPr>
        <w:t xml:space="preserve"> Gardiner notes a difference between monist states where international law is regarded as fully part of domestic law and countries following the common law tradition (dualist states) where the position is less clear, above, </w:t>
      </w:r>
      <w:proofErr w:type="spellStart"/>
      <w:r w:rsidR="00605D4E" w:rsidRPr="00001F7B">
        <w:rPr>
          <w:rFonts w:cstheme="minorHAnsi"/>
        </w:rPr>
        <w:t>fn</w:t>
      </w:r>
      <w:proofErr w:type="spellEnd"/>
      <w:r w:rsidR="00605D4E" w:rsidRPr="00001F7B">
        <w:rPr>
          <w:rFonts w:cstheme="minorHAnsi"/>
        </w:rPr>
        <w:t xml:space="preserve"> </w:t>
      </w:r>
      <w:r w:rsidR="00BA4071" w:rsidRPr="00001F7B">
        <w:rPr>
          <w:rFonts w:cstheme="minorHAnsi"/>
        </w:rPr>
        <w:t>5</w:t>
      </w:r>
      <w:r w:rsidR="00605D4E" w:rsidRPr="00001F7B">
        <w:rPr>
          <w:rFonts w:cstheme="minorHAnsi"/>
        </w:rPr>
        <w:t>, p 19.</w:t>
      </w:r>
      <w:r w:rsidRPr="00001F7B">
        <w:rPr>
          <w:rFonts w:cstheme="minorHAnsi"/>
        </w:rPr>
        <w:t xml:space="preserve"> </w:t>
      </w:r>
      <w:r w:rsidR="00605D4E" w:rsidRPr="00001F7B">
        <w:rPr>
          <w:rFonts w:cstheme="minorHAnsi"/>
        </w:rPr>
        <w:t xml:space="preserve">However, even </w:t>
      </w:r>
      <w:r w:rsidR="00526686">
        <w:rPr>
          <w:rFonts w:cstheme="minorHAnsi"/>
        </w:rPr>
        <w:t>m</w:t>
      </w:r>
      <w:r w:rsidR="00605D4E" w:rsidRPr="00001F7B">
        <w:rPr>
          <w:rFonts w:cstheme="minorHAnsi"/>
        </w:rPr>
        <w:t xml:space="preserve">onist states may assimilate treaty interpretation to statutory interpretation, see Waibel, above </w:t>
      </w:r>
      <w:proofErr w:type="spellStart"/>
      <w:r w:rsidR="00605D4E" w:rsidRPr="00001F7B">
        <w:rPr>
          <w:rFonts w:cstheme="minorHAnsi"/>
        </w:rPr>
        <w:t>fn</w:t>
      </w:r>
      <w:proofErr w:type="spellEnd"/>
      <w:r w:rsidR="00605D4E" w:rsidRPr="00001F7B">
        <w:rPr>
          <w:rFonts w:cstheme="minorHAnsi"/>
        </w:rPr>
        <w:t xml:space="preserve"> </w:t>
      </w:r>
      <w:r w:rsidR="00BA4071" w:rsidRPr="00001F7B">
        <w:rPr>
          <w:rFonts w:cstheme="minorHAnsi"/>
        </w:rPr>
        <w:t>3</w:t>
      </w:r>
      <w:r w:rsidR="00605D4E" w:rsidRPr="00001F7B">
        <w:rPr>
          <w:rFonts w:cstheme="minorHAnsi"/>
        </w:rPr>
        <w:t xml:space="preserve">, p </w:t>
      </w:r>
      <w:r w:rsidR="00DD7580" w:rsidRPr="00001F7B">
        <w:rPr>
          <w:rFonts w:cstheme="minorHAnsi"/>
        </w:rPr>
        <w:t>30</w:t>
      </w:r>
      <w:r w:rsidR="00605D4E" w:rsidRPr="00001F7B">
        <w:rPr>
          <w:rFonts w:cstheme="minorHAnsi"/>
        </w:rPr>
        <w:t xml:space="preserve"> who cites Italy, Netherlands and Poland. </w:t>
      </w:r>
      <w:r w:rsidR="00BA4071" w:rsidRPr="00001F7B">
        <w:rPr>
          <w:rFonts w:cstheme="minorHAnsi"/>
        </w:rPr>
        <w:t xml:space="preserve">This position in respect of the Netherlands may be doubtful in view of the expressed recognition given to the Vienna Rules by its courts, see below, </w:t>
      </w:r>
      <w:proofErr w:type="spellStart"/>
      <w:r w:rsidR="00BA4071" w:rsidRPr="00001F7B">
        <w:rPr>
          <w:rFonts w:cstheme="minorHAnsi"/>
        </w:rPr>
        <w:t>fn</w:t>
      </w:r>
      <w:proofErr w:type="spellEnd"/>
      <w:r w:rsidR="00BA4071" w:rsidRPr="00001F7B">
        <w:rPr>
          <w:rFonts w:cstheme="minorHAnsi"/>
        </w:rPr>
        <w:t xml:space="preserve"> 8</w:t>
      </w:r>
      <w:r w:rsidR="00A727E7" w:rsidRPr="00001F7B">
        <w:rPr>
          <w:rFonts w:cstheme="minorHAnsi"/>
        </w:rPr>
        <w:t>4</w:t>
      </w:r>
      <w:r w:rsidR="00BA4071" w:rsidRPr="00001F7B">
        <w:rPr>
          <w:rFonts w:cstheme="minorHAnsi"/>
        </w:rPr>
        <w:t>.</w:t>
      </w:r>
      <w:r w:rsidR="001D32AC" w:rsidRPr="00001F7B">
        <w:rPr>
          <w:rFonts w:cstheme="minorHAnsi"/>
        </w:rPr>
        <w:t xml:space="preserve"> See further in respect of dualist states </w:t>
      </w:r>
      <w:r w:rsidR="001D32AC" w:rsidRPr="00001F7B">
        <w:rPr>
          <w:rFonts w:cstheme="minorHAnsi"/>
          <w:b/>
          <w:bCs/>
        </w:rPr>
        <w:t>2.4.2</w:t>
      </w:r>
      <w:r w:rsidR="001D32AC" w:rsidRPr="00001F7B">
        <w:rPr>
          <w:rFonts w:cstheme="minorHAnsi"/>
        </w:rPr>
        <w:t xml:space="preserve"> below.</w:t>
      </w:r>
    </w:p>
  </w:footnote>
  <w:footnote w:id="68">
    <w:p w14:paraId="2B2C010B" w14:textId="5A5C3A75" w:rsidR="0076532C" w:rsidRPr="00001F7B" w:rsidRDefault="0076532C">
      <w:pPr>
        <w:pStyle w:val="FootnoteText"/>
        <w:rPr>
          <w:rFonts w:cstheme="minorHAnsi"/>
        </w:rPr>
      </w:pPr>
      <w:r w:rsidRPr="00001F7B">
        <w:rPr>
          <w:rStyle w:val="FootnoteReference"/>
          <w:rFonts w:cstheme="minorHAnsi"/>
        </w:rPr>
        <w:footnoteRef/>
      </w:r>
      <w:r w:rsidRPr="00001F7B">
        <w:rPr>
          <w:rFonts w:cstheme="minorHAnsi"/>
        </w:rPr>
        <w:t xml:space="preserve"> Evidence of the acceptance </w:t>
      </w:r>
      <w:r w:rsidR="00BA4071" w:rsidRPr="00001F7B">
        <w:rPr>
          <w:rFonts w:cstheme="minorHAnsi"/>
        </w:rPr>
        <w:t>of the</w:t>
      </w:r>
      <w:r w:rsidRPr="00001F7B">
        <w:rPr>
          <w:rFonts w:cstheme="minorHAnsi"/>
        </w:rPr>
        <w:t xml:space="preserve"> </w:t>
      </w:r>
      <w:r w:rsidR="00BA4071" w:rsidRPr="00001F7B">
        <w:rPr>
          <w:rFonts w:cstheme="minorHAnsi"/>
        </w:rPr>
        <w:t>R</w:t>
      </w:r>
      <w:r w:rsidRPr="00001F7B">
        <w:rPr>
          <w:rFonts w:cstheme="minorHAnsi"/>
        </w:rPr>
        <w:t xml:space="preserve">ules as CIL can be supplied by national court decisions, see draft conclusions 6 and 10 of the International Law Commission’s report on ‘Identification of Customary International Law’ Ch V of the Report of the seventieth session, A/73/10, </w:t>
      </w:r>
      <w:r w:rsidR="001D32AC" w:rsidRPr="00001F7B">
        <w:rPr>
          <w:rFonts w:cstheme="minorHAnsi"/>
        </w:rPr>
        <w:t xml:space="preserve">above </w:t>
      </w:r>
      <w:proofErr w:type="spellStart"/>
      <w:r w:rsidR="001D32AC" w:rsidRPr="00001F7B">
        <w:rPr>
          <w:rFonts w:cstheme="minorHAnsi"/>
        </w:rPr>
        <w:t>fn</w:t>
      </w:r>
      <w:proofErr w:type="spellEnd"/>
      <w:r w:rsidR="001D32AC" w:rsidRPr="00001F7B">
        <w:rPr>
          <w:rFonts w:cstheme="minorHAnsi"/>
        </w:rPr>
        <w:t xml:space="preserve"> 48, </w:t>
      </w:r>
      <w:r w:rsidRPr="00001F7B">
        <w:rPr>
          <w:rFonts w:cstheme="minorHAnsi"/>
        </w:rPr>
        <w:t>p</w:t>
      </w:r>
      <w:r w:rsidR="0029386A" w:rsidRPr="00001F7B">
        <w:rPr>
          <w:rFonts w:cstheme="minorHAnsi"/>
        </w:rPr>
        <w:t xml:space="preserve"> </w:t>
      </w:r>
      <w:r w:rsidRPr="00001F7B">
        <w:rPr>
          <w:rFonts w:cstheme="minorHAnsi"/>
        </w:rPr>
        <w:t>12</w:t>
      </w:r>
      <w:r w:rsidR="0029386A" w:rsidRPr="00001F7B">
        <w:rPr>
          <w:rFonts w:cstheme="minorHAnsi"/>
        </w:rPr>
        <w:t>0.</w:t>
      </w:r>
      <w:r w:rsidRPr="00001F7B">
        <w:rPr>
          <w:rFonts w:cstheme="minorHAnsi"/>
        </w:rPr>
        <w:t xml:space="preserve"> Note that at p 132 it is stated that: “The role of decisions of national courts as a form of State practice is to be distinguished from their potential role as a “subsidiary means” for the determination of rules of customary international law.” This refers to draft conclusion 13.2 </w:t>
      </w:r>
      <w:r w:rsidR="0029386A" w:rsidRPr="00001F7B">
        <w:rPr>
          <w:rFonts w:cstheme="minorHAnsi"/>
        </w:rPr>
        <w:t>which</w:t>
      </w:r>
      <w:r w:rsidRPr="00001F7B">
        <w:rPr>
          <w:rFonts w:cstheme="minorHAnsi"/>
        </w:rPr>
        <w:t xml:space="preserve"> states that “regard may be had, as appropriate, to decisions of national courts concerning the existence and content of rules of customary international law, as a subsidiary means for the determination of such rules.”</w:t>
      </w:r>
    </w:p>
  </w:footnote>
  <w:footnote w:id="69">
    <w:p w14:paraId="10C1CAE2" w14:textId="1F3B7E16" w:rsidR="00087941" w:rsidRPr="00001F7B" w:rsidRDefault="00087941">
      <w:pPr>
        <w:pStyle w:val="FootnoteText"/>
        <w:rPr>
          <w:rFonts w:cstheme="minorHAnsi"/>
        </w:rPr>
      </w:pPr>
      <w:r w:rsidRPr="00001F7B">
        <w:rPr>
          <w:rStyle w:val="FootnoteReference"/>
          <w:rFonts w:cstheme="minorHAnsi"/>
        </w:rPr>
        <w:footnoteRef/>
      </w:r>
      <w:r w:rsidR="00AA69CD" w:rsidRPr="00001F7B">
        <w:rPr>
          <w:rFonts w:eastAsiaTheme="minorEastAsia" w:cstheme="minorHAnsi"/>
          <w:color w:val="000000"/>
          <w:lang w:eastAsia="en-GB"/>
        </w:rPr>
        <w:t xml:space="preserve"> </w:t>
      </w:r>
      <w:r w:rsidR="00064CAA" w:rsidRPr="00001F7B">
        <w:rPr>
          <w:rFonts w:cstheme="minorHAnsi"/>
          <w:i/>
          <w:iCs/>
        </w:rPr>
        <w:t xml:space="preserve">Stag Line Ltd v </w:t>
      </w:r>
      <w:proofErr w:type="spellStart"/>
      <w:r w:rsidR="00064CAA" w:rsidRPr="00001F7B">
        <w:rPr>
          <w:rFonts w:cstheme="minorHAnsi"/>
          <w:i/>
          <w:iCs/>
        </w:rPr>
        <w:t>Foscolo</w:t>
      </w:r>
      <w:proofErr w:type="spellEnd"/>
      <w:r w:rsidR="00064CAA" w:rsidRPr="00001F7B">
        <w:rPr>
          <w:rFonts w:cstheme="minorHAnsi"/>
          <w:i/>
          <w:iCs/>
        </w:rPr>
        <w:t xml:space="preserve"> Mango </w:t>
      </w:r>
      <w:r w:rsidR="00064CAA" w:rsidRPr="00001F7B">
        <w:rPr>
          <w:rFonts w:cstheme="minorHAnsi"/>
        </w:rPr>
        <w:t xml:space="preserve">[1932] AC 328, at p 350.  See further Review of UK Law in the Annex Folder p </w:t>
      </w:r>
      <w:r w:rsidR="00AB421F" w:rsidRPr="00001F7B">
        <w:rPr>
          <w:rFonts w:cstheme="minorHAnsi"/>
        </w:rPr>
        <w:t>1.</w:t>
      </w:r>
    </w:p>
  </w:footnote>
  <w:footnote w:id="70">
    <w:p w14:paraId="6D1FB750" w14:textId="732A0FBF" w:rsidR="004C2680" w:rsidRPr="00001F7B" w:rsidRDefault="004C2680">
      <w:pPr>
        <w:pStyle w:val="FootnoteText"/>
        <w:rPr>
          <w:rFonts w:cstheme="minorHAnsi"/>
        </w:rPr>
      </w:pPr>
      <w:r w:rsidRPr="00001F7B">
        <w:rPr>
          <w:rStyle w:val="FootnoteReference"/>
          <w:rFonts w:cstheme="minorHAnsi"/>
        </w:rPr>
        <w:footnoteRef/>
      </w:r>
      <w:r w:rsidRPr="00001F7B">
        <w:rPr>
          <w:rFonts w:cstheme="minorHAnsi"/>
        </w:rPr>
        <w:t xml:space="preserve"> Gardiner, </w:t>
      </w:r>
      <w:r w:rsidR="00E20656" w:rsidRPr="00001F7B">
        <w:rPr>
          <w:rFonts w:cstheme="minorHAnsi"/>
        </w:rPr>
        <w:t xml:space="preserve">above </w:t>
      </w:r>
      <w:proofErr w:type="spellStart"/>
      <w:r w:rsidR="00E20656" w:rsidRPr="00001F7B">
        <w:rPr>
          <w:rFonts w:cstheme="minorHAnsi"/>
        </w:rPr>
        <w:t>fn</w:t>
      </w:r>
      <w:proofErr w:type="spellEnd"/>
      <w:r w:rsidR="00E20656" w:rsidRPr="00001F7B">
        <w:rPr>
          <w:rFonts w:cstheme="minorHAnsi"/>
        </w:rPr>
        <w:t xml:space="preserve"> </w:t>
      </w:r>
      <w:r w:rsidR="00BB2798" w:rsidRPr="00001F7B">
        <w:rPr>
          <w:rFonts w:cstheme="minorHAnsi"/>
        </w:rPr>
        <w:t>5</w:t>
      </w:r>
      <w:r w:rsidRPr="00001F7B">
        <w:rPr>
          <w:rFonts w:cstheme="minorHAnsi"/>
        </w:rPr>
        <w:t>, at pp</w:t>
      </w:r>
      <w:r w:rsidR="00E20656" w:rsidRPr="00001F7B">
        <w:rPr>
          <w:rFonts w:cstheme="minorHAnsi"/>
        </w:rPr>
        <w:t xml:space="preserve"> </w:t>
      </w:r>
      <w:r w:rsidRPr="00001F7B">
        <w:rPr>
          <w:rFonts w:cstheme="minorHAnsi"/>
        </w:rPr>
        <w:t>19-20 and in more detail in Ch</w:t>
      </w:r>
      <w:r w:rsidR="00E20656" w:rsidRPr="00001F7B">
        <w:rPr>
          <w:rFonts w:cstheme="minorHAnsi"/>
        </w:rPr>
        <w:t xml:space="preserve"> </w:t>
      </w:r>
      <w:r w:rsidRPr="00001F7B">
        <w:rPr>
          <w:rFonts w:cstheme="minorHAnsi"/>
        </w:rPr>
        <w:t>4 pp.141-157,</w:t>
      </w:r>
      <w:r w:rsidR="0072393B" w:rsidRPr="00001F7B">
        <w:rPr>
          <w:rFonts w:cstheme="minorHAnsi"/>
        </w:rPr>
        <w:t xml:space="preserve"> </w:t>
      </w:r>
      <w:proofErr w:type="spellStart"/>
      <w:r w:rsidR="0072393B" w:rsidRPr="00001F7B">
        <w:rPr>
          <w:rFonts w:cstheme="minorHAnsi"/>
        </w:rPr>
        <w:t>Aust</w:t>
      </w:r>
      <w:proofErr w:type="spellEnd"/>
      <w:r w:rsidR="0072393B" w:rsidRPr="00001F7B">
        <w:rPr>
          <w:rFonts w:cstheme="minorHAnsi"/>
        </w:rPr>
        <w:t xml:space="preserve"> and Nolte, above, </w:t>
      </w:r>
      <w:proofErr w:type="spellStart"/>
      <w:r w:rsidR="0072393B" w:rsidRPr="00001F7B">
        <w:rPr>
          <w:rFonts w:cstheme="minorHAnsi"/>
        </w:rPr>
        <w:t>fn</w:t>
      </w:r>
      <w:proofErr w:type="spellEnd"/>
      <w:r w:rsidR="0072393B" w:rsidRPr="00001F7B">
        <w:rPr>
          <w:rFonts w:cstheme="minorHAnsi"/>
        </w:rPr>
        <w:t xml:space="preserve"> </w:t>
      </w:r>
      <w:r w:rsidR="002527F6" w:rsidRPr="00001F7B">
        <w:rPr>
          <w:rFonts w:cstheme="minorHAnsi"/>
        </w:rPr>
        <w:t>3</w:t>
      </w:r>
      <w:r w:rsidR="0072393B" w:rsidRPr="00001F7B">
        <w:rPr>
          <w:rFonts w:cstheme="minorHAnsi"/>
        </w:rPr>
        <w:t>,</w:t>
      </w:r>
      <w:r w:rsidRPr="00001F7B">
        <w:rPr>
          <w:rFonts w:cstheme="minorHAnsi"/>
        </w:rPr>
        <w:t xml:space="preserve"> </w:t>
      </w:r>
      <w:proofErr w:type="spellStart"/>
      <w:r w:rsidR="00DF6D38" w:rsidRPr="00001F7B">
        <w:rPr>
          <w:rFonts w:cstheme="minorHAnsi"/>
        </w:rPr>
        <w:t>Basedow</w:t>
      </w:r>
      <w:proofErr w:type="spellEnd"/>
      <w:r w:rsidR="00DF6D38" w:rsidRPr="00001F7B">
        <w:rPr>
          <w:rFonts w:cstheme="minorHAnsi"/>
        </w:rPr>
        <w:t xml:space="preserve">, </w:t>
      </w:r>
      <w:r w:rsidR="00E20656" w:rsidRPr="00001F7B">
        <w:rPr>
          <w:rFonts w:cstheme="minorHAnsi"/>
        </w:rPr>
        <w:t xml:space="preserve">above, </w:t>
      </w:r>
      <w:proofErr w:type="spellStart"/>
      <w:r w:rsidR="00E20656" w:rsidRPr="00001F7B">
        <w:rPr>
          <w:rFonts w:cstheme="minorHAnsi"/>
        </w:rPr>
        <w:t>f</w:t>
      </w:r>
      <w:r w:rsidR="00DF6D38" w:rsidRPr="00001F7B">
        <w:rPr>
          <w:rFonts w:cstheme="minorHAnsi"/>
        </w:rPr>
        <w:t>n</w:t>
      </w:r>
      <w:proofErr w:type="spellEnd"/>
      <w:r w:rsidR="00E20656" w:rsidRPr="00001F7B">
        <w:rPr>
          <w:rFonts w:cstheme="minorHAnsi"/>
        </w:rPr>
        <w:t xml:space="preserve"> </w:t>
      </w:r>
      <w:r w:rsidR="002527F6" w:rsidRPr="00001F7B">
        <w:rPr>
          <w:rFonts w:cstheme="minorHAnsi"/>
        </w:rPr>
        <w:t>8</w:t>
      </w:r>
      <w:r w:rsidR="00E20656" w:rsidRPr="00001F7B">
        <w:rPr>
          <w:rFonts w:cstheme="minorHAnsi"/>
        </w:rPr>
        <w:t>,</w:t>
      </w:r>
      <w:r w:rsidR="00DF6D38" w:rsidRPr="00001F7B">
        <w:rPr>
          <w:rFonts w:cstheme="minorHAnsi"/>
        </w:rPr>
        <w:t xml:space="preserve"> pp</w:t>
      </w:r>
      <w:r w:rsidR="00E20656" w:rsidRPr="00001F7B">
        <w:rPr>
          <w:rFonts w:cstheme="minorHAnsi"/>
        </w:rPr>
        <w:t xml:space="preserve"> </w:t>
      </w:r>
      <w:r w:rsidR="00DF6D38" w:rsidRPr="00001F7B">
        <w:rPr>
          <w:rFonts w:cstheme="minorHAnsi"/>
        </w:rPr>
        <w:t>743-</w:t>
      </w:r>
      <w:r w:rsidR="00E20656" w:rsidRPr="00001F7B">
        <w:rPr>
          <w:rFonts w:cstheme="minorHAnsi"/>
        </w:rPr>
        <w:t>744</w:t>
      </w:r>
      <w:r w:rsidR="00DF6D38" w:rsidRPr="00001F7B">
        <w:rPr>
          <w:rFonts w:cstheme="minorHAnsi"/>
        </w:rPr>
        <w:t>, Waibel</w:t>
      </w:r>
      <w:r w:rsidR="00187AFC" w:rsidRPr="00001F7B">
        <w:rPr>
          <w:rFonts w:cstheme="minorHAnsi"/>
        </w:rPr>
        <w:t xml:space="preserve">, </w:t>
      </w:r>
      <w:r w:rsidR="00E20656" w:rsidRPr="00001F7B">
        <w:rPr>
          <w:rFonts w:cstheme="minorHAnsi"/>
        </w:rPr>
        <w:t xml:space="preserve">above, </w:t>
      </w:r>
      <w:proofErr w:type="spellStart"/>
      <w:r w:rsidR="00E20656" w:rsidRPr="00001F7B">
        <w:rPr>
          <w:rFonts w:cstheme="minorHAnsi"/>
        </w:rPr>
        <w:t>f</w:t>
      </w:r>
      <w:r w:rsidR="00187AFC" w:rsidRPr="00001F7B">
        <w:rPr>
          <w:rFonts w:cstheme="minorHAnsi"/>
        </w:rPr>
        <w:t>n</w:t>
      </w:r>
      <w:proofErr w:type="spellEnd"/>
      <w:r w:rsidR="00187AFC" w:rsidRPr="00001F7B">
        <w:rPr>
          <w:rFonts w:cstheme="minorHAnsi"/>
        </w:rPr>
        <w:t xml:space="preserve"> </w:t>
      </w:r>
      <w:r w:rsidR="002527F6" w:rsidRPr="00001F7B">
        <w:rPr>
          <w:rFonts w:cstheme="minorHAnsi"/>
        </w:rPr>
        <w:t>3</w:t>
      </w:r>
      <w:r w:rsidR="00E20656" w:rsidRPr="00001F7B">
        <w:rPr>
          <w:rFonts w:cstheme="minorHAnsi"/>
        </w:rPr>
        <w:t xml:space="preserve">, </w:t>
      </w:r>
      <w:r w:rsidR="00187AFC" w:rsidRPr="00001F7B">
        <w:rPr>
          <w:rFonts w:cstheme="minorHAnsi"/>
        </w:rPr>
        <w:t>pp</w:t>
      </w:r>
      <w:r w:rsidR="00E20656" w:rsidRPr="00001F7B">
        <w:rPr>
          <w:rFonts w:cstheme="minorHAnsi"/>
        </w:rPr>
        <w:t xml:space="preserve"> </w:t>
      </w:r>
      <w:r w:rsidR="00DD7580" w:rsidRPr="00001F7B">
        <w:rPr>
          <w:rFonts w:cstheme="minorHAnsi"/>
        </w:rPr>
        <w:t>22-25</w:t>
      </w:r>
      <w:r w:rsidR="00FE618D" w:rsidRPr="00001F7B">
        <w:rPr>
          <w:rFonts w:cstheme="minorHAnsi"/>
        </w:rPr>
        <w:t>,</w:t>
      </w:r>
      <w:r w:rsidR="0088280C" w:rsidRPr="00001F7B">
        <w:rPr>
          <w:rFonts w:cstheme="minorHAnsi"/>
        </w:rPr>
        <w:t xml:space="preserve"> </w:t>
      </w:r>
      <w:proofErr w:type="spellStart"/>
      <w:r w:rsidR="0088280C" w:rsidRPr="00001F7B">
        <w:rPr>
          <w:rFonts w:cstheme="minorHAnsi"/>
        </w:rPr>
        <w:t>Bjorge</w:t>
      </w:r>
      <w:proofErr w:type="spellEnd"/>
      <w:r w:rsidR="00194F19" w:rsidRPr="00001F7B">
        <w:rPr>
          <w:rFonts w:cstheme="minorHAnsi"/>
        </w:rPr>
        <w:t>,</w:t>
      </w:r>
      <w:r w:rsidR="0088280C" w:rsidRPr="00001F7B">
        <w:rPr>
          <w:rFonts w:cstheme="minorHAnsi"/>
        </w:rPr>
        <w:t xml:space="preserve"> </w:t>
      </w:r>
      <w:r w:rsidR="00194F19" w:rsidRPr="00001F7B">
        <w:rPr>
          <w:rFonts w:cstheme="minorHAnsi"/>
        </w:rPr>
        <w:t>‘</w:t>
      </w:r>
      <w:r w:rsidR="0088280C" w:rsidRPr="00001F7B">
        <w:rPr>
          <w:rFonts w:cstheme="minorHAnsi"/>
        </w:rPr>
        <w:t xml:space="preserve">The Vienna </w:t>
      </w:r>
      <w:r w:rsidR="00194F19" w:rsidRPr="00001F7B">
        <w:rPr>
          <w:rFonts w:cstheme="minorHAnsi"/>
        </w:rPr>
        <w:t xml:space="preserve">Rules on treaty </w:t>
      </w:r>
      <w:r w:rsidR="001578B5" w:rsidRPr="00001F7B">
        <w:rPr>
          <w:rFonts w:cstheme="minorHAnsi"/>
        </w:rPr>
        <w:t>interpretation in</w:t>
      </w:r>
      <w:r w:rsidR="00194F19" w:rsidRPr="00001F7B">
        <w:rPr>
          <w:rFonts w:cstheme="minorHAnsi"/>
        </w:rPr>
        <w:t xml:space="preserve"> domestic courts’ (2015) 131 LQR 78</w:t>
      </w:r>
      <w:r w:rsidR="00A92DAD" w:rsidRPr="00001F7B">
        <w:rPr>
          <w:rFonts w:cstheme="minorHAnsi"/>
        </w:rPr>
        <w:t xml:space="preserve">, </w:t>
      </w:r>
      <w:proofErr w:type="spellStart"/>
      <w:r w:rsidR="00A92DAD" w:rsidRPr="00001F7B">
        <w:rPr>
          <w:rFonts w:cstheme="minorHAnsi"/>
        </w:rPr>
        <w:t>Aust</w:t>
      </w:r>
      <w:proofErr w:type="spellEnd"/>
      <w:r w:rsidR="00A92DAD" w:rsidRPr="00001F7B">
        <w:rPr>
          <w:rFonts w:cstheme="minorHAnsi"/>
        </w:rPr>
        <w:t xml:space="preserve">, </w:t>
      </w:r>
      <w:proofErr w:type="spellStart"/>
      <w:r w:rsidR="00A92DAD" w:rsidRPr="00001F7B">
        <w:rPr>
          <w:rFonts w:cstheme="minorHAnsi"/>
        </w:rPr>
        <w:t>Rodiles</w:t>
      </w:r>
      <w:proofErr w:type="spellEnd"/>
      <w:r w:rsidR="00A92DAD" w:rsidRPr="00001F7B">
        <w:rPr>
          <w:rFonts w:cstheme="minorHAnsi"/>
        </w:rPr>
        <w:t xml:space="preserve"> and </w:t>
      </w:r>
      <w:proofErr w:type="spellStart"/>
      <w:r w:rsidR="00A92DAD" w:rsidRPr="00001F7B">
        <w:rPr>
          <w:rFonts w:cstheme="minorHAnsi"/>
        </w:rPr>
        <w:t>Staurbach</w:t>
      </w:r>
      <w:proofErr w:type="spellEnd"/>
      <w:r w:rsidR="00A92DAD" w:rsidRPr="00001F7B">
        <w:rPr>
          <w:rFonts w:cstheme="minorHAnsi"/>
        </w:rPr>
        <w:t xml:space="preserve">, above, </w:t>
      </w:r>
      <w:proofErr w:type="spellStart"/>
      <w:r w:rsidR="00A92DAD" w:rsidRPr="00001F7B">
        <w:rPr>
          <w:rFonts w:cstheme="minorHAnsi"/>
        </w:rPr>
        <w:t>fn</w:t>
      </w:r>
      <w:proofErr w:type="spellEnd"/>
      <w:r w:rsidR="00A92DAD" w:rsidRPr="00001F7B">
        <w:rPr>
          <w:rFonts w:cstheme="minorHAnsi"/>
        </w:rPr>
        <w:t xml:space="preserve"> </w:t>
      </w:r>
      <w:r w:rsidR="002527F6" w:rsidRPr="00001F7B">
        <w:rPr>
          <w:rFonts w:cstheme="minorHAnsi"/>
        </w:rPr>
        <w:t>60</w:t>
      </w:r>
      <w:r w:rsidR="001578B5" w:rsidRPr="00001F7B">
        <w:rPr>
          <w:rFonts w:cstheme="minorHAnsi"/>
        </w:rPr>
        <w:t>.</w:t>
      </w:r>
    </w:p>
  </w:footnote>
  <w:footnote w:id="71">
    <w:p w14:paraId="61E8C178" w14:textId="4F0C5296" w:rsidR="000A2284" w:rsidRPr="00001F7B" w:rsidRDefault="000A2284" w:rsidP="000A2284">
      <w:pPr>
        <w:pStyle w:val="FootnoteText"/>
        <w:rPr>
          <w:rFonts w:cstheme="minorHAnsi"/>
        </w:rPr>
      </w:pPr>
      <w:r w:rsidRPr="00001F7B">
        <w:rPr>
          <w:rStyle w:val="FootnoteReference"/>
          <w:rFonts w:cstheme="minorHAnsi"/>
        </w:rPr>
        <w:footnoteRef/>
      </w:r>
      <w:r w:rsidRPr="00001F7B">
        <w:rPr>
          <w:rFonts w:cstheme="minorHAnsi"/>
        </w:rPr>
        <w:t xml:space="preserve"> As noted by </w:t>
      </w:r>
      <w:proofErr w:type="spellStart"/>
      <w:r w:rsidRPr="00001F7B">
        <w:rPr>
          <w:rFonts w:cstheme="minorHAnsi"/>
        </w:rPr>
        <w:t>Aust</w:t>
      </w:r>
      <w:proofErr w:type="spellEnd"/>
      <w:r w:rsidRPr="00001F7B">
        <w:rPr>
          <w:rFonts w:cstheme="minorHAnsi"/>
        </w:rPr>
        <w:t xml:space="preserve">, </w:t>
      </w:r>
      <w:proofErr w:type="spellStart"/>
      <w:r w:rsidRPr="00001F7B">
        <w:rPr>
          <w:rFonts w:cstheme="minorHAnsi"/>
        </w:rPr>
        <w:t>Rodiles</w:t>
      </w:r>
      <w:proofErr w:type="spellEnd"/>
      <w:r w:rsidRPr="00001F7B">
        <w:rPr>
          <w:rFonts w:cstheme="minorHAnsi"/>
        </w:rPr>
        <w:t xml:space="preserve">, and Staubach, </w:t>
      </w:r>
      <w:r w:rsidR="00A04DA9" w:rsidRPr="00001F7B">
        <w:rPr>
          <w:rFonts w:cstheme="minorHAnsi"/>
        </w:rPr>
        <w:t>above</w:t>
      </w:r>
      <w:r w:rsidR="00A92DAD" w:rsidRPr="00001F7B">
        <w:rPr>
          <w:rFonts w:cstheme="minorHAnsi"/>
        </w:rPr>
        <w:t>,</w:t>
      </w:r>
      <w:r w:rsidR="00A04DA9" w:rsidRPr="00001F7B">
        <w:rPr>
          <w:rFonts w:cstheme="minorHAnsi"/>
        </w:rPr>
        <w:t xml:space="preserve"> </w:t>
      </w:r>
      <w:proofErr w:type="spellStart"/>
      <w:r w:rsidR="00A04DA9" w:rsidRPr="00001F7B">
        <w:rPr>
          <w:rFonts w:cstheme="minorHAnsi"/>
        </w:rPr>
        <w:t>f</w:t>
      </w:r>
      <w:r w:rsidRPr="00001F7B">
        <w:rPr>
          <w:rFonts w:cstheme="minorHAnsi"/>
        </w:rPr>
        <w:t>n</w:t>
      </w:r>
      <w:proofErr w:type="spellEnd"/>
      <w:r w:rsidR="00A04DA9" w:rsidRPr="00001F7B">
        <w:rPr>
          <w:rFonts w:cstheme="minorHAnsi"/>
        </w:rPr>
        <w:t xml:space="preserve"> </w:t>
      </w:r>
      <w:r w:rsidR="002527F6" w:rsidRPr="00001F7B">
        <w:rPr>
          <w:rFonts w:cstheme="minorHAnsi"/>
        </w:rPr>
        <w:t>60</w:t>
      </w:r>
      <w:r w:rsidR="00A04DA9" w:rsidRPr="00001F7B">
        <w:rPr>
          <w:rFonts w:cstheme="minorHAnsi"/>
        </w:rPr>
        <w:t>,</w:t>
      </w:r>
      <w:r w:rsidRPr="00001F7B">
        <w:rPr>
          <w:rFonts w:cstheme="minorHAnsi"/>
        </w:rPr>
        <w:t xml:space="preserve"> p 81.</w:t>
      </w:r>
    </w:p>
  </w:footnote>
  <w:footnote w:id="72">
    <w:p w14:paraId="3952F1AF" w14:textId="0F18B7F9" w:rsidR="000A2284" w:rsidRPr="00001F7B" w:rsidRDefault="000A2284" w:rsidP="0001738C">
      <w:pPr>
        <w:pStyle w:val="FootnoteText"/>
        <w:rPr>
          <w:rFonts w:cstheme="minorHAnsi"/>
        </w:rPr>
      </w:pPr>
      <w:r w:rsidRPr="00001F7B">
        <w:rPr>
          <w:rStyle w:val="FootnoteReference"/>
          <w:rFonts w:cstheme="minorHAnsi"/>
        </w:rPr>
        <w:footnoteRef/>
      </w:r>
      <w:r w:rsidRPr="00001F7B">
        <w:rPr>
          <w:rFonts w:cstheme="minorHAnsi"/>
        </w:rPr>
        <w:t xml:space="preserve"> Waibel, </w:t>
      </w:r>
      <w:r w:rsidR="00A04DA9" w:rsidRPr="00001F7B">
        <w:rPr>
          <w:rFonts w:cstheme="minorHAnsi"/>
        </w:rPr>
        <w:t xml:space="preserve">above, </w:t>
      </w:r>
      <w:proofErr w:type="spellStart"/>
      <w:r w:rsidR="00A04DA9" w:rsidRPr="00001F7B">
        <w:rPr>
          <w:rFonts w:cstheme="minorHAnsi"/>
        </w:rPr>
        <w:t>f</w:t>
      </w:r>
      <w:r w:rsidRPr="00001F7B">
        <w:rPr>
          <w:rFonts w:cstheme="minorHAnsi"/>
        </w:rPr>
        <w:t>n</w:t>
      </w:r>
      <w:proofErr w:type="spellEnd"/>
      <w:r w:rsidR="00A04DA9" w:rsidRPr="00001F7B">
        <w:rPr>
          <w:rFonts w:cstheme="minorHAnsi"/>
        </w:rPr>
        <w:t xml:space="preserve"> </w:t>
      </w:r>
      <w:r w:rsidR="002527F6" w:rsidRPr="00001F7B">
        <w:rPr>
          <w:rFonts w:cstheme="minorHAnsi"/>
        </w:rPr>
        <w:t>3</w:t>
      </w:r>
      <w:r w:rsidR="00A04DA9" w:rsidRPr="00001F7B">
        <w:rPr>
          <w:rFonts w:cstheme="minorHAnsi"/>
        </w:rPr>
        <w:t>,</w:t>
      </w:r>
      <w:r w:rsidRPr="00001F7B">
        <w:rPr>
          <w:rFonts w:cstheme="minorHAnsi"/>
        </w:rPr>
        <w:t xml:space="preserve"> p</w:t>
      </w:r>
      <w:r w:rsidR="00FE618D" w:rsidRPr="00001F7B">
        <w:rPr>
          <w:rFonts w:cstheme="minorHAnsi"/>
        </w:rPr>
        <w:t xml:space="preserve"> 26</w:t>
      </w:r>
      <w:r w:rsidRPr="00001F7B">
        <w:rPr>
          <w:rFonts w:cstheme="minorHAnsi"/>
        </w:rPr>
        <w:t>.</w:t>
      </w:r>
      <w:r w:rsidR="0001738C" w:rsidRPr="00001F7B">
        <w:rPr>
          <w:rFonts w:cstheme="minorHAnsi"/>
        </w:rPr>
        <w:t xml:space="preserve"> See also </w:t>
      </w:r>
      <w:proofErr w:type="spellStart"/>
      <w:r w:rsidR="0001738C" w:rsidRPr="00001F7B">
        <w:rPr>
          <w:rFonts w:cstheme="minorHAnsi"/>
        </w:rPr>
        <w:t>Aust</w:t>
      </w:r>
      <w:proofErr w:type="spellEnd"/>
      <w:r w:rsidR="00D36FD9" w:rsidRPr="00001F7B">
        <w:rPr>
          <w:rFonts w:cstheme="minorHAnsi"/>
        </w:rPr>
        <w:t xml:space="preserve">, ‘Between Universal Aspiration and Local Application: Concluding Observations’ </w:t>
      </w:r>
      <w:proofErr w:type="spellStart"/>
      <w:r w:rsidR="00D36FD9" w:rsidRPr="00001F7B">
        <w:rPr>
          <w:rFonts w:cstheme="minorHAnsi"/>
        </w:rPr>
        <w:t>ch</w:t>
      </w:r>
      <w:proofErr w:type="spellEnd"/>
      <w:r w:rsidR="00D36FD9" w:rsidRPr="00001F7B">
        <w:rPr>
          <w:rFonts w:cstheme="minorHAnsi"/>
        </w:rPr>
        <w:t xml:space="preserve"> 17, in </w:t>
      </w:r>
      <w:proofErr w:type="spellStart"/>
      <w:r w:rsidR="00D36FD9" w:rsidRPr="00001F7B">
        <w:rPr>
          <w:rFonts w:cstheme="minorHAnsi"/>
        </w:rPr>
        <w:t>Aust</w:t>
      </w:r>
      <w:proofErr w:type="spellEnd"/>
      <w:r w:rsidR="00D36FD9" w:rsidRPr="00001F7B">
        <w:rPr>
          <w:rFonts w:cstheme="minorHAnsi"/>
        </w:rPr>
        <w:t xml:space="preserve"> and Nolte, above, </w:t>
      </w:r>
      <w:proofErr w:type="spellStart"/>
      <w:r w:rsidR="00D36FD9" w:rsidRPr="00001F7B">
        <w:rPr>
          <w:rFonts w:cstheme="minorHAnsi"/>
        </w:rPr>
        <w:t>fn</w:t>
      </w:r>
      <w:proofErr w:type="spellEnd"/>
      <w:r w:rsidR="00D36FD9" w:rsidRPr="00001F7B">
        <w:rPr>
          <w:rFonts w:cstheme="minorHAnsi"/>
        </w:rPr>
        <w:t xml:space="preserve"> </w:t>
      </w:r>
      <w:r w:rsidR="002527F6" w:rsidRPr="00001F7B">
        <w:rPr>
          <w:rFonts w:cstheme="minorHAnsi"/>
        </w:rPr>
        <w:t>3</w:t>
      </w:r>
      <w:r w:rsidR="00D36FD9" w:rsidRPr="00001F7B">
        <w:rPr>
          <w:rFonts w:cstheme="minorHAnsi"/>
        </w:rPr>
        <w:t xml:space="preserve">, </w:t>
      </w:r>
      <w:r w:rsidR="00DB04E1" w:rsidRPr="00001F7B">
        <w:rPr>
          <w:rFonts w:cstheme="minorHAnsi"/>
        </w:rPr>
        <w:t xml:space="preserve">p 340 </w:t>
      </w:r>
      <w:r w:rsidR="0001738C" w:rsidRPr="00001F7B">
        <w:rPr>
          <w:rFonts w:cstheme="minorHAnsi"/>
        </w:rPr>
        <w:t>(in respect of domestic courts)</w:t>
      </w:r>
      <w:r w:rsidR="00DB04E1" w:rsidRPr="00001F7B">
        <w:rPr>
          <w:rFonts w:cstheme="minorHAnsi"/>
        </w:rPr>
        <w:t>:</w:t>
      </w:r>
      <w:r w:rsidR="0001738C" w:rsidRPr="00001F7B">
        <w:rPr>
          <w:rFonts w:cstheme="minorHAnsi"/>
        </w:rPr>
        <w:t xml:space="preserve"> “</w:t>
      </w:r>
      <w:r w:rsidR="00DB04E1" w:rsidRPr="00001F7B">
        <w:rPr>
          <w:rFonts w:cstheme="minorHAnsi"/>
        </w:rPr>
        <w:t>…</w:t>
      </w:r>
      <w:r w:rsidR="0001738C" w:rsidRPr="00001F7B">
        <w:rPr>
          <w:rFonts w:cstheme="minorHAnsi"/>
        </w:rPr>
        <w:t>the methodological problem—for the scholar—</w:t>
      </w:r>
      <w:r w:rsidR="00DB04E1" w:rsidRPr="00001F7B">
        <w:rPr>
          <w:rFonts w:cstheme="minorHAnsi"/>
        </w:rPr>
        <w:t xml:space="preserve">(is) </w:t>
      </w:r>
      <w:r w:rsidR="0001738C" w:rsidRPr="00001F7B">
        <w:rPr>
          <w:rFonts w:cstheme="minorHAnsi"/>
        </w:rPr>
        <w:t>of</w:t>
      </w:r>
      <w:r w:rsidR="00A04DA9" w:rsidRPr="00001F7B">
        <w:rPr>
          <w:rFonts w:cstheme="minorHAnsi"/>
        </w:rPr>
        <w:t xml:space="preserve"> </w:t>
      </w:r>
      <w:r w:rsidR="0001738C" w:rsidRPr="00001F7B">
        <w:rPr>
          <w:rFonts w:cstheme="minorHAnsi"/>
        </w:rPr>
        <w:t>assessing when the Vienna Rules have been faithfully applied in the first place. There is certainly no obligation for judges and courts to provide running commentaries on their reasoning. Again: if the result is correct, it does not matter whether interpretation according to the Vienna rules took place, or according to some other method. It can also be the case that a judge was very well aware of the Vienna rules, made use of them in her interpretative practice</w:t>
      </w:r>
      <w:r w:rsidR="00DB04E1" w:rsidRPr="00001F7B">
        <w:rPr>
          <w:rFonts w:cstheme="minorHAnsi"/>
        </w:rPr>
        <w:t xml:space="preserve"> </w:t>
      </w:r>
      <w:r w:rsidR="0001738C" w:rsidRPr="00001F7B">
        <w:rPr>
          <w:rFonts w:cstheme="minorHAnsi"/>
        </w:rPr>
        <w:t>but did not cite them—which is conceivable for various reasons stemming from judicial</w:t>
      </w:r>
      <w:r w:rsidR="00DB04E1" w:rsidRPr="00001F7B">
        <w:rPr>
          <w:rFonts w:cstheme="minorHAnsi"/>
        </w:rPr>
        <w:t xml:space="preserve"> </w:t>
      </w:r>
      <w:r w:rsidR="0001738C" w:rsidRPr="00001F7B">
        <w:rPr>
          <w:rFonts w:cstheme="minorHAnsi"/>
        </w:rPr>
        <w:t>economy to political expediency not to refer too much to ‘foreign’ sources. It is just as well</w:t>
      </w:r>
      <w:r w:rsidR="00DB04E1" w:rsidRPr="00001F7B">
        <w:rPr>
          <w:rFonts w:cstheme="minorHAnsi"/>
        </w:rPr>
        <w:t xml:space="preserve"> </w:t>
      </w:r>
      <w:r w:rsidR="0001738C" w:rsidRPr="00001F7B">
        <w:rPr>
          <w:rFonts w:cstheme="minorHAnsi"/>
        </w:rPr>
        <w:t>conceivable that a court decision cites the Vienna rules but gets their content wrong. In other</w:t>
      </w:r>
      <w:r w:rsidR="00DB04E1" w:rsidRPr="00001F7B">
        <w:rPr>
          <w:rFonts w:cstheme="minorHAnsi"/>
        </w:rPr>
        <w:t xml:space="preserve"> </w:t>
      </w:r>
      <w:r w:rsidR="0001738C" w:rsidRPr="00001F7B">
        <w:rPr>
          <w:rFonts w:cstheme="minorHAnsi"/>
        </w:rPr>
        <w:t>words: there is no easy mechanism for assessing whether the Vienna rules have actually been</w:t>
      </w:r>
      <w:r w:rsidR="00DB04E1" w:rsidRPr="00001F7B">
        <w:rPr>
          <w:rFonts w:cstheme="minorHAnsi"/>
        </w:rPr>
        <w:t xml:space="preserve"> </w:t>
      </w:r>
      <w:r w:rsidR="0001738C" w:rsidRPr="00001F7B">
        <w:rPr>
          <w:rFonts w:cstheme="minorHAnsi"/>
        </w:rPr>
        <w:t>complied with or not.</w:t>
      </w:r>
      <w:r w:rsidR="00DB04E1" w:rsidRPr="00001F7B">
        <w:rPr>
          <w:rFonts w:cstheme="minorHAnsi"/>
        </w:rPr>
        <w:t>”</w:t>
      </w:r>
    </w:p>
  </w:footnote>
  <w:footnote w:id="73">
    <w:p w14:paraId="132681DC" w14:textId="1152AF89" w:rsidR="00B72733" w:rsidRPr="00001F7B" w:rsidRDefault="00B72733">
      <w:pPr>
        <w:pStyle w:val="FootnoteText"/>
        <w:rPr>
          <w:rFonts w:cstheme="minorHAnsi"/>
        </w:rPr>
      </w:pPr>
      <w:r w:rsidRPr="00001F7B">
        <w:rPr>
          <w:rStyle w:val="FootnoteReference"/>
          <w:rFonts w:cstheme="minorHAnsi"/>
        </w:rPr>
        <w:footnoteRef/>
      </w:r>
      <w:r w:rsidRPr="00001F7B">
        <w:rPr>
          <w:rFonts w:cstheme="minorHAnsi"/>
        </w:rPr>
        <w:t xml:space="preserve"> </w:t>
      </w:r>
      <w:r w:rsidR="00F93289" w:rsidRPr="00001F7B">
        <w:rPr>
          <w:rFonts w:cstheme="minorHAnsi"/>
        </w:rPr>
        <w:t xml:space="preserve">Gardiner, above, </w:t>
      </w:r>
      <w:proofErr w:type="spellStart"/>
      <w:r w:rsidR="00F93289" w:rsidRPr="00001F7B">
        <w:rPr>
          <w:rFonts w:cstheme="minorHAnsi"/>
        </w:rPr>
        <w:t>fn</w:t>
      </w:r>
      <w:proofErr w:type="spellEnd"/>
      <w:r w:rsidR="00F93289" w:rsidRPr="00001F7B">
        <w:rPr>
          <w:rFonts w:cstheme="minorHAnsi"/>
        </w:rPr>
        <w:t xml:space="preserve"> </w:t>
      </w:r>
      <w:r w:rsidR="00BB2798" w:rsidRPr="00001F7B">
        <w:rPr>
          <w:rFonts w:cstheme="minorHAnsi"/>
        </w:rPr>
        <w:t>5</w:t>
      </w:r>
      <w:r w:rsidR="00F93289" w:rsidRPr="00001F7B">
        <w:rPr>
          <w:rFonts w:cstheme="minorHAnsi"/>
        </w:rPr>
        <w:t>, p 19.</w:t>
      </w:r>
    </w:p>
  </w:footnote>
  <w:footnote w:id="74">
    <w:p w14:paraId="721FC678" w14:textId="2ACFF6D2" w:rsidR="00F93289" w:rsidRPr="00001F7B" w:rsidRDefault="00F93289">
      <w:pPr>
        <w:pStyle w:val="FootnoteText"/>
        <w:rPr>
          <w:rFonts w:cstheme="minorHAnsi"/>
        </w:rPr>
      </w:pPr>
      <w:r w:rsidRPr="00001F7B">
        <w:rPr>
          <w:rStyle w:val="FootnoteReference"/>
          <w:rFonts w:cstheme="minorHAnsi"/>
        </w:rPr>
        <w:footnoteRef/>
      </w:r>
      <w:r w:rsidRPr="00001F7B">
        <w:rPr>
          <w:rFonts w:cstheme="minorHAnsi"/>
        </w:rPr>
        <w:t xml:space="preserve"> The technical position in the UK will also be considered below to provide an example, see </w:t>
      </w:r>
      <w:r w:rsidR="002B1101" w:rsidRPr="00001F7B">
        <w:rPr>
          <w:rFonts w:cstheme="minorHAnsi"/>
        </w:rPr>
        <w:t xml:space="preserve">below </w:t>
      </w:r>
      <w:r w:rsidR="002B1101" w:rsidRPr="00001F7B">
        <w:rPr>
          <w:rFonts w:cstheme="minorHAnsi"/>
          <w:b/>
          <w:bCs/>
        </w:rPr>
        <w:t>2.4.2</w:t>
      </w:r>
      <w:r w:rsidRPr="00001F7B">
        <w:rPr>
          <w:rFonts w:cstheme="minorHAnsi"/>
        </w:rPr>
        <w:t>.</w:t>
      </w:r>
    </w:p>
  </w:footnote>
  <w:footnote w:id="75">
    <w:p w14:paraId="32A90ADB" w14:textId="2F97BF9A" w:rsidR="001D5165" w:rsidRPr="00001F7B" w:rsidRDefault="001D5165">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 xml:space="preserve">Op </w:t>
      </w:r>
      <w:proofErr w:type="spellStart"/>
      <w:r w:rsidRPr="00001F7B">
        <w:rPr>
          <w:rFonts w:cstheme="minorHAnsi"/>
          <w:i/>
          <w:iCs/>
        </w:rPr>
        <w:t>cit</w:t>
      </w:r>
      <w:proofErr w:type="spellEnd"/>
      <w:r w:rsidRPr="00001F7B">
        <w:rPr>
          <w:rFonts w:cstheme="minorHAnsi"/>
        </w:rPr>
        <w:t>, at p 145.</w:t>
      </w:r>
    </w:p>
  </w:footnote>
  <w:footnote w:id="76">
    <w:p w14:paraId="62569583" w14:textId="64875856" w:rsidR="001D5165" w:rsidRPr="00001F7B" w:rsidRDefault="001D5165">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w:t>
      </w:r>
      <w:proofErr w:type="spellEnd"/>
      <w:r w:rsidRPr="00001F7B">
        <w:rPr>
          <w:rFonts w:cstheme="minorHAnsi"/>
          <w:i/>
          <w:iCs/>
        </w:rPr>
        <w:t xml:space="preserve"> cit</w:t>
      </w:r>
      <w:r w:rsidRPr="00001F7B">
        <w:rPr>
          <w:rFonts w:cstheme="minorHAnsi"/>
        </w:rPr>
        <w:t>.</w:t>
      </w:r>
    </w:p>
  </w:footnote>
  <w:footnote w:id="77">
    <w:p w14:paraId="369EADE0" w14:textId="676AC424" w:rsidR="00771485" w:rsidRPr="00001F7B" w:rsidRDefault="00771485" w:rsidP="00801FDE">
      <w:pPr>
        <w:widowControl w:val="0"/>
        <w:autoSpaceDE w:val="0"/>
        <w:autoSpaceDN w:val="0"/>
        <w:adjustRightInd w:val="0"/>
        <w:spacing w:after="0" w:line="240" w:lineRule="auto"/>
        <w:rPr>
          <w:rFonts w:cstheme="minorHAnsi"/>
          <w:sz w:val="20"/>
          <w:szCs w:val="20"/>
        </w:rPr>
      </w:pPr>
      <w:r w:rsidRPr="00001F7B">
        <w:rPr>
          <w:rStyle w:val="FootnoteReference"/>
          <w:rFonts w:cstheme="minorHAnsi"/>
          <w:sz w:val="20"/>
          <w:szCs w:val="20"/>
        </w:rPr>
        <w:footnoteRef/>
      </w:r>
      <w:r w:rsidR="00AA69CD" w:rsidRPr="00001F7B">
        <w:rPr>
          <w:rFonts w:eastAsiaTheme="minorEastAsia" w:cstheme="minorHAnsi"/>
          <w:color w:val="000000"/>
          <w:sz w:val="20"/>
          <w:szCs w:val="20"/>
          <w:lang w:eastAsia="en-GB"/>
        </w:rPr>
        <w:t xml:space="preserve"> </w:t>
      </w:r>
      <w:r w:rsidR="00AA69CD" w:rsidRPr="00001F7B">
        <w:rPr>
          <w:rFonts w:cstheme="minorHAnsi"/>
          <w:sz w:val="20"/>
          <w:szCs w:val="20"/>
        </w:rPr>
        <w:t xml:space="preserve"> </w:t>
      </w:r>
      <w:r w:rsidR="00AA69CD" w:rsidRPr="00001F7B">
        <w:rPr>
          <w:rFonts w:eastAsiaTheme="minorEastAsia" w:cstheme="minorHAnsi"/>
          <w:color w:val="000000"/>
          <w:sz w:val="20"/>
          <w:szCs w:val="20"/>
          <w:lang w:eastAsia="en-GB"/>
        </w:rPr>
        <w:t xml:space="preserve">[1981] AC 251, at p </w:t>
      </w:r>
      <w:r w:rsidR="00AE5F45" w:rsidRPr="00001F7B">
        <w:rPr>
          <w:rFonts w:eastAsiaTheme="minorEastAsia" w:cstheme="minorHAnsi"/>
          <w:color w:val="000000"/>
          <w:sz w:val="20"/>
          <w:szCs w:val="20"/>
          <w:lang w:eastAsia="en-GB"/>
        </w:rPr>
        <w:t>292.</w:t>
      </w:r>
    </w:p>
  </w:footnote>
  <w:footnote w:id="78">
    <w:p w14:paraId="50D58EF5" w14:textId="3ACBBAC3" w:rsidR="00472642" w:rsidRPr="00001F7B" w:rsidRDefault="00472642">
      <w:pPr>
        <w:pStyle w:val="FootnoteText"/>
        <w:rPr>
          <w:rFonts w:cstheme="minorHAnsi"/>
        </w:rPr>
      </w:pPr>
      <w:r w:rsidRPr="00001F7B">
        <w:rPr>
          <w:rStyle w:val="FootnoteReference"/>
          <w:rFonts w:cstheme="minorHAnsi"/>
        </w:rPr>
        <w:footnoteRef/>
      </w:r>
      <w:r w:rsidRPr="00001F7B">
        <w:rPr>
          <w:rFonts w:cstheme="minorHAnsi"/>
        </w:rPr>
        <w:t xml:space="preserve"> P</w:t>
      </w:r>
      <w:r w:rsidR="00275F11" w:rsidRPr="00001F7B">
        <w:rPr>
          <w:rFonts w:cstheme="minorHAnsi"/>
        </w:rPr>
        <w:t xml:space="preserve"> </w:t>
      </w:r>
      <w:r w:rsidRPr="00001F7B">
        <w:rPr>
          <w:rFonts w:cstheme="minorHAnsi"/>
        </w:rPr>
        <w:t>145</w:t>
      </w:r>
      <w:r w:rsidR="007308AB" w:rsidRPr="00001F7B">
        <w:rPr>
          <w:rFonts w:cstheme="minorHAnsi"/>
        </w:rPr>
        <w:t>, although</w:t>
      </w:r>
      <w:r w:rsidR="00801FDE" w:rsidRPr="00001F7B">
        <w:rPr>
          <w:rFonts w:cstheme="minorHAnsi"/>
        </w:rPr>
        <w:t xml:space="preserve"> Gardiner does make the point that </w:t>
      </w:r>
      <w:r w:rsidR="007308AB" w:rsidRPr="00001F7B">
        <w:rPr>
          <w:rFonts w:cstheme="minorHAnsi"/>
        </w:rPr>
        <w:t>it would have been difficult to pinpoint the moment at which the rules had crystallised, their status remaining a matter of uncertainty even after VCLT entered into force</w:t>
      </w:r>
      <w:r w:rsidR="00801FDE" w:rsidRPr="00001F7B">
        <w:rPr>
          <w:rFonts w:cstheme="minorHAnsi"/>
        </w:rPr>
        <w:t xml:space="preserve"> (</w:t>
      </w:r>
      <w:proofErr w:type="spellStart"/>
      <w:r w:rsidR="00801FDE" w:rsidRPr="00001F7B">
        <w:rPr>
          <w:rFonts w:cstheme="minorHAnsi"/>
        </w:rPr>
        <w:t>cf</w:t>
      </w:r>
      <w:proofErr w:type="spellEnd"/>
      <w:r w:rsidR="00801FDE" w:rsidRPr="00001F7B">
        <w:rPr>
          <w:rFonts w:cstheme="minorHAnsi"/>
        </w:rPr>
        <w:t xml:space="preserve">, </w:t>
      </w:r>
      <w:r w:rsidR="002E2CD3" w:rsidRPr="00001F7B">
        <w:rPr>
          <w:rFonts w:cstheme="minorHAnsi"/>
        </w:rPr>
        <w:t xml:space="preserve">above, </w:t>
      </w:r>
      <w:r w:rsidR="002E2CD3" w:rsidRPr="00001F7B">
        <w:rPr>
          <w:rFonts w:cstheme="minorHAnsi"/>
          <w:b/>
          <w:bCs/>
        </w:rPr>
        <w:t>2.4</w:t>
      </w:r>
      <w:r w:rsidR="00801FDE" w:rsidRPr="00001F7B">
        <w:rPr>
          <w:rFonts w:cstheme="minorHAnsi"/>
        </w:rPr>
        <w:t>)</w:t>
      </w:r>
      <w:r w:rsidRPr="00001F7B">
        <w:rPr>
          <w:rFonts w:cstheme="minorHAnsi"/>
        </w:rPr>
        <w:t xml:space="preserve">.  </w:t>
      </w:r>
    </w:p>
  </w:footnote>
  <w:footnote w:id="79">
    <w:p w14:paraId="7164FE5B" w14:textId="17B6812B" w:rsidR="000B2449" w:rsidRPr="00001F7B" w:rsidRDefault="000B2449">
      <w:pPr>
        <w:pStyle w:val="FootnoteText"/>
        <w:rPr>
          <w:rFonts w:cstheme="minorHAnsi"/>
        </w:rPr>
      </w:pPr>
      <w:r w:rsidRPr="00001F7B">
        <w:rPr>
          <w:rStyle w:val="FootnoteReference"/>
          <w:rFonts w:cstheme="minorHAnsi"/>
        </w:rPr>
        <w:footnoteRef/>
      </w:r>
      <w:r w:rsidRPr="00001F7B">
        <w:rPr>
          <w:rFonts w:cstheme="minorHAnsi"/>
        </w:rPr>
        <w:t xml:space="preserve"> P</w:t>
      </w:r>
      <w:r w:rsidR="00801FDE" w:rsidRPr="00001F7B">
        <w:rPr>
          <w:rFonts w:cstheme="minorHAnsi"/>
        </w:rPr>
        <w:t xml:space="preserve"> </w:t>
      </w:r>
      <w:r w:rsidRPr="00001F7B">
        <w:rPr>
          <w:rFonts w:cstheme="minorHAnsi"/>
        </w:rPr>
        <w:t>146.</w:t>
      </w:r>
    </w:p>
  </w:footnote>
  <w:footnote w:id="80">
    <w:p w14:paraId="4450F11F" w14:textId="09962FB9" w:rsidR="00C300B7" w:rsidRPr="00001F7B" w:rsidRDefault="00C300B7">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Loc.cit</w:t>
      </w:r>
      <w:proofErr w:type="spellEnd"/>
      <w:r w:rsidRPr="00001F7B">
        <w:rPr>
          <w:rFonts w:cstheme="minorHAnsi"/>
        </w:rPr>
        <w:t>.</w:t>
      </w:r>
    </w:p>
  </w:footnote>
  <w:footnote w:id="81">
    <w:p w14:paraId="7A3EF57C" w14:textId="3BB8E402" w:rsidR="00E65914" w:rsidRPr="00001F7B" w:rsidRDefault="00E65914">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Loc.cit</w:t>
      </w:r>
      <w:proofErr w:type="spellEnd"/>
      <w:r w:rsidRPr="00001F7B">
        <w:rPr>
          <w:rFonts w:cstheme="minorHAnsi"/>
        </w:rPr>
        <w:t xml:space="preserve">, </w:t>
      </w:r>
      <w:r w:rsidR="00801FDE" w:rsidRPr="00001F7B">
        <w:rPr>
          <w:rFonts w:cstheme="minorHAnsi"/>
        </w:rPr>
        <w:t xml:space="preserve">regarding </w:t>
      </w:r>
      <w:r w:rsidR="008465DA" w:rsidRPr="00001F7B">
        <w:rPr>
          <w:rFonts w:cstheme="minorHAnsi"/>
        </w:rPr>
        <w:t>the 1951 Geneva Convention on the status of refugees</w:t>
      </w:r>
      <w:r w:rsidR="00250322" w:rsidRPr="00001F7B">
        <w:rPr>
          <w:rFonts w:cstheme="minorHAnsi"/>
        </w:rPr>
        <w:t xml:space="preserve"> </w:t>
      </w:r>
      <w:r w:rsidR="008465DA" w:rsidRPr="00001F7B">
        <w:rPr>
          <w:rFonts w:cstheme="minorHAnsi"/>
        </w:rPr>
        <w:t>(and Protocol of 1967) i</w:t>
      </w:r>
      <w:r w:rsidR="00250322" w:rsidRPr="00001F7B">
        <w:rPr>
          <w:rFonts w:cstheme="minorHAnsi"/>
        </w:rPr>
        <w:t xml:space="preserve">n </w:t>
      </w:r>
      <w:proofErr w:type="spellStart"/>
      <w:r w:rsidR="00250322" w:rsidRPr="00001F7B">
        <w:rPr>
          <w:rFonts w:cstheme="minorHAnsi"/>
          <w:i/>
          <w:iCs/>
        </w:rPr>
        <w:t>Sepet</w:t>
      </w:r>
      <w:proofErr w:type="spellEnd"/>
      <w:r w:rsidR="00250322" w:rsidRPr="00001F7B">
        <w:rPr>
          <w:rFonts w:cstheme="minorHAnsi"/>
          <w:i/>
          <w:iCs/>
        </w:rPr>
        <w:t xml:space="preserve"> v Secretary of State for the Home Department</w:t>
      </w:r>
      <w:r w:rsidR="00250322" w:rsidRPr="00001F7B">
        <w:rPr>
          <w:rFonts w:cstheme="minorHAnsi"/>
        </w:rPr>
        <w:t xml:space="preserve"> [2003] 1 WLR 856 at</w:t>
      </w:r>
      <w:r w:rsidR="00825D0C" w:rsidRPr="00001F7B">
        <w:rPr>
          <w:rFonts w:cstheme="minorHAnsi"/>
        </w:rPr>
        <w:t xml:space="preserve"> </w:t>
      </w:r>
      <w:r w:rsidR="00250322" w:rsidRPr="00001F7B">
        <w:rPr>
          <w:rFonts w:cstheme="minorHAnsi"/>
        </w:rPr>
        <w:t xml:space="preserve"> 861 </w:t>
      </w:r>
      <w:r w:rsidR="00250322" w:rsidRPr="00001F7B">
        <w:rPr>
          <w:rFonts w:cstheme="minorHAnsi"/>
          <w:i/>
          <w:iCs/>
        </w:rPr>
        <w:t>and R (</w:t>
      </w:r>
      <w:r w:rsidR="003E498C" w:rsidRPr="00001F7B">
        <w:rPr>
          <w:rFonts w:cstheme="minorHAnsi"/>
          <w:i/>
          <w:iCs/>
        </w:rPr>
        <w:t>European</w:t>
      </w:r>
      <w:r w:rsidR="00250322" w:rsidRPr="00001F7B">
        <w:rPr>
          <w:rFonts w:cstheme="minorHAnsi"/>
          <w:i/>
          <w:iCs/>
        </w:rPr>
        <w:t xml:space="preserve"> Roma </w:t>
      </w:r>
      <w:r w:rsidR="003E498C" w:rsidRPr="00001F7B">
        <w:rPr>
          <w:rFonts w:cstheme="minorHAnsi"/>
          <w:i/>
          <w:iCs/>
        </w:rPr>
        <w:t xml:space="preserve">Rights Centre and others) v Immigration Officer at Prague Airport </w:t>
      </w:r>
      <w:r w:rsidR="003E498C" w:rsidRPr="00001F7B">
        <w:rPr>
          <w:rFonts w:cstheme="minorHAnsi"/>
        </w:rPr>
        <w:t xml:space="preserve">[2005] 2 AC 1, 31 </w:t>
      </w:r>
      <w:r w:rsidR="00825D0C" w:rsidRPr="00001F7B">
        <w:rPr>
          <w:rFonts w:cstheme="minorHAnsi"/>
        </w:rPr>
        <w:t xml:space="preserve">paras </w:t>
      </w:r>
      <w:r w:rsidR="003E498C" w:rsidRPr="00001F7B">
        <w:rPr>
          <w:rFonts w:cstheme="minorHAnsi"/>
        </w:rPr>
        <w:t>17</w:t>
      </w:r>
      <w:r w:rsidR="00825D0C" w:rsidRPr="00001F7B">
        <w:rPr>
          <w:rFonts w:cstheme="minorHAnsi"/>
        </w:rPr>
        <w:t>-</w:t>
      </w:r>
      <w:r w:rsidR="003E498C" w:rsidRPr="00001F7B">
        <w:rPr>
          <w:rFonts w:cstheme="minorHAnsi"/>
        </w:rPr>
        <w:t>18</w:t>
      </w:r>
      <w:r w:rsidR="008465DA" w:rsidRPr="00001F7B">
        <w:rPr>
          <w:rFonts w:cstheme="minorHAnsi"/>
        </w:rPr>
        <w:t>, in which the rules are said to reflect</w:t>
      </w:r>
      <w:r w:rsidR="00453EDE" w:rsidRPr="00001F7B">
        <w:rPr>
          <w:rFonts w:cstheme="minorHAnsi"/>
        </w:rPr>
        <w:t xml:space="preserve"> CIL</w:t>
      </w:r>
      <w:r w:rsidR="008465DA" w:rsidRPr="00001F7B">
        <w:rPr>
          <w:rFonts w:cstheme="minorHAnsi"/>
        </w:rPr>
        <w:t>.</w:t>
      </w:r>
    </w:p>
  </w:footnote>
  <w:footnote w:id="82">
    <w:p w14:paraId="4B269102" w14:textId="6B18CA2C" w:rsidR="00D03579" w:rsidRPr="00001F7B" w:rsidRDefault="00D03579">
      <w:pPr>
        <w:pStyle w:val="FootnoteText"/>
        <w:rPr>
          <w:rFonts w:cstheme="minorHAnsi"/>
        </w:rPr>
      </w:pPr>
      <w:r w:rsidRPr="00001F7B">
        <w:rPr>
          <w:rStyle w:val="FootnoteReference"/>
          <w:rFonts w:cstheme="minorHAnsi"/>
        </w:rPr>
        <w:footnoteRef/>
      </w:r>
      <w:r w:rsidRPr="00001F7B">
        <w:rPr>
          <w:rFonts w:cstheme="minorHAnsi"/>
        </w:rPr>
        <w:t xml:space="preserve"> Above, </w:t>
      </w:r>
      <w:proofErr w:type="spellStart"/>
      <w:r w:rsidR="00453EDE" w:rsidRPr="00001F7B">
        <w:rPr>
          <w:rFonts w:cstheme="minorHAnsi"/>
        </w:rPr>
        <w:t>f</w:t>
      </w:r>
      <w:r w:rsidRPr="00001F7B">
        <w:rPr>
          <w:rFonts w:cstheme="minorHAnsi"/>
        </w:rPr>
        <w:t>n</w:t>
      </w:r>
      <w:proofErr w:type="spellEnd"/>
      <w:r w:rsidR="00825D0C" w:rsidRPr="00001F7B">
        <w:rPr>
          <w:rFonts w:cstheme="minorHAnsi"/>
        </w:rPr>
        <w:t xml:space="preserve"> 7</w:t>
      </w:r>
      <w:r w:rsidR="00AE5F45" w:rsidRPr="00001F7B">
        <w:rPr>
          <w:rFonts w:cstheme="minorHAnsi"/>
        </w:rPr>
        <w:t>6</w:t>
      </w:r>
      <w:r w:rsidR="00825D0C" w:rsidRPr="00001F7B">
        <w:rPr>
          <w:rFonts w:cstheme="minorHAnsi"/>
        </w:rPr>
        <w:t>.</w:t>
      </w:r>
      <w:r w:rsidRPr="00001F7B">
        <w:rPr>
          <w:rFonts w:cstheme="minorHAnsi"/>
        </w:rPr>
        <w:t xml:space="preserve"> </w:t>
      </w:r>
    </w:p>
  </w:footnote>
  <w:footnote w:id="83">
    <w:p w14:paraId="371C3518" w14:textId="6C552F47" w:rsidR="00D03579" w:rsidRPr="00001F7B" w:rsidRDefault="00D03579">
      <w:pPr>
        <w:pStyle w:val="FootnoteText"/>
        <w:rPr>
          <w:rFonts w:cstheme="minorHAnsi"/>
        </w:rPr>
      </w:pPr>
      <w:r w:rsidRPr="00001F7B">
        <w:rPr>
          <w:rStyle w:val="FootnoteReference"/>
          <w:rFonts w:cstheme="minorHAnsi"/>
        </w:rPr>
        <w:footnoteRef/>
      </w:r>
      <w:r w:rsidRPr="00001F7B">
        <w:rPr>
          <w:rFonts w:cstheme="minorHAnsi"/>
        </w:rPr>
        <w:t xml:space="preserve"> P</w:t>
      </w:r>
      <w:r w:rsidR="00453EDE" w:rsidRPr="00001F7B">
        <w:rPr>
          <w:rFonts w:cstheme="minorHAnsi"/>
        </w:rPr>
        <w:t xml:space="preserve">p </w:t>
      </w:r>
      <w:r w:rsidRPr="00001F7B">
        <w:rPr>
          <w:rFonts w:cstheme="minorHAnsi"/>
        </w:rPr>
        <w:t>146-</w:t>
      </w:r>
      <w:r w:rsidR="00453EDE" w:rsidRPr="00001F7B">
        <w:rPr>
          <w:rFonts w:cstheme="minorHAnsi"/>
        </w:rPr>
        <w:t>14</w:t>
      </w:r>
      <w:r w:rsidRPr="00001F7B">
        <w:rPr>
          <w:rFonts w:cstheme="minorHAnsi"/>
        </w:rPr>
        <w:t>7.</w:t>
      </w:r>
    </w:p>
  </w:footnote>
  <w:footnote w:id="84">
    <w:p w14:paraId="2C2858D5" w14:textId="70933C96" w:rsidR="00C90791" w:rsidRPr="00001F7B" w:rsidRDefault="00C90791" w:rsidP="00C90791">
      <w:pPr>
        <w:pStyle w:val="FootnoteText"/>
        <w:rPr>
          <w:rFonts w:cstheme="minorHAnsi"/>
        </w:rPr>
      </w:pPr>
      <w:r w:rsidRPr="00001F7B">
        <w:rPr>
          <w:rStyle w:val="FootnoteReference"/>
          <w:rFonts w:cstheme="minorHAnsi"/>
        </w:rPr>
        <w:footnoteRef/>
      </w:r>
      <w:r w:rsidRPr="00001F7B">
        <w:rPr>
          <w:rFonts w:cstheme="minorHAnsi"/>
        </w:rPr>
        <w:t xml:space="preserve"> See also Waibel, </w:t>
      </w:r>
      <w:r w:rsidR="00453EDE" w:rsidRPr="00001F7B">
        <w:rPr>
          <w:rFonts w:cstheme="minorHAnsi"/>
        </w:rPr>
        <w:t xml:space="preserve">above </w:t>
      </w:r>
      <w:proofErr w:type="spellStart"/>
      <w:r w:rsidR="00453EDE" w:rsidRPr="00001F7B">
        <w:rPr>
          <w:rFonts w:cstheme="minorHAnsi"/>
        </w:rPr>
        <w:t>fn</w:t>
      </w:r>
      <w:proofErr w:type="spellEnd"/>
      <w:r w:rsidRPr="00001F7B">
        <w:rPr>
          <w:rFonts w:cstheme="minorHAnsi"/>
        </w:rPr>
        <w:t xml:space="preserve"> </w:t>
      </w:r>
      <w:r w:rsidR="00825D0C" w:rsidRPr="00001F7B">
        <w:rPr>
          <w:rFonts w:cstheme="minorHAnsi"/>
        </w:rPr>
        <w:t xml:space="preserve">3, </w:t>
      </w:r>
      <w:r w:rsidRPr="00001F7B">
        <w:rPr>
          <w:rFonts w:cstheme="minorHAnsi"/>
        </w:rPr>
        <w:t>at p</w:t>
      </w:r>
      <w:r w:rsidR="002F3C6A" w:rsidRPr="00001F7B">
        <w:rPr>
          <w:rFonts w:cstheme="minorHAnsi"/>
        </w:rPr>
        <w:t xml:space="preserve"> 23</w:t>
      </w:r>
      <w:r w:rsidRPr="00001F7B">
        <w:rPr>
          <w:rFonts w:cstheme="minorHAnsi"/>
        </w:rPr>
        <w:t xml:space="preserve"> where he says:</w:t>
      </w:r>
      <w:r w:rsidR="00074562" w:rsidRPr="00001F7B">
        <w:rPr>
          <w:rFonts w:cstheme="minorHAnsi"/>
        </w:rPr>
        <w:t xml:space="preserve"> </w:t>
      </w:r>
      <w:r w:rsidRPr="00001F7B">
        <w:rPr>
          <w:rFonts w:cstheme="minorHAnsi"/>
        </w:rPr>
        <w:t>”The English courts have ad</w:t>
      </w:r>
      <w:r w:rsidR="0095196A" w:rsidRPr="00001F7B">
        <w:rPr>
          <w:rFonts w:cstheme="minorHAnsi"/>
        </w:rPr>
        <w:t>o</w:t>
      </w:r>
      <w:r w:rsidRPr="00001F7B">
        <w:rPr>
          <w:rFonts w:cstheme="minorHAnsi"/>
        </w:rPr>
        <w:t xml:space="preserve">pted a pragmatic approach to treaty interpretation that is often grounded, as matter of fact, in the VCLT’s interpretive principles. </w:t>
      </w:r>
      <w:r w:rsidR="009D2F79" w:rsidRPr="00001F7B">
        <w:rPr>
          <w:rFonts w:cstheme="minorHAnsi"/>
        </w:rPr>
        <w:t>A</w:t>
      </w:r>
      <w:r w:rsidRPr="00001F7B">
        <w:rPr>
          <w:rFonts w:cstheme="minorHAnsi"/>
        </w:rPr>
        <w:t>ccordingly, they customarily use the VCLT principles as an appropriate framework for the interpretation of</w:t>
      </w:r>
      <w:r w:rsidR="00453EDE" w:rsidRPr="00001F7B">
        <w:rPr>
          <w:rFonts w:cstheme="minorHAnsi"/>
        </w:rPr>
        <w:t xml:space="preserve"> </w:t>
      </w:r>
      <w:r w:rsidRPr="00001F7B">
        <w:rPr>
          <w:rFonts w:cstheme="minorHAnsi"/>
        </w:rPr>
        <w:t xml:space="preserve">treaties. But importantly, the English courts reserve themselves considerable wiggle room on whether or not to use the VCLT principles of interpretation in specific cases, not unlike their US counterparts.” </w:t>
      </w:r>
      <w:r w:rsidR="00453EDE" w:rsidRPr="00001F7B">
        <w:rPr>
          <w:rFonts w:cstheme="minorHAnsi"/>
        </w:rPr>
        <w:t>As noted above t</w:t>
      </w:r>
      <w:r w:rsidR="008C15E2" w:rsidRPr="00001F7B">
        <w:rPr>
          <w:rFonts w:cstheme="minorHAnsi"/>
        </w:rPr>
        <w:t xml:space="preserve">he approach to VCLT in English cases is explored further in the </w:t>
      </w:r>
      <w:r w:rsidR="00035652" w:rsidRPr="00001F7B">
        <w:rPr>
          <w:rFonts w:cstheme="minorHAnsi"/>
        </w:rPr>
        <w:t>Review of U</w:t>
      </w:r>
      <w:r w:rsidR="00BA737A">
        <w:rPr>
          <w:rFonts w:cstheme="minorHAnsi"/>
        </w:rPr>
        <w:t>K</w:t>
      </w:r>
      <w:r w:rsidR="00035652" w:rsidRPr="00001F7B">
        <w:rPr>
          <w:rFonts w:cstheme="minorHAnsi"/>
        </w:rPr>
        <w:t xml:space="preserve"> Law in </w:t>
      </w:r>
      <w:r w:rsidR="008C15E2" w:rsidRPr="00001F7B">
        <w:rPr>
          <w:rFonts w:cstheme="minorHAnsi"/>
        </w:rPr>
        <w:t xml:space="preserve">Annex </w:t>
      </w:r>
      <w:r w:rsidR="00453EDE" w:rsidRPr="00001F7B">
        <w:rPr>
          <w:rFonts w:cstheme="minorHAnsi"/>
        </w:rPr>
        <w:t xml:space="preserve">Folder which includes </w:t>
      </w:r>
      <w:r w:rsidR="008C15E2" w:rsidRPr="00001F7B">
        <w:rPr>
          <w:rFonts w:cstheme="minorHAnsi"/>
        </w:rPr>
        <w:t>m</w:t>
      </w:r>
      <w:r w:rsidR="00B801C3" w:rsidRPr="00001F7B">
        <w:rPr>
          <w:rFonts w:cstheme="minorHAnsi"/>
        </w:rPr>
        <w:t xml:space="preserve">ore recent </w:t>
      </w:r>
      <w:r w:rsidR="008C15E2" w:rsidRPr="00001F7B">
        <w:rPr>
          <w:rFonts w:cstheme="minorHAnsi"/>
        </w:rPr>
        <w:t>Supreme Court</w:t>
      </w:r>
      <w:r w:rsidR="00B801C3" w:rsidRPr="00001F7B">
        <w:rPr>
          <w:rFonts w:cstheme="minorHAnsi"/>
        </w:rPr>
        <w:t xml:space="preserve"> decisions on the </w:t>
      </w:r>
      <w:r w:rsidR="008C15E2" w:rsidRPr="00001F7B">
        <w:rPr>
          <w:rFonts w:cstheme="minorHAnsi"/>
        </w:rPr>
        <w:t xml:space="preserve">collision regulations and the </w:t>
      </w:r>
      <w:r w:rsidR="00B801C3" w:rsidRPr="00001F7B">
        <w:rPr>
          <w:rFonts w:cstheme="minorHAnsi"/>
        </w:rPr>
        <w:t>Hagu</w:t>
      </w:r>
      <w:r w:rsidR="008C15E2" w:rsidRPr="00001F7B">
        <w:rPr>
          <w:rFonts w:cstheme="minorHAnsi"/>
        </w:rPr>
        <w:t>e Rules</w:t>
      </w:r>
      <w:r w:rsidR="00B801C3" w:rsidRPr="00001F7B">
        <w:rPr>
          <w:rFonts w:cstheme="minorHAnsi"/>
        </w:rPr>
        <w:t xml:space="preserve">. </w:t>
      </w:r>
    </w:p>
  </w:footnote>
  <w:footnote w:id="85">
    <w:p w14:paraId="72358378" w14:textId="41AA8CD9" w:rsidR="0093495D" w:rsidRPr="00001F7B" w:rsidRDefault="0093495D" w:rsidP="00AF5C9B">
      <w:pPr>
        <w:pStyle w:val="Heading2"/>
        <w:shd w:val="clear" w:color="auto" w:fill="FFFFFF"/>
        <w:rPr>
          <w:rFonts w:asciiTheme="minorHAnsi" w:hAnsiTheme="minorHAnsi" w:cstheme="minorHAnsi"/>
          <w:color w:val="auto"/>
          <w:sz w:val="20"/>
          <w:szCs w:val="20"/>
        </w:rPr>
      </w:pPr>
      <w:r w:rsidRPr="00001F7B">
        <w:rPr>
          <w:rStyle w:val="FootnoteReference"/>
          <w:rFonts w:asciiTheme="minorHAnsi" w:hAnsiTheme="minorHAnsi" w:cstheme="minorHAnsi"/>
          <w:color w:val="auto"/>
          <w:sz w:val="20"/>
          <w:szCs w:val="20"/>
        </w:rPr>
        <w:footnoteRef/>
      </w:r>
      <w:r w:rsidRPr="00001F7B">
        <w:rPr>
          <w:rFonts w:asciiTheme="minorHAnsi" w:hAnsiTheme="minorHAnsi" w:cstheme="minorHAnsi"/>
          <w:color w:val="auto"/>
          <w:sz w:val="20"/>
          <w:szCs w:val="20"/>
        </w:rPr>
        <w:t xml:space="preserve"> </w:t>
      </w:r>
      <w:r w:rsidR="0027148E" w:rsidRPr="00001F7B">
        <w:rPr>
          <w:rFonts w:asciiTheme="minorHAnsi" w:hAnsiTheme="minorHAnsi" w:cstheme="minorHAnsi"/>
          <w:i/>
          <w:iCs/>
          <w:color w:val="auto"/>
          <w:sz w:val="20"/>
          <w:szCs w:val="20"/>
        </w:rPr>
        <w:t xml:space="preserve">Op </w:t>
      </w:r>
      <w:proofErr w:type="spellStart"/>
      <w:r w:rsidR="0027148E" w:rsidRPr="00001F7B">
        <w:rPr>
          <w:rFonts w:asciiTheme="minorHAnsi" w:hAnsiTheme="minorHAnsi" w:cstheme="minorHAnsi"/>
          <w:i/>
          <w:iCs/>
          <w:color w:val="auto"/>
          <w:sz w:val="20"/>
          <w:szCs w:val="20"/>
        </w:rPr>
        <w:t>cit</w:t>
      </w:r>
      <w:proofErr w:type="spellEnd"/>
      <w:r w:rsidR="0027148E" w:rsidRPr="00001F7B">
        <w:rPr>
          <w:rFonts w:asciiTheme="minorHAnsi" w:hAnsiTheme="minorHAnsi" w:cstheme="minorHAnsi"/>
          <w:color w:val="auto"/>
          <w:sz w:val="20"/>
          <w:szCs w:val="20"/>
        </w:rPr>
        <w:t>,</w:t>
      </w:r>
      <w:r w:rsidR="00453EDE" w:rsidRPr="00001F7B">
        <w:rPr>
          <w:rFonts w:asciiTheme="minorHAnsi" w:hAnsiTheme="minorHAnsi" w:cstheme="minorHAnsi"/>
          <w:color w:val="auto"/>
          <w:sz w:val="20"/>
          <w:szCs w:val="20"/>
        </w:rPr>
        <w:t xml:space="preserve"> p</w:t>
      </w:r>
      <w:r w:rsidRPr="00001F7B">
        <w:rPr>
          <w:rFonts w:asciiTheme="minorHAnsi" w:hAnsiTheme="minorHAnsi" w:cstheme="minorHAnsi"/>
          <w:color w:val="auto"/>
          <w:sz w:val="20"/>
          <w:szCs w:val="20"/>
        </w:rPr>
        <w:t xml:space="preserve"> 149</w:t>
      </w:r>
      <w:r w:rsidR="00453EDE" w:rsidRPr="00001F7B">
        <w:rPr>
          <w:rFonts w:asciiTheme="minorHAnsi" w:hAnsiTheme="minorHAnsi" w:cstheme="minorHAnsi"/>
          <w:color w:val="auto"/>
          <w:sz w:val="20"/>
          <w:szCs w:val="20"/>
        </w:rPr>
        <w:t>. We can note here some of the</w:t>
      </w:r>
      <w:r w:rsidR="00C9582C" w:rsidRPr="00001F7B">
        <w:rPr>
          <w:rFonts w:asciiTheme="minorHAnsi" w:hAnsiTheme="minorHAnsi" w:cstheme="minorHAnsi"/>
          <w:color w:val="auto"/>
          <w:sz w:val="20"/>
          <w:szCs w:val="20"/>
        </w:rPr>
        <w:t xml:space="preserve"> material in respect of other </w:t>
      </w:r>
      <w:r w:rsidRPr="00001F7B">
        <w:rPr>
          <w:rFonts w:asciiTheme="minorHAnsi" w:hAnsiTheme="minorHAnsi" w:cstheme="minorHAnsi"/>
          <w:color w:val="auto"/>
          <w:sz w:val="20"/>
          <w:szCs w:val="20"/>
        </w:rPr>
        <w:t>jurisdictions</w:t>
      </w:r>
      <w:r w:rsidR="00964588" w:rsidRPr="00001F7B">
        <w:rPr>
          <w:rFonts w:asciiTheme="minorHAnsi" w:hAnsiTheme="minorHAnsi" w:cstheme="minorHAnsi"/>
          <w:color w:val="auto"/>
          <w:sz w:val="20"/>
          <w:szCs w:val="20"/>
        </w:rPr>
        <w:t xml:space="preserve"> </w:t>
      </w:r>
      <w:r w:rsidR="00453EDE" w:rsidRPr="00001F7B">
        <w:rPr>
          <w:rFonts w:asciiTheme="minorHAnsi" w:hAnsiTheme="minorHAnsi" w:cstheme="minorHAnsi"/>
          <w:color w:val="auto"/>
          <w:sz w:val="20"/>
          <w:szCs w:val="20"/>
        </w:rPr>
        <w:t>which, hopefully can be developed further in the Annex Folder</w:t>
      </w:r>
      <w:r w:rsidR="00077525" w:rsidRPr="00001F7B">
        <w:rPr>
          <w:rFonts w:asciiTheme="minorHAnsi" w:hAnsiTheme="minorHAnsi" w:cstheme="minorHAnsi"/>
          <w:color w:val="auto"/>
          <w:sz w:val="20"/>
          <w:szCs w:val="20"/>
        </w:rPr>
        <w:t xml:space="preserve"> (</w:t>
      </w:r>
      <w:r w:rsidR="00C9582C" w:rsidRPr="00001F7B">
        <w:rPr>
          <w:rFonts w:asciiTheme="minorHAnsi" w:hAnsiTheme="minorHAnsi" w:cstheme="minorHAnsi"/>
          <w:color w:val="auto"/>
          <w:sz w:val="20"/>
          <w:szCs w:val="20"/>
        </w:rPr>
        <w:t xml:space="preserve">and </w:t>
      </w:r>
      <w:r w:rsidR="00077525" w:rsidRPr="00001F7B">
        <w:rPr>
          <w:rFonts w:asciiTheme="minorHAnsi" w:hAnsiTheme="minorHAnsi" w:cstheme="minorHAnsi"/>
          <w:color w:val="auto"/>
          <w:sz w:val="20"/>
          <w:szCs w:val="20"/>
        </w:rPr>
        <w:t>see also Gardiner</w:t>
      </w:r>
      <w:r w:rsidR="00C9582C" w:rsidRPr="00001F7B">
        <w:rPr>
          <w:rFonts w:asciiTheme="minorHAnsi" w:hAnsiTheme="minorHAnsi" w:cstheme="minorHAnsi"/>
          <w:color w:val="auto"/>
          <w:sz w:val="20"/>
          <w:szCs w:val="20"/>
        </w:rPr>
        <w:t xml:space="preserve">, above </w:t>
      </w:r>
      <w:proofErr w:type="spellStart"/>
      <w:r w:rsidR="00C9582C" w:rsidRPr="00001F7B">
        <w:rPr>
          <w:rFonts w:asciiTheme="minorHAnsi" w:hAnsiTheme="minorHAnsi" w:cstheme="minorHAnsi"/>
          <w:color w:val="auto"/>
          <w:sz w:val="20"/>
          <w:szCs w:val="20"/>
        </w:rPr>
        <w:t>fn</w:t>
      </w:r>
      <w:proofErr w:type="spellEnd"/>
      <w:r w:rsidR="00C9582C" w:rsidRPr="00001F7B">
        <w:rPr>
          <w:rFonts w:asciiTheme="minorHAnsi" w:hAnsiTheme="minorHAnsi" w:cstheme="minorHAnsi"/>
          <w:color w:val="auto"/>
          <w:sz w:val="20"/>
          <w:szCs w:val="20"/>
        </w:rPr>
        <w:t xml:space="preserve"> </w:t>
      </w:r>
      <w:r w:rsidR="0027148E" w:rsidRPr="00001F7B">
        <w:rPr>
          <w:rFonts w:asciiTheme="minorHAnsi" w:hAnsiTheme="minorHAnsi" w:cstheme="minorHAnsi"/>
          <w:color w:val="auto"/>
          <w:sz w:val="20"/>
          <w:szCs w:val="20"/>
        </w:rPr>
        <w:t>5,</w:t>
      </w:r>
      <w:r w:rsidR="00077525" w:rsidRPr="00001F7B">
        <w:rPr>
          <w:rFonts w:asciiTheme="minorHAnsi" w:hAnsiTheme="minorHAnsi" w:cstheme="minorHAnsi"/>
          <w:color w:val="auto"/>
          <w:sz w:val="20"/>
          <w:szCs w:val="20"/>
        </w:rPr>
        <w:t xml:space="preserve"> p 144 </w:t>
      </w:r>
      <w:r w:rsidR="0027148E" w:rsidRPr="00001F7B">
        <w:rPr>
          <w:rFonts w:asciiTheme="minorHAnsi" w:hAnsiTheme="minorHAnsi" w:cstheme="minorHAnsi"/>
          <w:color w:val="auto"/>
          <w:sz w:val="20"/>
          <w:szCs w:val="20"/>
        </w:rPr>
        <w:t>n</w:t>
      </w:r>
      <w:r w:rsidR="00077525" w:rsidRPr="00001F7B">
        <w:rPr>
          <w:rFonts w:asciiTheme="minorHAnsi" w:hAnsiTheme="minorHAnsi" w:cstheme="minorHAnsi"/>
          <w:color w:val="auto"/>
          <w:sz w:val="20"/>
          <w:szCs w:val="20"/>
        </w:rPr>
        <w:t>s 79-81)</w:t>
      </w:r>
      <w:r w:rsidR="00C9582C" w:rsidRPr="00001F7B">
        <w:rPr>
          <w:rFonts w:asciiTheme="minorHAnsi" w:hAnsiTheme="minorHAnsi" w:cstheme="minorHAnsi"/>
          <w:color w:val="auto"/>
          <w:sz w:val="20"/>
          <w:szCs w:val="20"/>
        </w:rPr>
        <w:t>.</w:t>
      </w:r>
      <w:r w:rsidR="00964588" w:rsidRPr="00001F7B">
        <w:rPr>
          <w:rFonts w:asciiTheme="minorHAnsi" w:hAnsiTheme="minorHAnsi" w:cstheme="minorHAnsi"/>
          <w:color w:val="auto"/>
          <w:sz w:val="20"/>
          <w:szCs w:val="20"/>
        </w:rPr>
        <w:t xml:space="preserve"> </w:t>
      </w:r>
      <w:r w:rsidR="00C9582C" w:rsidRPr="00001F7B">
        <w:rPr>
          <w:rFonts w:asciiTheme="minorHAnsi" w:hAnsiTheme="minorHAnsi" w:cstheme="minorHAnsi"/>
          <w:color w:val="auto"/>
          <w:sz w:val="20"/>
          <w:szCs w:val="20"/>
        </w:rPr>
        <w:t xml:space="preserve"> On </w:t>
      </w:r>
      <w:r w:rsidR="00964588" w:rsidRPr="00001F7B">
        <w:rPr>
          <w:rFonts w:asciiTheme="minorHAnsi" w:hAnsiTheme="minorHAnsi" w:cstheme="minorHAnsi"/>
          <w:color w:val="auto"/>
          <w:sz w:val="20"/>
          <w:szCs w:val="20"/>
        </w:rPr>
        <w:t xml:space="preserve">Application of </w:t>
      </w:r>
      <w:r w:rsidR="0027148E" w:rsidRPr="00001F7B">
        <w:rPr>
          <w:rFonts w:asciiTheme="minorHAnsi" w:hAnsiTheme="minorHAnsi" w:cstheme="minorHAnsi"/>
          <w:color w:val="auto"/>
          <w:sz w:val="20"/>
          <w:szCs w:val="20"/>
        </w:rPr>
        <w:t xml:space="preserve">the </w:t>
      </w:r>
      <w:r w:rsidR="00964588" w:rsidRPr="00001F7B">
        <w:rPr>
          <w:rFonts w:asciiTheme="minorHAnsi" w:hAnsiTheme="minorHAnsi" w:cstheme="minorHAnsi"/>
          <w:color w:val="auto"/>
          <w:sz w:val="20"/>
          <w:szCs w:val="20"/>
        </w:rPr>
        <w:t>VCLT</w:t>
      </w:r>
      <w:r w:rsidR="00C9582C" w:rsidRPr="00001F7B">
        <w:rPr>
          <w:rFonts w:asciiTheme="minorHAnsi" w:hAnsiTheme="minorHAnsi" w:cstheme="minorHAnsi"/>
          <w:color w:val="auto"/>
          <w:sz w:val="20"/>
          <w:szCs w:val="20"/>
        </w:rPr>
        <w:t>:</w:t>
      </w:r>
      <w:r w:rsidR="00964588" w:rsidRPr="00001F7B">
        <w:rPr>
          <w:rFonts w:asciiTheme="minorHAnsi" w:hAnsiTheme="minorHAnsi" w:cstheme="minorHAnsi"/>
          <w:color w:val="auto"/>
          <w:sz w:val="20"/>
          <w:szCs w:val="20"/>
        </w:rPr>
        <w:t xml:space="preserve"> </w:t>
      </w:r>
      <w:r w:rsidR="00886EA2" w:rsidRPr="00001F7B">
        <w:rPr>
          <w:rFonts w:asciiTheme="minorHAnsi" w:hAnsiTheme="minorHAnsi" w:cstheme="minorHAnsi"/>
          <w:color w:val="auto"/>
          <w:sz w:val="20"/>
          <w:szCs w:val="20"/>
        </w:rPr>
        <w:t>–</w:t>
      </w:r>
      <w:r w:rsidR="00453EDE" w:rsidRPr="00001F7B">
        <w:rPr>
          <w:rFonts w:asciiTheme="minorHAnsi" w:hAnsiTheme="minorHAnsi" w:cstheme="minorHAnsi"/>
          <w:color w:val="auto"/>
          <w:sz w:val="20"/>
          <w:szCs w:val="20"/>
        </w:rPr>
        <w:t>I</w:t>
      </w:r>
      <w:r w:rsidR="00886EA2" w:rsidRPr="00001F7B">
        <w:rPr>
          <w:rFonts w:asciiTheme="minorHAnsi" w:hAnsiTheme="minorHAnsi" w:cstheme="minorHAnsi"/>
          <w:color w:val="auto"/>
          <w:sz w:val="20"/>
          <w:szCs w:val="20"/>
        </w:rPr>
        <w:t>n Germany arts</w:t>
      </w:r>
      <w:r w:rsidR="00453EDE" w:rsidRPr="00001F7B">
        <w:rPr>
          <w:rFonts w:asciiTheme="minorHAnsi" w:hAnsiTheme="minorHAnsi" w:cstheme="minorHAnsi"/>
          <w:color w:val="auto"/>
          <w:sz w:val="20"/>
          <w:szCs w:val="20"/>
        </w:rPr>
        <w:t xml:space="preserve"> </w:t>
      </w:r>
      <w:r w:rsidR="00886EA2" w:rsidRPr="00001F7B">
        <w:rPr>
          <w:rFonts w:asciiTheme="minorHAnsi" w:hAnsiTheme="minorHAnsi" w:cstheme="minorHAnsi"/>
          <w:color w:val="auto"/>
          <w:sz w:val="20"/>
          <w:szCs w:val="20"/>
        </w:rPr>
        <w:t>31-33 were applied in respect of an issue concerning Art 21 of CMR</w:t>
      </w:r>
      <w:r w:rsidR="00C9582C" w:rsidRPr="00001F7B">
        <w:rPr>
          <w:rFonts w:asciiTheme="minorHAnsi" w:hAnsiTheme="minorHAnsi" w:cstheme="minorHAnsi"/>
          <w:color w:val="auto"/>
          <w:sz w:val="20"/>
          <w:szCs w:val="20"/>
        </w:rPr>
        <w:t>:</w:t>
      </w:r>
      <w:r w:rsidR="00886EA2" w:rsidRPr="00001F7B">
        <w:rPr>
          <w:rFonts w:asciiTheme="minorHAnsi" w:hAnsiTheme="minorHAnsi" w:cstheme="minorHAnsi"/>
          <w:color w:val="auto"/>
          <w:sz w:val="20"/>
          <w:szCs w:val="20"/>
        </w:rPr>
        <w:t xml:space="preserve"> BGH 10.10.91, 1 ZR 193/89 (referring to </w:t>
      </w:r>
      <w:r w:rsidR="0027148E" w:rsidRPr="00001F7B">
        <w:rPr>
          <w:rFonts w:asciiTheme="minorHAnsi" w:hAnsiTheme="minorHAnsi" w:cstheme="minorHAnsi"/>
          <w:color w:val="auto"/>
          <w:sz w:val="20"/>
          <w:szCs w:val="20"/>
        </w:rPr>
        <w:t>BGH 1.</w:t>
      </w:r>
      <w:r w:rsidR="00886EA2" w:rsidRPr="00001F7B">
        <w:rPr>
          <w:rFonts w:asciiTheme="minorHAnsi" w:eastAsia="Times New Roman" w:hAnsiTheme="minorHAnsi" w:cstheme="minorHAnsi"/>
          <w:color w:val="000000"/>
          <w:sz w:val="20"/>
          <w:szCs w:val="20"/>
          <w:lang w:eastAsia="en-GB"/>
        </w:rPr>
        <w:t>8.75 - I ZR 40/74, NJW 1975, 1597, 1598 and BGH 19.</w:t>
      </w:r>
      <w:r w:rsidR="007B681C" w:rsidRPr="00001F7B">
        <w:rPr>
          <w:rFonts w:asciiTheme="minorHAnsi" w:eastAsia="Times New Roman" w:hAnsiTheme="minorHAnsi" w:cstheme="minorHAnsi"/>
          <w:color w:val="000000"/>
          <w:sz w:val="20"/>
          <w:szCs w:val="20"/>
          <w:lang w:eastAsia="en-GB"/>
        </w:rPr>
        <w:t>3.76,</w:t>
      </w:r>
      <w:r w:rsidR="00886EA2" w:rsidRPr="00001F7B">
        <w:rPr>
          <w:rFonts w:asciiTheme="minorHAnsi" w:eastAsia="Times New Roman" w:hAnsiTheme="minorHAnsi" w:cstheme="minorHAnsi"/>
          <w:color w:val="000000"/>
          <w:sz w:val="20"/>
          <w:szCs w:val="20"/>
          <w:lang w:eastAsia="en-GB"/>
        </w:rPr>
        <w:t xml:space="preserve"> I ZR 75/74, BGHZ 75, 92, 94)</w:t>
      </w:r>
      <w:r w:rsidR="0023583E" w:rsidRPr="00001F7B">
        <w:rPr>
          <w:rFonts w:asciiTheme="minorHAnsi" w:eastAsia="Times New Roman" w:hAnsiTheme="minorHAnsi" w:cstheme="minorHAnsi"/>
          <w:color w:val="000000"/>
          <w:sz w:val="20"/>
          <w:szCs w:val="20"/>
          <w:lang w:eastAsia="en-GB"/>
        </w:rPr>
        <w:t>.</w:t>
      </w:r>
      <w:r w:rsidR="00CD42F7" w:rsidRPr="00001F7B">
        <w:rPr>
          <w:rFonts w:asciiTheme="minorHAnsi" w:eastAsia="Times New Roman" w:hAnsiTheme="minorHAnsi" w:cstheme="minorHAnsi"/>
          <w:color w:val="000000"/>
          <w:sz w:val="20"/>
          <w:szCs w:val="20"/>
          <w:lang w:eastAsia="en-GB"/>
        </w:rPr>
        <w:t xml:space="preserve"> </w:t>
      </w:r>
      <w:r w:rsidR="0023583E" w:rsidRPr="00001F7B">
        <w:rPr>
          <w:rFonts w:asciiTheme="minorHAnsi" w:eastAsia="Times New Roman" w:hAnsiTheme="minorHAnsi" w:cstheme="minorHAnsi"/>
          <w:color w:val="000000"/>
          <w:sz w:val="20"/>
          <w:szCs w:val="20"/>
          <w:lang w:eastAsia="en-GB"/>
        </w:rPr>
        <w:t xml:space="preserve">This contrasts with BGH </w:t>
      </w:r>
      <w:r w:rsidR="00886EA2" w:rsidRPr="00001F7B">
        <w:rPr>
          <w:rFonts w:asciiTheme="minorHAnsi" w:hAnsiTheme="minorHAnsi" w:cstheme="minorHAnsi"/>
          <w:sz w:val="20"/>
          <w:szCs w:val="20"/>
        </w:rPr>
        <w:t xml:space="preserve"> </w:t>
      </w:r>
      <w:r w:rsidR="00823271" w:rsidRPr="00001F7B">
        <w:rPr>
          <w:rFonts w:asciiTheme="minorHAnsi" w:eastAsia="Times New Roman" w:hAnsiTheme="minorHAnsi" w:cstheme="minorHAnsi"/>
          <w:color w:val="141414"/>
          <w:sz w:val="20"/>
          <w:szCs w:val="20"/>
          <w:bdr w:val="none" w:sz="0" w:space="0" w:color="auto" w:frame="1"/>
          <w:shd w:val="clear" w:color="auto" w:fill="FFFFFF"/>
          <w:lang w:eastAsia="en-GB"/>
        </w:rPr>
        <w:t>15.12.11, I ZR 12/11</w:t>
      </w:r>
      <w:r w:rsidR="00035652" w:rsidRPr="00001F7B">
        <w:rPr>
          <w:rFonts w:asciiTheme="minorHAnsi" w:eastAsia="Times New Roman" w:hAnsiTheme="minorHAnsi" w:cstheme="minorHAnsi"/>
          <w:color w:val="141414"/>
          <w:sz w:val="20"/>
          <w:szCs w:val="20"/>
          <w:bdr w:val="none" w:sz="0" w:space="0" w:color="auto" w:frame="1"/>
          <w:shd w:val="clear" w:color="auto" w:fill="FFFFFF"/>
          <w:lang w:eastAsia="en-GB"/>
        </w:rPr>
        <w:t>,</w:t>
      </w:r>
      <w:r w:rsidR="00823271"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035652"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(2011) </w:t>
      </w:r>
      <w:proofErr w:type="spellStart"/>
      <w:r w:rsidR="00823271" w:rsidRPr="00001F7B">
        <w:rPr>
          <w:rFonts w:asciiTheme="minorHAnsi" w:eastAsia="Times New Roman" w:hAnsiTheme="minorHAnsi" w:cstheme="minorHAnsi"/>
          <w:color w:val="141414"/>
          <w:sz w:val="20"/>
          <w:szCs w:val="20"/>
          <w:bdr w:val="none" w:sz="0" w:space="0" w:color="auto" w:frame="1"/>
          <w:shd w:val="clear" w:color="auto" w:fill="FFFFFF"/>
          <w:lang w:eastAsia="en-GB"/>
        </w:rPr>
        <w:t>TranspR</w:t>
      </w:r>
      <w:proofErr w:type="spellEnd"/>
      <w:r w:rsidR="00823271"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21, 158 – </w:t>
      </w:r>
      <w:r w:rsidR="00C9582C"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kindly </w:t>
      </w:r>
      <w:r w:rsidR="00823271"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supplied by Tobias – </w:t>
      </w:r>
      <w:r w:rsidR="00C9582C"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where there is </w:t>
      </w:r>
      <w:r w:rsidR="00823271"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no mention of </w:t>
      </w:r>
      <w:r w:rsidR="00731050"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the </w:t>
      </w:r>
      <w:r w:rsidR="00823271" w:rsidRPr="00001F7B">
        <w:rPr>
          <w:rFonts w:asciiTheme="minorHAnsi" w:eastAsia="Times New Roman" w:hAnsiTheme="minorHAnsi" w:cstheme="minorHAnsi"/>
          <w:color w:val="141414"/>
          <w:sz w:val="20"/>
          <w:szCs w:val="20"/>
          <w:bdr w:val="none" w:sz="0" w:space="0" w:color="auto" w:frame="1"/>
          <w:shd w:val="clear" w:color="auto" w:fill="FFFFFF"/>
          <w:lang w:eastAsia="en-GB"/>
        </w:rPr>
        <w:t>VCLT.</w:t>
      </w:r>
      <w:r w:rsidR="00D83DDD"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In the Netherlands, use of the Rules is well established. The Attorney-General for the Supreme Court has stated</w:t>
      </w:r>
      <w:r w:rsidR="00562C49"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543B66" w:rsidRPr="00001F7B">
        <w:rPr>
          <w:rFonts w:asciiTheme="minorHAnsi" w:eastAsia="Times New Roman" w:hAnsiTheme="minorHAnsi" w:cstheme="minorHAnsi"/>
          <w:color w:val="141414"/>
          <w:sz w:val="20"/>
          <w:szCs w:val="20"/>
          <w:bdr w:val="none" w:sz="0" w:space="0" w:color="auto" w:frame="1"/>
          <w:shd w:val="clear" w:color="auto" w:fill="FFFFFF"/>
          <w:lang w:eastAsia="en-GB"/>
        </w:rPr>
        <w:t>(Opinion of 22.5.2015,</w:t>
      </w:r>
      <w:r w:rsidR="00543B66" w:rsidRPr="00001F7B">
        <w:rPr>
          <w:rFonts w:asciiTheme="minorHAnsi" w:eastAsia="Times New Roman" w:hAnsiTheme="minorHAnsi" w:cstheme="minorHAnsi"/>
          <w:b/>
          <w:bCs/>
          <w:color w:val="333333"/>
          <w:sz w:val="20"/>
          <w:szCs w:val="20"/>
          <w:lang w:eastAsia="en-GB"/>
        </w:rPr>
        <w:t xml:space="preserve"> </w:t>
      </w:r>
      <w:r w:rsidR="00543B66" w:rsidRPr="00001F7B">
        <w:rPr>
          <w:rFonts w:asciiTheme="minorHAnsi" w:eastAsia="Times New Roman" w:hAnsiTheme="minorHAnsi" w:cstheme="minorHAnsi"/>
          <w:color w:val="333333"/>
          <w:sz w:val="20"/>
          <w:szCs w:val="20"/>
          <w:lang w:eastAsia="en-GB"/>
        </w:rPr>
        <w:t>ECLI:</w:t>
      </w:r>
      <w:r w:rsidR="00543B66" w:rsidRPr="00001F7B">
        <w:rPr>
          <w:rFonts w:asciiTheme="minorHAnsi" w:eastAsia="Times New Roman" w:hAnsiTheme="minorHAnsi" w:cstheme="minorHAnsi"/>
          <w:color w:val="auto"/>
          <w:sz w:val="20"/>
          <w:szCs w:val="20"/>
          <w:lang w:eastAsia="en-GB"/>
        </w:rPr>
        <w:t>N</w:t>
      </w:r>
      <w:r w:rsidR="00543B66" w:rsidRPr="00001F7B">
        <w:rPr>
          <w:rFonts w:asciiTheme="minorHAnsi" w:eastAsia="Times New Roman" w:hAnsiTheme="minorHAnsi" w:cstheme="minorHAnsi"/>
          <w:color w:val="333333"/>
          <w:sz w:val="20"/>
          <w:szCs w:val="20"/>
          <w:lang w:eastAsia="en-GB"/>
        </w:rPr>
        <w:t>L:PHR:2015:691</w:t>
      </w:r>
      <w:r w:rsidR="00D83DDD" w:rsidRPr="00001F7B">
        <w:rPr>
          <w:rFonts w:asciiTheme="minorHAnsi" w:eastAsia="Times New Roman" w:hAnsiTheme="minorHAnsi" w:cstheme="minorHAnsi"/>
          <w:color w:val="141414"/>
          <w:sz w:val="20"/>
          <w:szCs w:val="20"/>
          <w:bdr w:val="none" w:sz="0" w:space="0" w:color="auto" w:frame="1"/>
          <w:shd w:val="clear" w:color="auto" w:fill="FFFFFF"/>
          <w:lang w:eastAsia="en-GB"/>
        </w:rPr>
        <w:t>:</w:t>
      </w:r>
      <w:r w:rsidR="00D83DDD" w:rsidRPr="00001F7B">
        <w:rPr>
          <w:rFonts w:asciiTheme="minorHAnsi" w:eastAsia="Times New Roman" w:hAnsiTheme="minorHAnsi" w:cstheme="minorHAnsi"/>
          <w:color w:val="333333"/>
          <w:sz w:val="20"/>
          <w:szCs w:val="20"/>
          <w:shd w:val="clear" w:color="auto" w:fill="FFFFFF"/>
          <w:lang w:eastAsia="en-GB"/>
        </w:rPr>
        <w:t xml:space="preserve"> para. 2.4: “</w:t>
      </w:r>
      <w:r w:rsidR="00D83DDD" w:rsidRPr="00001F7B">
        <w:rPr>
          <w:rFonts w:asciiTheme="minorHAnsi" w:eastAsia="Times New Roman" w:hAnsiTheme="minorHAnsi" w:cstheme="minorHAnsi"/>
          <w:color w:val="000000"/>
          <w:sz w:val="20"/>
          <w:szCs w:val="20"/>
          <w:lang w:eastAsia="en-GB"/>
        </w:rPr>
        <w:t>It is settled case law of your Council that the CMR as an instrument of uniform law must be interpreted on the basis of the standards of art</w:t>
      </w:r>
      <w:r w:rsidR="00731050" w:rsidRPr="00001F7B">
        <w:rPr>
          <w:rFonts w:asciiTheme="minorHAnsi" w:eastAsia="Times New Roman" w:hAnsiTheme="minorHAnsi" w:cstheme="minorHAnsi"/>
          <w:color w:val="000000"/>
          <w:sz w:val="20"/>
          <w:szCs w:val="20"/>
          <w:lang w:eastAsia="en-GB"/>
        </w:rPr>
        <w:t>s</w:t>
      </w:r>
      <w:r w:rsidR="00D83DDD" w:rsidRPr="00001F7B">
        <w:rPr>
          <w:rFonts w:asciiTheme="minorHAnsi" w:eastAsia="Times New Roman" w:hAnsiTheme="minorHAnsi" w:cstheme="minorHAnsi"/>
          <w:color w:val="000000"/>
          <w:sz w:val="20"/>
          <w:szCs w:val="20"/>
          <w:lang w:eastAsia="en-GB"/>
        </w:rPr>
        <w:t> 31 and 32 of the Vienna Convention on the Law of Treaties of May 23, 1969</w:t>
      </w:r>
      <w:r w:rsidR="00543B66" w:rsidRPr="00001F7B">
        <w:rPr>
          <w:rFonts w:asciiTheme="minorHAnsi" w:eastAsia="Times New Roman" w:hAnsiTheme="minorHAnsi" w:cstheme="minorHAnsi"/>
          <w:color w:val="000000"/>
          <w:sz w:val="20"/>
          <w:szCs w:val="20"/>
          <w:lang w:eastAsia="en-GB"/>
        </w:rPr>
        <w:t>.”</w:t>
      </w:r>
      <w:r w:rsidR="00B801C3" w:rsidRPr="00001F7B">
        <w:rPr>
          <w:rFonts w:asciiTheme="minorHAnsi" w:eastAsia="Times New Roman" w:hAnsiTheme="minorHAnsi" w:cstheme="minorHAnsi"/>
          <w:color w:val="000000"/>
          <w:sz w:val="20"/>
          <w:szCs w:val="20"/>
          <w:lang w:eastAsia="en-GB"/>
        </w:rPr>
        <w:t xml:space="preserve">  Decisions on CMR include </w:t>
      </w:r>
      <w:r w:rsidR="002E0265" w:rsidRPr="00001F7B">
        <w:rPr>
          <w:rFonts w:asciiTheme="minorHAnsi" w:eastAsia="Times New Roman" w:hAnsiTheme="minorHAnsi" w:cstheme="minorHAnsi"/>
          <w:color w:val="000000"/>
          <w:sz w:val="20"/>
          <w:szCs w:val="20"/>
          <w:lang w:eastAsia="en-GB"/>
        </w:rPr>
        <w:t>HR, 29.6.90</w:t>
      </w:r>
      <w:r w:rsidR="00B62C1C" w:rsidRPr="00001F7B">
        <w:rPr>
          <w:rFonts w:asciiTheme="minorHAnsi" w:eastAsia="Times New Roman" w:hAnsiTheme="minorHAnsi" w:cstheme="minorHAnsi"/>
          <w:color w:val="000000"/>
          <w:sz w:val="20"/>
          <w:szCs w:val="20"/>
          <w:lang w:eastAsia="en-GB"/>
        </w:rPr>
        <w:t xml:space="preserve"> (</w:t>
      </w:r>
      <w:r w:rsidR="00B62C1C" w:rsidRPr="00001F7B">
        <w:rPr>
          <w:rFonts w:asciiTheme="minorHAnsi" w:eastAsia="Times New Roman" w:hAnsiTheme="minorHAnsi" w:cstheme="minorHAnsi"/>
          <w:i/>
          <w:iCs/>
          <w:color w:val="000000"/>
          <w:sz w:val="20"/>
          <w:szCs w:val="20"/>
          <w:lang w:eastAsia="en-GB"/>
        </w:rPr>
        <w:t xml:space="preserve">The Gabriele </w:t>
      </w:r>
      <w:proofErr w:type="spellStart"/>
      <w:r w:rsidR="00B62C1C" w:rsidRPr="00001F7B">
        <w:rPr>
          <w:rFonts w:asciiTheme="minorHAnsi" w:eastAsia="Times New Roman" w:hAnsiTheme="minorHAnsi" w:cstheme="minorHAnsi"/>
          <w:i/>
          <w:iCs/>
          <w:color w:val="000000"/>
          <w:sz w:val="20"/>
          <w:szCs w:val="20"/>
          <w:lang w:eastAsia="en-GB"/>
        </w:rPr>
        <w:t>Wehr</w:t>
      </w:r>
      <w:proofErr w:type="spellEnd"/>
      <w:r w:rsidR="00B62C1C" w:rsidRPr="00001F7B">
        <w:rPr>
          <w:rFonts w:asciiTheme="minorHAnsi" w:eastAsia="Times New Roman" w:hAnsiTheme="minorHAnsi" w:cstheme="minorHAnsi"/>
          <w:color w:val="000000"/>
          <w:sz w:val="20"/>
          <w:szCs w:val="20"/>
          <w:lang w:eastAsia="en-GB"/>
        </w:rPr>
        <w:t>)</w:t>
      </w:r>
      <w:r w:rsidR="002E0265" w:rsidRPr="00001F7B">
        <w:rPr>
          <w:rFonts w:asciiTheme="minorHAnsi" w:eastAsia="Times New Roman" w:hAnsiTheme="minorHAnsi" w:cstheme="minorHAnsi"/>
          <w:color w:val="000000"/>
          <w:sz w:val="20"/>
          <w:szCs w:val="20"/>
          <w:lang w:eastAsia="en-GB"/>
        </w:rPr>
        <w:t>, 1990 S &amp; S 110</w:t>
      </w:r>
      <w:r w:rsidR="00B62C1C" w:rsidRPr="00001F7B">
        <w:rPr>
          <w:rFonts w:asciiTheme="minorHAnsi" w:eastAsia="Times New Roman" w:hAnsiTheme="minorHAnsi" w:cstheme="minorHAnsi"/>
          <w:color w:val="000000"/>
          <w:sz w:val="20"/>
          <w:szCs w:val="20"/>
          <w:lang w:eastAsia="en-GB"/>
        </w:rPr>
        <w:t xml:space="preserve">, (1990) 25 ETL 58, </w:t>
      </w:r>
      <w:r w:rsidR="00B801C3" w:rsidRPr="00001F7B">
        <w:rPr>
          <w:rFonts w:asciiTheme="minorHAnsi" w:eastAsia="Times New Roman" w:hAnsiTheme="minorHAnsi" w:cstheme="minorHAnsi"/>
          <w:color w:val="000000"/>
          <w:sz w:val="20"/>
          <w:szCs w:val="20"/>
          <w:lang w:eastAsia="en-GB"/>
        </w:rPr>
        <w:t>HR, 18.12.2009 (2010) 45 ETL 101, HR 20.12.</w:t>
      </w:r>
      <w:r w:rsidR="00A04F00" w:rsidRPr="00001F7B">
        <w:rPr>
          <w:rFonts w:asciiTheme="minorHAnsi" w:eastAsia="Times New Roman" w:hAnsiTheme="minorHAnsi" w:cstheme="minorHAnsi"/>
          <w:color w:val="000000"/>
          <w:sz w:val="20"/>
          <w:szCs w:val="20"/>
          <w:lang w:eastAsia="en-GB"/>
        </w:rPr>
        <w:t>20</w:t>
      </w:r>
      <w:r w:rsidR="00B801C3" w:rsidRPr="00001F7B">
        <w:rPr>
          <w:rFonts w:asciiTheme="minorHAnsi" w:eastAsia="Times New Roman" w:hAnsiTheme="minorHAnsi" w:cstheme="minorHAnsi"/>
          <w:color w:val="000000"/>
          <w:sz w:val="20"/>
          <w:szCs w:val="20"/>
          <w:lang w:eastAsia="en-GB"/>
        </w:rPr>
        <w:t xml:space="preserve">13  </w:t>
      </w:r>
      <w:r w:rsidR="00A04F00" w:rsidRPr="00001F7B">
        <w:rPr>
          <w:rFonts w:asciiTheme="minorHAnsi" w:eastAsia="Times New Roman" w:hAnsiTheme="minorHAnsi" w:cstheme="minorHAnsi"/>
          <w:color w:val="000000"/>
          <w:sz w:val="20"/>
          <w:szCs w:val="20"/>
          <w:lang w:eastAsia="en-GB"/>
        </w:rPr>
        <w:t>ECLI:NL:HR:2013:2043.</w:t>
      </w:r>
      <w:r w:rsidR="00D83DDD"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proofErr w:type="spellStart"/>
      <w:r w:rsidR="00D152E4" w:rsidRPr="00001F7B">
        <w:rPr>
          <w:rFonts w:asciiTheme="minorHAnsi" w:eastAsia="Times New Roman" w:hAnsiTheme="minorHAnsi" w:cstheme="minorHAnsi"/>
          <w:color w:val="141414"/>
          <w:sz w:val="20"/>
          <w:szCs w:val="20"/>
          <w:bdr w:val="none" w:sz="0" w:space="0" w:color="auto" w:frame="1"/>
          <w:shd w:val="clear" w:color="auto" w:fill="FFFFFF"/>
          <w:lang w:val="de-DE" w:eastAsia="en-GB"/>
        </w:rPr>
        <w:t>Switzerland</w:t>
      </w:r>
      <w:proofErr w:type="spellEnd"/>
      <w:r w:rsidR="00D152E4" w:rsidRPr="00001F7B">
        <w:rPr>
          <w:rFonts w:asciiTheme="minorHAnsi" w:eastAsia="Times New Roman" w:hAnsiTheme="minorHAnsi" w:cstheme="minorHAnsi"/>
          <w:color w:val="141414"/>
          <w:sz w:val="20"/>
          <w:szCs w:val="20"/>
          <w:bdr w:val="none" w:sz="0" w:space="0" w:color="auto" w:frame="1"/>
          <w:shd w:val="clear" w:color="auto" w:fill="FFFFFF"/>
          <w:lang w:val="de-DE" w:eastAsia="en-GB"/>
        </w:rPr>
        <w:t xml:space="preserve">: </w:t>
      </w:r>
      <w:r w:rsidR="00D152E4" w:rsidRPr="00001F7B">
        <w:rPr>
          <w:rFonts w:asciiTheme="minorHAnsi" w:eastAsia="Times New Roman" w:hAnsiTheme="minorHAnsi" w:cstheme="minorHAnsi"/>
          <w:color w:val="201F1E"/>
          <w:sz w:val="20"/>
          <w:szCs w:val="20"/>
          <w:lang w:val="de-DE" w:eastAsia="en-GB"/>
        </w:rPr>
        <w:t>BG Schweiz, Urteil vom 25.09.2012</w:t>
      </w:r>
      <w:r w:rsidR="00035652" w:rsidRPr="00001F7B">
        <w:rPr>
          <w:rFonts w:asciiTheme="minorHAnsi" w:eastAsia="Times New Roman" w:hAnsiTheme="minorHAnsi" w:cstheme="minorHAnsi"/>
          <w:color w:val="201F1E"/>
          <w:sz w:val="20"/>
          <w:szCs w:val="20"/>
          <w:lang w:val="de-DE" w:eastAsia="en-GB"/>
        </w:rPr>
        <w:t>,</w:t>
      </w:r>
      <w:r w:rsidR="00D152E4" w:rsidRPr="00001F7B">
        <w:rPr>
          <w:rFonts w:asciiTheme="minorHAnsi" w:eastAsia="Times New Roman" w:hAnsiTheme="minorHAnsi" w:cstheme="minorHAnsi"/>
          <w:color w:val="201F1E"/>
          <w:sz w:val="20"/>
          <w:szCs w:val="20"/>
          <w:lang w:val="de-DE" w:eastAsia="en-GB"/>
        </w:rPr>
        <w:t xml:space="preserve"> </w:t>
      </w:r>
      <w:r w:rsidR="00035652" w:rsidRPr="00001F7B">
        <w:rPr>
          <w:rFonts w:asciiTheme="minorHAnsi" w:eastAsia="Times New Roman" w:hAnsiTheme="minorHAnsi" w:cstheme="minorHAnsi"/>
          <w:color w:val="201F1E"/>
          <w:sz w:val="20"/>
          <w:szCs w:val="20"/>
          <w:lang w:val="de-DE" w:eastAsia="en-GB"/>
        </w:rPr>
        <w:t>(</w:t>
      </w:r>
      <w:r w:rsidR="00D152E4" w:rsidRPr="00001F7B">
        <w:rPr>
          <w:rFonts w:asciiTheme="minorHAnsi" w:eastAsia="Times New Roman" w:hAnsiTheme="minorHAnsi" w:cstheme="minorHAnsi"/>
          <w:color w:val="201F1E"/>
          <w:sz w:val="20"/>
          <w:szCs w:val="20"/>
          <w:lang w:val="de-DE" w:eastAsia="en-GB"/>
        </w:rPr>
        <w:t>2013</w:t>
      </w:r>
      <w:r w:rsidR="00035652" w:rsidRPr="00001F7B">
        <w:rPr>
          <w:rFonts w:asciiTheme="minorHAnsi" w:eastAsia="Times New Roman" w:hAnsiTheme="minorHAnsi" w:cstheme="minorHAnsi"/>
          <w:color w:val="201F1E"/>
          <w:sz w:val="20"/>
          <w:szCs w:val="20"/>
          <w:lang w:val="de-DE" w:eastAsia="en-GB"/>
        </w:rPr>
        <w:t>)</w:t>
      </w:r>
      <w:r w:rsidR="00D152E4" w:rsidRPr="00001F7B">
        <w:rPr>
          <w:rFonts w:asciiTheme="minorHAnsi" w:eastAsia="Times New Roman" w:hAnsiTheme="minorHAnsi" w:cstheme="minorHAnsi"/>
          <w:color w:val="201F1E"/>
          <w:sz w:val="20"/>
          <w:szCs w:val="20"/>
          <w:lang w:val="de-DE" w:eastAsia="en-GB"/>
        </w:rPr>
        <w:t xml:space="preserve"> </w:t>
      </w:r>
      <w:proofErr w:type="spellStart"/>
      <w:r w:rsidR="00D152E4" w:rsidRPr="00001F7B">
        <w:rPr>
          <w:rFonts w:asciiTheme="minorHAnsi" w:eastAsia="Times New Roman" w:hAnsiTheme="minorHAnsi" w:cstheme="minorHAnsi"/>
          <w:color w:val="201F1E"/>
          <w:sz w:val="20"/>
          <w:szCs w:val="20"/>
          <w:lang w:val="de-DE" w:eastAsia="en-GB"/>
        </w:rPr>
        <w:t>TranspR</w:t>
      </w:r>
      <w:proofErr w:type="spellEnd"/>
      <w:r w:rsidR="00D152E4" w:rsidRPr="00001F7B">
        <w:rPr>
          <w:rFonts w:asciiTheme="minorHAnsi" w:eastAsia="Times New Roman" w:hAnsiTheme="minorHAnsi" w:cstheme="minorHAnsi"/>
          <w:color w:val="201F1E"/>
          <w:sz w:val="20"/>
          <w:szCs w:val="20"/>
          <w:lang w:val="de-DE" w:eastAsia="en-GB"/>
        </w:rPr>
        <w:t xml:space="preserve"> 120 (</w:t>
      </w:r>
      <w:proofErr w:type="spellStart"/>
      <w:r w:rsidR="00D152E4" w:rsidRPr="00001F7B">
        <w:rPr>
          <w:rFonts w:asciiTheme="minorHAnsi" w:eastAsia="Times New Roman" w:hAnsiTheme="minorHAnsi" w:cstheme="minorHAnsi"/>
          <w:color w:val="201F1E"/>
          <w:sz w:val="20"/>
          <w:szCs w:val="20"/>
          <w:lang w:val="de-DE" w:eastAsia="en-GB"/>
        </w:rPr>
        <w:t>kindly</w:t>
      </w:r>
      <w:proofErr w:type="spellEnd"/>
      <w:r w:rsidR="00D152E4" w:rsidRPr="00001F7B">
        <w:rPr>
          <w:rFonts w:asciiTheme="minorHAnsi" w:eastAsia="Times New Roman" w:hAnsiTheme="minorHAnsi" w:cstheme="minorHAnsi"/>
          <w:color w:val="201F1E"/>
          <w:sz w:val="20"/>
          <w:szCs w:val="20"/>
          <w:lang w:val="de-DE" w:eastAsia="en-GB"/>
        </w:rPr>
        <w:t xml:space="preserve"> </w:t>
      </w:r>
      <w:proofErr w:type="spellStart"/>
      <w:r w:rsidR="00D152E4" w:rsidRPr="00001F7B">
        <w:rPr>
          <w:rFonts w:asciiTheme="minorHAnsi" w:eastAsia="Times New Roman" w:hAnsiTheme="minorHAnsi" w:cstheme="minorHAnsi"/>
          <w:color w:val="201F1E"/>
          <w:sz w:val="20"/>
          <w:szCs w:val="20"/>
          <w:lang w:val="de-DE" w:eastAsia="en-GB"/>
        </w:rPr>
        <w:t>supplied</w:t>
      </w:r>
      <w:proofErr w:type="spellEnd"/>
      <w:r w:rsidR="00D152E4" w:rsidRPr="00001F7B">
        <w:rPr>
          <w:rFonts w:asciiTheme="minorHAnsi" w:eastAsia="Times New Roman" w:hAnsiTheme="minorHAnsi" w:cstheme="minorHAnsi"/>
          <w:color w:val="201F1E"/>
          <w:sz w:val="20"/>
          <w:szCs w:val="20"/>
          <w:lang w:val="de-DE" w:eastAsia="en-GB"/>
        </w:rPr>
        <w:t xml:space="preserve"> </w:t>
      </w:r>
      <w:proofErr w:type="spellStart"/>
      <w:r w:rsidR="00D152E4" w:rsidRPr="00001F7B">
        <w:rPr>
          <w:rFonts w:asciiTheme="minorHAnsi" w:eastAsia="Times New Roman" w:hAnsiTheme="minorHAnsi" w:cstheme="minorHAnsi"/>
          <w:color w:val="201F1E"/>
          <w:sz w:val="20"/>
          <w:szCs w:val="20"/>
          <w:lang w:val="de-DE" w:eastAsia="en-GB"/>
        </w:rPr>
        <w:t>by</w:t>
      </w:r>
      <w:proofErr w:type="spellEnd"/>
      <w:r w:rsidR="00D152E4" w:rsidRPr="00001F7B">
        <w:rPr>
          <w:rFonts w:asciiTheme="minorHAnsi" w:eastAsia="Times New Roman" w:hAnsiTheme="minorHAnsi" w:cstheme="minorHAnsi"/>
          <w:color w:val="201F1E"/>
          <w:sz w:val="20"/>
          <w:szCs w:val="20"/>
          <w:lang w:val="de-DE" w:eastAsia="en-GB"/>
        </w:rPr>
        <w:t xml:space="preserve"> Tobias). </w:t>
      </w:r>
      <w:r w:rsidR="00D7699B" w:rsidRPr="00001F7B">
        <w:rPr>
          <w:rFonts w:asciiTheme="minorHAnsi" w:eastAsia="Times New Roman" w:hAnsiTheme="minorHAnsi" w:cstheme="minorHAnsi"/>
          <w:color w:val="141414"/>
          <w:sz w:val="20"/>
          <w:szCs w:val="20"/>
          <w:bdr w:val="none" w:sz="0" w:space="0" w:color="auto" w:frame="1"/>
          <w:shd w:val="clear" w:color="auto" w:fill="FFFFFF"/>
          <w:lang w:eastAsia="en-GB"/>
        </w:rPr>
        <w:t>For France</w:t>
      </w:r>
      <w:r w:rsidR="00A24500"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(along with a comparison of UK courts)</w:t>
      </w:r>
      <w:r w:rsidR="00D7699B"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see </w:t>
      </w:r>
      <w:proofErr w:type="spellStart"/>
      <w:r w:rsidR="00D7699B" w:rsidRPr="00001F7B">
        <w:rPr>
          <w:rFonts w:asciiTheme="minorHAnsi" w:eastAsia="Times New Roman" w:hAnsiTheme="minorHAnsi" w:cstheme="minorHAnsi"/>
          <w:color w:val="141414"/>
          <w:sz w:val="20"/>
          <w:szCs w:val="20"/>
          <w:bdr w:val="none" w:sz="0" w:space="0" w:color="auto" w:frame="1"/>
          <w:shd w:val="clear" w:color="auto" w:fill="FFFFFF"/>
          <w:lang w:eastAsia="en-GB"/>
        </w:rPr>
        <w:t>Bjorge</w:t>
      </w:r>
      <w:proofErr w:type="spellEnd"/>
      <w:r w:rsidR="00D7699B"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The Vienna Rules </w:t>
      </w:r>
      <w:r w:rsidR="00B9592A"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above, </w:t>
      </w:r>
      <w:proofErr w:type="spellStart"/>
      <w:r w:rsidR="00B9592A" w:rsidRPr="00001F7B">
        <w:rPr>
          <w:rFonts w:asciiTheme="minorHAnsi" w:eastAsia="Times New Roman" w:hAnsiTheme="minorHAnsi" w:cstheme="minorHAnsi"/>
          <w:color w:val="141414"/>
          <w:sz w:val="20"/>
          <w:szCs w:val="20"/>
          <w:bdr w:val="none" w:sz="0" w:space="0" w:color="auto" w:frame="1"/>
          <w:shd w:val="clear" w:color="auto" w:fill="FFFFFF"/>
          <w:lang w:eastAsia="en-GB"/>
        </w:rPr>
        <w:t>fn</w:t>
      </w:r>
      <w:proofErr w:type="spellEnd"/>
      <w:r w:rsidR="00B9592A"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D152E4" w:rsidRPr="00001F7B">
        <w:rPr>
          <w:rFonts w:asciiTheme="minorHAnsi" w:eastAsia="Times New Roman" w:hAnsiTheme="minorHAnsi" w:cstheme="minorHAnsi"/>
          <w:color w:val="141414"/>
          <w:sz w:val="20"/>
          <w:szCs w:val="20"/>
          <w:bdr w:val="none" w:sz="0" w:space="0" w:color="auto" w:frame="1"/>
          <w:shd w:val="clear" w:color="auto" w:fill="FFFFFF"/>
          <w:lang w:eastAsia="en-GB"/>
        </w:rPr>
        <w:t>6</w:t>
      </w:r>
      <w:r w:rsidR="007F033D">
        <w:rPr>
          <w:rFonts w:asciiTheme="minorHAnsi" w:eastAsia="Times New Roman" w:hAnsiTheme="minorHAnsi" w:cstheme="minorHAnsi"/>
          <w:color w:val="141414"/>
          <w:sz w:val="20"/>
          <w:szCs w:val="20"/>
          <w:bdr w:val="none" w:sz="0" w:space="0" w:color="auto" w:frame="1"/>
          <w:shd w:val="clear" w:color="auto" w:fill="FFFFFF"/>
          <w:lang w:eastAsia="en-GB"/>
        </w:rPr>
        <w:t>9</w:t>
      </w:r>
      <w:r w:rsidR="00B9592A"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D7699B" w:rsidRPr="00001F7B">
        <w:rPr>
          <w:rFonts w:asciiTheme="minorHAnsi" w:eastAsia="Times New Roman" w:hAnsiTheme="minorHAnsi" w:cstheme="minorHAnsi"/>
          <w:color w:val="141414"/>
          <w:sz w:val="20"/>
          <w:szCs w:val="20"/>
          <w:bdr w:val="none" w:sz="0" w:space="0" w:color="auto" w:frame="1"/>
          <w:shd w:val="clear" w:color="auto" w:fill="FFFFFF"/>
          <w:lang w:eastAsia="en-GB"/>
        </w:rPr>
        <w:t>p</w:t>
      </w:r>
      <w:r w:rsidR="00B9592A"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D7699B" w:rsidRPr="00001F7B">
        <w:rPr>
          <w:rFonts w:asciiTheme="minorHAnsi" w:eastAsia="Times New Roman" w:hAnsiTheme="minorHAnsi" w:cstheme="minorHAnsi"/>
          <w:color w:val="141414"/>
          <w:sz w:val="20"/>
          <w:szCs w:val="20"/>
          <w:bdr w:val="none" w:sz="0" w:space="0" w:color="auto" w:frame="1"/>
          <w:shd w:val="clear" w:color="auto" w:fill="FFFFFF"/>
          <w:lang w:eastAsia="en-GB"/>
        </w:rPr>
        <w:t>8</w:t>
      </w:r>
      <w:r w:rsidR="00A24500" w:rsidRPr="00001F7B">
        <w:rPr>
          <w:rFonts w:asciiTheme="minorHAnsi" w:eastAsia="Times New Roman" w:hAnsiTheme="minorHAnsi" w:cstheme="minorHAnsi"/>
          <w:color w:val="141414"/>
          <w:sz w:val="20"/>
          <w:szCs w:val="20"/>
          <w:bdr w:val="none" w:sz="0" w:space="0" w:color="auto" w:frame="1"/>
          <w:shd w:val="clear" w:color="auto" w:fill="FFFFFF"/>
          <w:lang w:eastAsia="en-GB"/>
        </w:rPr>
        <w:t>6</w:t>
      </w:r>
      <w:r w:rsidR="003A0C99"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and </w:t>
      </w:r>
      <w:r w:rsidR="008A1673" w:rsidRPr="00001F7B">
        <w:rPr>
          <w:rFonts w:asciiTheme="minorHAnsi" w:eastAsia="Times New Roman" w:hAnsiTheme="minorHAnsi" w:cstheme="minorHAnsi"/>
          <w:color w:val="141414"/>
          <w:sz w:val="20"/>
          <w:szCs w:val="20"/>
          <w:bdr w:val="none" w:sz="0" w:space="0" w:color="auto" w:frame="1"/>
          <w:shd w:val="clear" w:color="auto" w:fill="FFFFFF"/>
          <w:lang w:eastAsia="en-GB"/>
        </w:rPr>
        <w:t>‘‘Contractual” and “Statutory” Treaty Interpretation in Domestic Courts? Convergence around the</w:t>
      </w:r>
      <w:r w:rsidR="005E453D"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8A1673"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Vienna Rules’ </w:t>
      </w:r>
      <w:proofErr w:type="spellStart"/>
      <w:r w:rsidR="00A24500" w:rsidRPr="00001F7B">
        <w:rPr>
          <w:rFonts w:asciiTheme="minorHAnsi" w:eastAsia="Times New Roman" w:hAnsiTheme="minorHAnsi" w:cstheme="minorHAnsi"/>
          <w:color w:val="141414"/>
          <w:sz w:val="20"/>
          <w:szCs w:val="20"/>
          <w:bdr w:val="none" w:sz="0" w:space="0" w:color="auto" w:frame="1"/>
          <w:shd w:val="clear" w:color="auto" w:fill="FFFFFF"/>
          <w:lang w:eastAsia="en-GB"/>
        </w:rPr>
        <w:t>ch</w:t>
      </w:r>
      <w:proofErr w:type="spellEnd"/>
      <w:r w:rsidR="00A24500"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8A1673"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4 of </w:t>
      </w:r>
      <w:proofErr w:type="spellStart"/>
      <w:r w:rsidR="008A1673" w:rsidRPr="00001F7B">
        <w:rPr>
          <w:rFonts w:asciiTheme="minorHAnsi" w:eastAsia="Times New Roman" w:hAnsiTheme="minorHAnsi" w:cstheme="minorHAnsi"/>
          <w:color w:val="141414"/>
          <w:sz w:val="20"/>
          <w:szCs w:val="20"/>
          <w:bdr w:val="none" w:sz="0" w:space="0" w:color="auto" w:frame="1"/>
          <w:shd w:val="clear" w:color="auto" w:fill="FFFFFF"/>
          <w:lang w:eastAsia="en-GB"/>
        </w:rPr>
        <w:t>Aust</w:t>
      </w:r>
      <w:proofErr w:type="spellEnd"/>
      <w:r w:rsidR="008A1673"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and Nolte, above, </w:t>
      </w:r>
      <w:proofErr w:type="spellStart"/>
      <w:r w:rsidR="008A1673" w:rsidRPr="00001F7B">
        <w:rPr>
          <w:rFonts w:asciiTheme="minorHAnsi" w:eastAsia="Times New Roman" w:hAnsiTheme="minorHAnsi" w:cstheme="minorHAnsi"/>
          <w:color w:val="141414"/>
          <w:sz w:val="20"/>
          <w:szCs w:val="20"/>
          <w:bdr w:val="none" w:sz="0" w:space="0" w:color="auto" w:frame="1"/>
          <w:shd w:val="clear" w:color="auto" w:fill="FFFFFF"/>
          <w:lang w:eastAsia="en-GB"/>
        </w:rPr>
        <w:t>fn</w:t>
      </w:r>
      <w:proofErr w:type="spellEnd"/>
      <w:r w:rsidR="008A1673"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D152E4" w:rsidRPr="00001F7B">
        <w:rPr>
          <w:rFonts w:asciiTheme="minorHAnsi" w:eastAsia="Times New Roman" w:hAnsiTheme="minorHAnsi" w:cstheme="minorHAnsi"/>
          <w:color w:val="141414"/>
          <w:sz w:val="20"/>
          <w:szCs w:val="20"/>
          <w:bdr w:val="none" w:sz="0" w:space="0" w:color="auto" w:frame="1"/>
          <w:shd w:val="clear" w:color="auto" w:fill="FFFFFF"/>
          <w:lang w:eastAsia="en-GB"/>
        </w:rPr>
        <w:t>3</w:t>
      </w:r>
      <w:r w:rsidR="008A1673"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where he says p </w:t>
      </w:r>
      <w:r w:rsidR="002E1AE3" w:rsidRPr="00001F7B">
        <w:rPr>
          <w:rFonts w:asciiTheme="minorHAnsi" w:eastAsia="Times New Roman" w:hAnsiTheme="minorHAnsi" w:cstheme="minorHAnsi"/>
          <w:color w:val="141414"/>
          <w:sz w:val="20"/>
          <w:szCs w:val="20"/>
          <w:bdr w:val="none" w:sz="0" w:space="0" w:color="auto" w:frame="1"/>
          <w:shd w:val="clear" w:color="auto" w:fill="FFFFFF"/>
          <w:lang w:eastAsia="en-GB"/>
        </w:rPr>
        <w:t>71</w:t>
      </w:r>
      <w:r w:rsidR="005E453D"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w:t>
      </w:r>
      <w:r w:rsidR="002E1AE3" w:rsidRPr="00001F7B">
        <w:rPr>
          <w:rFonts w:asciiTheme="minorHAnsi" w:eastAsia="Times New Roman" w:hAnsiTheme="minorHAnsi" w:cstheme="minorHAnsi"/>
          <w:color w:val="141414"/>
          <w:sz w:val="20"/>
          <w:szCs w:val="20"/>
          <w:bdr w:val="none" w:sz="0" w:space="0" w:color="auto" w:frame="1"/>
          <w:shd w:val="clear" w:color="auto" w:fill="FFFFFF"/>
          <w:lang w:eastAsia="en-GB"/>
        </w:rPr>
        <w:t>”As will have been seen, by reason of the influence of the Vienna Convention, the contrasts between the French and UK approach have been substantially minimized, both legal systems having edged towards the approach of the Vienna rules.” (</w:t>
      </w:r>
      <w:r w:rsidR="00753566" w:rsidRPr="00001F7B">
        <w:rPr>
          <w:rFonts w:asciiTheme="minorHAnsi" w:eastAsia="Times New Roman" w:hAnsiTheme="minorHAnsi" w:cstheme="minorHAnsi"/>
          <w:color w:val="141414"/>
          <w:sz w:val="20"/>
          <w:szCs w:val="20"/>
          <w:bdr w:val="none" w:sz="0" w:space="0" w:color="auto" w:frame="1"/>
          <w:shd w:val="clear" w:color="auto" w:fill="FFFFFF"/>
          <w:lang w:eastAsia="en-GB"/>
        </w:rPr>
        <w:t>However</w:t>
      </w:r>
      <w:r w:rsidR="002E1AE3"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the case references </w:t>
      </w:r>
      <w:r w:rsidR="00275F11" w:rsidRPr="00001F7B">
        <w:rPr>
          <w:rFonts w:asciiTheme="minorHAnsi" w:eastAsia="Times New Roman" w:hAnsiTheme="minorHAnsi" w:cstheme="minorHAnsi"/>
          <w:color w:val="141414"/>
          <w:sz w:val="20"/>
          <w:szCs w:val="20"/>
          <w:bdr w:val="none" w:sz="0" w:space="0" w:color="auto" w:frame="1"/>
          <w:shd w:val="clear" w:color="auto" w:fill="FFFFFF"/>
          <w:lang w:eastAsia="en-GB"/>
        </w:rPr>
        <w:t>are</w:t>
      </w:r>
      <w:r w:rsidR="002B1101"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almost entirely</w:t>
      </w:r>
      <w:r w:rsidR="00275F11" w:rsidRPr="00001F7B">
        <w:rPr>
          <w:rFonts w:asciiTheme="minorHAnsi" w:eastAsia="Times New Roman" w:hAnsiTheme="minorHAnsi" w:cstheme="minorHAnsi"/>
          <w:color w:val="141414"/>
          <w:sz w:val="20"/>
          <w:szCs w:val="20"/>
          <w:bdr w:val="none" w:sz="0" w:space="0" w:color="auto" w:frame="1"/>
          <w:shd w:val="clear" w:color="auto" w:fill="FFFFFF"/>
          <w:lang w:eastAsia="en-GB"/>
        </w:rPr>
        <w:t xml:space="preserve"> to cases unrelated to uni</w:t>
      </w:r>
      <w:r w:rsidR="002B1101" w:rsidRPr="00001F7B">
        <w:rPr>
          <w:rFonts w:asciiTheme="minorHAnsi" w:eastAsia="Times New Roman" w:hAnsiTheme="minorHAnsi" w:cstheme="minorHAnsi"/>
          <w:color w:val="141414"/>
          <w:sz w:val="20"/>
          <w:szCs w:val="20"/>
          <w:bdr w:val="none" w:sz="0" w:space="0" w:color="auto" w:frame="1"/>
          <w:shd w:val="clear" w:color="auto" w:fill="FFFFFF"/>
          <w:lang w:eastAsia="en-GB"/>
        </w:rPr>
        <w:t>form private law)</w:t>
      </w:r>
    </w:p>
  </w:footnote>
  <w:footnote w:id="86">
    <w:p w14:paraId="3FCB8952" w14:textId="5B56D625" w:rsidR="00776F67" w:rsidRPr="00001F7B" w:rsidRDefault="00776F67" w:rsidP="00776F67">
      <w:pPr>
        <w:pStyle w:val="FootnoteText"/>
        <w:rPr>
          <w:rFonts w:cstheme="minorHAnsi"/>
        </w:rPr>
      </w:pPr>
      <w:r w:rsidRPr="00001F7B">
        <w:rPr>
          <w:rStyle w:val="FootnoteReference"/>
          <w:rFonts w:cstheme="minorHAnsi"/>
        </w:rPr>
        <w:footnoteRef/>
      </w:r>
      <w:r w:rsidRPr="00001F7B">
        <w:rPr>
          <w:rFonts w:cstheme="minorHAnsi"/>
        </w:rPr>
        <w:t xml:space="preserve"> </w:t>
      </w:r>
      <w:r w:rsidR="0082598F" w:rsidRPr="00001F7B">
        <w:rPr>
          <w:rFonts w:cstheme="minorHAnsi"/>
        </w:rPr>
        <w:t xml:space="preserve">Above </w:t>
      </w:r>
      <w:proofErr w:type="spellStart"/>
      <w:r w:rsidR="0082598F" w:rsidRPr="00001F7B">
        <w:rPr>
          <w:rFonts w:cstheme="minorHAnsi"/>
        </w:rPr>
        <w:t>f</w:t>
      </w:r>
      <w:r w:rsidRPr="00001F7B">
        <w:rPr>
          <w:rFonts w:cstheme="minorHAnsi"/>
        </w:rPr>
        <w:t>n</w:t>
      </w:r>
      <w:proofErr w:type="spellEnd"/>
      <w:r w:rsidRPr="00001F7B">
        <w:rPr>
          <w:rFonts w:cstheme="minorHAnsi"/>
        </w:rPr>
        <w:t xml:space="preserve"> </w:t>
      </w:r>
      <w:r w:rsidR="00277D26" w:rsidRPr="00001F7B">
        <w:rPr>
          <w:rFonts w:cstheme="minorHAnsi"/>
        </w:rPr>
        <w:t>3</w:t>
      </w:r>
      <w:r w:rsidR="008F1D7D" w:rsidRPr="00001F7B">
        <w:rPr>
          <w:rFonts w:cstheme="minorHAnsi"/>
        </w:rPr>
        <w:t>, see generally</w:t>
      </w:r>
      <w:r w:rsidR="0082598F" w:rsidRPr="00001F7B">
        <w:rPr>
          <w:rFonts w:cstheme="minorHAnsi"/>
        </w:rPr>
        <w:t xml:space="preserve">. In </w:t>
      </w:r>
      <w:r w:rsidRPr="00001F7B">
        <w:rPr>
          <w:rFonts w:cstheme="minorHAnsi"/>
        </w:rPr>
        <w:t>the USA for example he indicates (at p</w:t>
      </w:r>
      <w:r w:rsidR="004B60F1" w:rsidRPr="00001F7B">
        <w:rPr>
          <w:rFonts w:cstheme="minorHAnsi"/>
        </w:rPr>
        <w:t xml:space="preserve"> </w:t>
      </w:r>
      <w:r w:rsidR="009E2B75" w:rsidRPr="00001F7B">
        <w:rPr>
          <w:rFonts w:cstheme="minorHAnsi"/>
        </w:rPr>
        <w:t>21</w:t>
      </w:r>
      <w:r w:rsidRPr="00001F7B">
        <w:rPr>
          <w:rFonts w:cstheme="minorHAnsi"/>
        </w:rPr>
        <w:t>) that whilst the State Department’s long-standing view</w:t>
      </w:r>
      <w:r w:rsidR="008F1D7D" w:rsidRPr="00001F7B">
        <w:rPr>
          <w:rFonts w:cstheme="minorHAnsi"/>
        </w:rPr>
        <w:t xml:space="preserve"> </w:t>
      </w:r>
      <w:r w:rsidRPr="00001F7B">
        <w:rPr>
          <w:rFonts w:cstheme="minorHAnsi"/>
        </w:rPr>
        <w:t xml:space="preserve">is that the VCLT’s interpretive principles represent custom, deference to this by the courts does not extend to the methodology to be used in treaty interpretation. This is not always the case as in </w:t>
      </w:r>
      <w:r w:rsidRPr="00001F7B">
        <w:rPr>
          <w:rFonts w:cstheme="minorHAnsi"/>
          <w:i/>
          <w:iCs/>
        </w:rPr>
        <w:t>Busb</w:t>
      </w:r>
      <w:r w:rsidR="006B4DA0" w:rsidRPr="00001F7B">
        <w:rPr>
          <w:rFonts w:cstheme="minorHAnsi"/>
          <w:i/>
          <w:iCs/>
        </w:rPr>
        <w:t xml:space="preserve">y v </w:t>
      </w:r>
      <w:r w:rsidR="006B4DA0" w:rsidRPr="00001F7B">
        <w:rPr>
          <w:rFonts w:eastAsia="Arial" w:cstheme="minorHAnsi"/>
          <w:i/>
          <w:iCs/>
          <w:color w:val="000000"/>
        </w:rPr>
        <w:t>State of Alaska</w:t>
      </w:r>
      <w:r w:rsidR="006B4DA0" w:rsidRPr="00001F7B">
        <w:rPr>
          <w:rFonts w:eastAsia="Arial" w:cstheme="minorHAnsi"/>
          <w:color w:val="000000"/>
        </w:rPr>
        <w:t xml:space="preserve">, above, </w:t>
      </w:r>
      <w:proofErr w:type="spellStart"/>
      <w:r w:rsidR="006B4DA0" w:rsidRPr="00001F7B">
        <w:rPr>
          <w:rFonts w:eastAsia="Arial" w:cstheme="minorHAnsi"/>
          <w:color w:val="000000"/>
        </w:rPr>
        <w:t>fn</w:t>
      </w:r>
      <w:proofErr w:type="spellEnd"/>
      <w:r w:rsidR="006B4DA0" w:rsidRPr="00001F7B">
        <w:rPr>
          <w:rFonts w:eastAsia="Arial" w:cstheme="minorHAnsi"/>
          <w:color w:val="000000"/>
        </w:rPr>
        <w:t xml:space="preserve"> </w:t>
      </w:r>
      <w:r w:rsidR="00277D26" w:rsidRPr="00001F7B">
        <w:rPr>
          <w:rFonts w:eastAsia="Arial" w:cstheme="minorHAnsi"/>
          <w:color w:val="000000"/>
        </w:rPr>
        <w:t>63</w:t>
      </w:r>
      <w:r w:rsidR="006B4DA0" w:rsidRPr="00001F7B">
        <w:rPr>
          <w:rFonts w:eastAsia="Arial" w:cstheme="minorHAnsi"/>
          <w:color w:val="000000"/>
        </w:rPr>
        <w:t xml:space="preserve">, and considered further below, text to </w:t>
      </w:r>
      <w:proofErr w:type="spellStart"/>
      <w:r w:rsidR="006B4DA0" w:rsidRPr="00001F7B">
        <w:rPr>
          <w:rFonts w:eastAsia="Arial" w:cstheme="minorHAnsi"/>
          <w:color w:val="000000"/>
        </w:rPr>
        <w:t>fn</w:t>
      </w:r>
      <w:proofErr w:type="spellEnd"/>
      <w:r w:rsidR="006B4DA0" w:rsidRPr="00001F7B">
        <w:rPr>
          <w:rFonts w:eastAsia="Arial" w:cstheme="minorHAnsi"/>
          <w:color w:val="000000"/>
        </w:rPr>
        <w:t xml:space="preserve"> </w:t>
      </w:r>
      <w:r w:rsidR="00277D26" w:rsidRPr="00001F7B">
        <w:rPr>
          <w:rFonts w:eastAsia="Arial" w:cstheme="minorHAnsi"/>
          <w:color w:val="000000"/>
        </w:rPr>
        <w:t>24</w:t>
      </w:r>
      <w:r w:rsidR="00AB421F" w:rsidRPr="00001F7B">
        <w:rPr>
          <w:rFonts w:eastAsia="Arial" w:cstheme="minorHAnsi"/>
          <w:color w:val="000000"/>
        </w:rPr>
        <w:t>8</w:t>
      </w:r>
      <w:r w:rsidR="006B4DA0" w:rsidRPr="00001F7B">
        <w:rPr>
          <w:rFonts w:eastAsia="Arial" w:cstheme="minorHAnsi"/>
          <w:color w:val="000000"/>
        </w:rPr>
        <w:t>.</w:t>
      </w:r>
    </w:p>
  </w:footnote>
  <w:footnote w:id="87">
    <w:p w14:paraId="37EBA80A" w14:textId="5B9DB86A" w:rsidR="00116C8E" w:rsidRPr="00001F7B" w:rsidRDefault="00116C8E">
      <w:pPr>
        <w:pStyle w:val="FootnoteText"/>
        <w:rPr>
          <w:rFonts w:cstheme="minorHAnsi"/>
        </w:rPr>
      </w:pPr>
      <w:r w:rsidRPr="00001F7B">
        <w:rPr>
          <w:rStyle w:val="FootnoteReference"/>
          <w:rFonts w:cstheme="minorHAnsi"/>
        </w:rPr>
        <w:footnoteRef/>
      </w:r>
      <w:r w:rsidRPr="00001F7B">
        <w:rPr>
          <w:rFonts w:cstheme="minorHAnsi"/>
        </w:rPr>
        <w:t xml:space="preserve"> See further belo</w:t>
      </w:r>
      <w:r w:rsidR="002B1101" w:rsidRPr="00001F7B">
        <w:rPr>
          <w:rFonts w:cstheme="minorHAnsi"/>
        </w:rPr>
        <w:t xml:space="preserve">w </w:t>
      </w:r>
      <w:r w:rsidR="002B1101" w:rsidRPr="00001F7B">
        <w:rPr>
          <w:rFonts w:cstheme="minorHAnsi"/>
          <w:b/>
          <w:bCs/>
        </w:rPr>
        <w:t>2.4.2</w:t>
      </w:r>
      <w:r w:rsidR="002B1101" w:rsidRPr="00001F7B">
        <w:rPr>
          <w:rFonts w:cstheme="minorHAnsi"/>
        </w:rPr>
        <w:t>.</w:t>
      </w:r>
    </w:p>
  </w:footnote>
  <w:footnote w:id="88">
    <w:p w14:paraId="134A2335" w14:textId="1EBA97AC" w:rsidR="005832EA" w:rsidRPr="00001F7B" w:rsidRDefault="00367C67" w:rsidP="005832EA">
      <w:pPr>
        <w:pStyle w:val="FootnoteText"/>
        <w:rPr>
          <w:rFonts w:cstheme="minorHAnsi"/>
        </w:rPr>
      </w:pPr>
      <w:r w:rsidRPr="00001F7B">
        <w:rPr>
          <w:rStyle w:val="FootnoteReference"/>
          <w:rFonts w:cstheme="minorHAnsi"/>
        </w:rPr>
        <w:footnoteRef/>
      </w:r>
      <w:r w:rsidRPr="00001F7B">
        <w:rPr>
          <w:rFonts w:cstheme="minorHAnsi"/>
        </w:rPr>
        <w:t xml:space="preserve"> </w:t>
      </w:r>
      <w:r w:rsidR="006B4DA0" w:rsidRPr="00001F7B">
        <w:rPr>
          <w:rFonts w:cstheme="minorHAnsi"/>
        </w:rPr>
        <w:t xml:space="preserve">Above, </w:t>
      </w:r>
      <w:proofErr w:type="spellStart"/>
      <w:r w:rsidR="006B4DA0" w:rsidRPr="00001F7B">
        <w:rPr>
          <w:rFonts w:cstheme="minorHAnsi"/>
        </w:rPr>
        <w:t>f</w:t>
      </w:r>
      <w:r w:rsidRPr="00001F7B">
        <w:rPr>
          <w:rFonts w:cstheme="minorHAnsi"/>
        </w:rPr>
        <w:t>n</w:t>
      </w:r>
      <w:proofErr w:type="spellEnd"/>
      <w:r w:rsidRPr="00001F7B">
        <w:rPr>
          <w:rFonts w:cstheme="minorHAnsi"/>
        </w:rPr>
        <w:t xml:space="preserve"> </w:t>
      </w:r>
      <w:r w:rsidR="00277D26" w:rsidRPr="00001F7B">
        <w:rPr>
          <w:rFonts w:cstheme="minorHAnsi"/>
        </w:rPr>
        <w:t>3</w:t>
      </w:r>
      <w:r w:rsidRPr="00001F7B">
        <w:rPr>
          <w:rFonts w:cstheme="minorHAnsi"/>
        </w:rPr>
        <w:t>, p 14.  He goes on to say: “</w:t>
      </w:r>
      <w:r w:rsidR="005832EA" w:rsidRPr="00001F7B">
        <w:rPr>
          <w:rFonts w:cstheme="minorHAnsi"/>
        </w:rPr>
        <w:t>They refer to the VCLT with some regularity, and when</w:t>
      </w:r>
    </w:p>
    <w:p w14:paraId="2E15CD4A" w14:textId="383DA198" w:rsidR="00367C67" w:rsidRPr="00001F7B" w:rsidRDefault="005832EA" w:rsidP="005832EA">
      <w:pPr>
        <w:pStyle w:val="FootnoteText"/>
        <w:rPr>
          <w:rFonts w:cstheme="minorHAnsi"/>
        </w:rPr>
      </w:pPr>
      <w:r w:rsidRPr="00001F7B">
        <w:rPr>
          <w:rFonts w:cstheme="minorHAnsi"/>
        </w:rPr>
        <w:t>they do so seem to apply the VCLT as international law, without incorporating the VCLT into the UK common law.”</w:t>
      </w:r>
      <w:r w:rsidR="003745DA" w:rsidRPr="00001F7B">
        <w:rPr>
          <w:rFonts w:cstheme="minorHAnsi"/>
        </w:rPr>
        <w:t xml:space="preserve"> See further below</w:t>
      </w:r>
      <w:r w:rsidR="002B1101" w:rsidRPr="00001F7B">
        <w:rPr>
          <w:rFonts w:cstheme="minorHAnsi"/>
        </w:rPr>
        <w:t xml:space="preserve"> </w:t>
      </w:r>
      <w:r w:rsidR="002B1101" w:rsidRPr="00001F7B">
        <w:rPr>
          <w:rFonts w:cstheme="minorHAnsi"/>
          <w:b/>
          <w:bCs/>
        </w:rPr>
        <w:t>2.4.2</w:t>
      </w:r>
      <w:r w:rsidR="003745DA" w:rsidRPr="00001F7B">
        <w:rPr>
          <w:rFonts w:cstheme="minorHAnsi"/>
        </w:rPr>
        <w:t>.</w:t>
      </w:r>
    </w:p>
  </w:footnote>
  <w:footnote w:id="89">
    <w:p w14:paraId="4429BFCB" w14:textId="0A36D94A" w:rsidR="00B72EBD" w:rsidRPr="00001F7B" w:rsidRDefault="00B72EBD" w:rsidP="00732B58">
      <w:pPr>
        <w:pStyle w:val="FootnoteText"/>
        <w:rPr>
          <w:rFonts w:cstheme="minorHAnsi"/>
        </w:rPr>
      </w:pPr>
      <w:r w:rsidRPr="00001F7B">
        <w:rPr>
          <w:rStyle w:val="FootnoteReference"/>
          <w:rFonts w:cstheme="minorHAnsi"/>
        </w:rPr>
        <w:footnoteRef/>
      </w:r>
      <w:r w:rsidRPr="00001F7B">
        <w:rPr>
          <w:rFonts w:cstheme="minorHAnsi"/>
        </w:rPr>
        <w:t xml:space="preserve"> </w:t>
      </w:r>
      <w:r w:rsidR="004F593D" w:rsidRPr="00001F7B">
        <w:rPr>
          <w:rFonts w:cstheme="minorHAnsi"/>
          <w:i/>
          <w:iCs/>
        </w:rPr>
        <w:t xml:space="preserve">Op </w:t>
      </w:r>
      <w:proofErr w:type="spellStart"/>
      <w:r w:rsidR="004F593D" w:rsidRPr="00001F7B">
        <w:rPr>
          <w:rFonts w:cstheme="minorHAnsi"/>
          <w:i/>
          <w:iCs/>
        </w:rPr>
        <w:t>cit</w:t>
      </w:r>
      <w:proofErr w:type="spellEnd"/>
      <w:r w:rsidR="00A97ADC" w:rsidRPr="00001F7B">
        <w:rPr>
          <w:rFonts w:cstheme="minorHAnsi"/>
        </w:rPr>
        <w:t>,</w:t>
      </w:r>
      <w:r w:rsidRPr="00001F7B">
        <w:rPr>
          <w:rFonts w:cstheme="minorHAnsi"/>
        </w:rPr>
        <w:t xml:space="preserve"> p</w:t>
      </w:r>
      <w:r w:rsidR="00374DFF" w:rsidRPr="00001F7B">
        <w:rPr>
          <w:rFonts w:cstheme="minorHAnsi"/>
        </w:rPr>
        <w:t xml:space="preserve"> </w:t>
      </w:r>
      <w:r w:rsidRPr="00001F7B">
        <w:rPr>
          <w:rFonts w:cstheme="minorHAnsi"/>
        </w:rPr>
        <w:t>17.</w:t>
      </w:r>
      <w:r w:rsidR="00732B58" w:rsidRPr="00001F7B">
        <w:rPr>
          <w:rFonts w:cstheme="minorHAnsi"/>
        </w:rPr>
        <w:t xml:space="preserve"> Note also </w:t>
      </w:r>
      <w:proofErr w:type="spellStart"/>
      <w:r w:rsidR="00732B58" w:rsidRPr="00001F7B">
        <w:rPr>
          <w:rFonts w:cstheme="minorHAnsi"/>
        </w:rPr>
        <w:t>Aust</w:t>
      </w:r>
      <w:proofErr w:type="spellEnd"/>
      <w:r w:rsidR="00732B58" w:rsidRPr="00001F7B">
        <w:rPr>
          <w:rFonts w:cstheme="minorHAnsi"/>
        </w:rPr>
        <w:t xml:space="preserve">, </w:t>
      </w:r>
      <w:r w:rsidR="00A97ADC" w:rsidRPr="00001F7B">
        <w:rPr>
          <w:rFonts w:cstheme="minorHAnsi"/>
        </w:rPr>
        <w:t>‘Between Universal Aspiration and Local Application</w:t>
      </w:r>
      <w:r w:rsidR="0020152A" w:rsidRPr="00001F7B">
        <w:rPr>
          <w:rFonts w:cstheme="minorHAnsi"/>
        </w:rPr>
        <w:t>, Concluding Observations</w:t>
      </w:r>
      <w:r w:rsidR="00A97ADC" w:rsidRPr="00001F7B">
        <w:rPr>
          <w:rFonts w:cstheme="minorHAnsi"/>
        </w:rPr>
        <w:t xml:space="preserve">’ </w:t>
      </w:r>
      <w:proofErr w:type="spellStart"/>
      <w:r w:rsidR="00A97ADC" w:rsidRPr="00001F7B">
        <w:rPr>
          <w:rFonts w:cstheme="minorHAnsi"/>
        </w:rPr>
        <w:t>ch</w:t>
      </w:r>
      <w:proofErr w:type="spellEnd"/>
      <w:r w:rsidR="00A97ADC" w:rsidRPr="00001F7B">
        <w:rPr>
          <w:rFonts w:cstheme="minorHAnsi"/>
        </w:rPr>
        <w:t xml:space="preserve"> 17 in </w:t>
      </w:r>
      <w:proofErr w:type="spellStart"/>
      <w:r w:rsidR="00A97ADC" w:rsidRPr="00001F7B">
        <w:rPr>
          <w:rFonts w:cstheme="minorHAnsi"/>
        </w:rPr>
        <w:t>Aust</w:t>
      </w:r>
      <w:proofErr w:type="spellEnd"/>
      <w:r w:rsidR="00A97ADC" w:rsidRPr="00001F7B">
        <w:rPr>
          <w:rFonts w:cstheme="minorHAnsi"/>
        </w:rPr>
        <w:t xml:space="preserve"> and Nolte, above </w:t>
      </w:r>
      <w:proofErr w:type="spellStart"/>
      <w:r w:rsidR="00A97ADC" w:rsidRPr="00001F7B">
        <w:rPr>
          <w:rFonts w:cstheme="minorHAnsi"/>
        </w:rPr>
        <w:t>fn</w:t>
      </w:r>
      <w:proofErr w:type="spellEnd"/>
      <w:r w:rsidR="00A97ADC" w:rsidRPr="00001F7B">
        <w:rPr>
          <w:rFonts w:cstheme="minorHAnsi"/>
        </w:rPr>
        <w:t xml:space="preserve"> </w:t>
      </w:r>
      <w:r w:rsidR="00F71E88" w:rsidRPr="00001F7B">
        <w:rPr>
          <w:rFonts w:cstheme="minorHAnsi"/>
        </w:rPr>
        <w:t>71</w:t>
      </w:r>
      <w:r w:rsidR="00A97ADC" w:rsidRPr="00001F7B">
        <w:rPr>
          <w:rFonts w:cstheme="minorHAnsi"/>
        </w:rPr>
        <w:t>, p</w:t>
      </w:r>
      <w:r w:rsidR="00F71E88" w:rsidRPr="00001F7B">
        <w:rPr>
          <w:rFonts w:cstheme="minorHAnsi"/>
        </w:rPr>
        <w:t>p</w:t>
      </w:r>
      <w:r w:rsidR="00F662DB" w:rsidRPr="00001F7B">
        <w:rPr>
          <w:rFonts w:cstheme="minorHAnsi"/>
        </w:rPr>
        <w:t xml:space="preserve"> 342-343:</w:t>
      </w:r>
      <w:r w:rsidR="00A97ADC" w:rsidRPr="00001F7B">
        <w:rPr>
          <w:rFonts w:cstheme="minorHAnsi"/>
        </w:rPr>
        <w:t xml:space="preserve"> </w:t>
      </w:r>
      <w:r w:rsidR="00732B58" w:rsidRPr="00001F7B">
        <w:rPr>
          <w:rFonts w:cstheme="minorHAnsi"/>
        </w:rPr>
        <w:t>“Viewed together, the contributions to this volume</w:t>
      </w:r>
      <w:r w:rsidR="00F662DB" w:rsidRPr="00001F7B">
        <w:rPr>
          <w:rFonts w:cstheme="minorHAnsi"/>
        </w:rPr>
        <w:t xml:space="preserve"> </w:t>
      </w:r>
      <w:r w:rsidR="00732B58" w:rsidRPr="00001F7B">
        <w:rPr>
          <w:rFonts w:cstheme="minorHAnsi"/>
        </w:rPr>
        <w:t>permit the observation that the existing diversity in the interpretative approaches of domestic</w:t>
      </w:r>
      <w:r w:rsidR="004F593D" w:rsidRPr="00001F7B">
        <w:rPr>
          <w:rFonts w:cstheme="minorHAnsi"/>
        </w:rPr>
        <w:t xml:space="preserve"> </w:t>
      </w:r>
      <w:r w:rsidR="00732B58" w:rsidRPr="00001F7B">
        <w:rPr>
          <w:rFonts w:cstheme="minorHAnsi"/>
        </w:rPr>
        <w:t>courts might be a sociological phenomenon, but can hardly be seen as a normative preference</w:t>
      </w:r>
      <w:r w:rsidR="00F662DB" w:rsidRPr="00001F7B">
        <w:rPr>
          <w:rFonts w:cstheme="minorHAnsi"/>
        </w:rPr>
        <w:t xml:space="preserve"> </w:t>
      </w:r>
      <w:r w:rsidR="00732B58" w:rsidRPr="00001F7B">
        <w:rPr>
          <w:rFonts w:cstheme="minorHAnsi"/>
        </w:rPr>
        <w:t>of international law. While there may not be a hard and binding obligation to make use of the</w:t>
      </w:r>
      <w:r w:rsidR="00F662DB" w:rsidRPr="00001F7B">
        <w:rPr>
          <w:rFonts w:cstheme="minorHAnsi"/>
        </w:rPr>
        <w:t xml:space="preserve"> </w:t>
      </w:r>
      <w:r w:rsidR="00732B58" w:rsidRPr="00001F7B">
        <w:rPr>
          <w:rFonts w:cstheme="minorHAnsi"/>
        </w:rPr>
        <w:t>international rules of interpretation, it is equally implausible to read a preference for</w:t>
      </w:r>
      <w:r w:rsidR="00F662DB" w:rsidRPr="00001F7B">
        <w:rPr>
          <w:rFonts w:cstheme="minorHAnsi"/>
        </w:rPr>
        <w:t xml:space="preserve"> </w:t>
      </w:r>
      <w:r w:rsidR="00732B58" w:rsidRPr="00001F7B">
        <w:rPr>
          <w:rFonts w:cstheme="minorHAnsi"/>
        </w:rPr>
        <w:t>divergence and diversity into the structure of international law.”</w:t>
      </w:r>
    </w:p>
  </w:footnote>
  <w:footnote w:id="90">
    <w:p w14:paraId="244A0C8B" w14:textId="7674C8B4" w:rsidR="004E3C0B" w:rsidRPr="00001F7B" w:rsidRDefault="004E3C0B" w:rsidP="004E3C0B">
      <w:pPr>
        <w:pStyle w:val="FootnoteText"/>
        <w:rPr>
          <w:rFonts w:cstheme="minorHAnsi"/>
        </w:rPr>
      </w:pPr>
      <w:r w:rsidRPr="00001F7B">
        <w:rPr>
          <w:rStyle w:val="FootnoteReference"/>
          <w:rFonts w:cstheme="minorHAnsi"/>
        </w:rPr>
        <w:footnoteRef/>
      </w:r>
      <w:r w:rsidRPr="00001F7B">
        <w:rPr>
          <w:rFonts w:cstheme="minorHAnsi"/>
        </w:rPr>
        <w:t xml:space="preserve"> </w:t>
      </w:r>
      <w:r w:rsidR="00FA48EF" w:rsidRPr="00001F7B">
        <w:rPr>
          <w:rFonts w:cstheme="minorHAnsi"/>
        </w:rPr>
        <w:t xml:space="preserve">Above </w:t>
      </w:r>
      <w:proofErr w:type="spellStart"/>
      <w:r w:rsidR="00FA48EF" w:rsidRPr="00001F7B">
        <w:rPr>
          <w:rFonts w:cstheme="minorHAnsi"/>
        </w:rPr>
        <w:t>fn</w:t>
      </w:r>
      <w:proofErr w:type="spellEnd"/>
      <w:r w:rsidR="00FA48EF" w:rsidRPr="00001F7B">
        <w:rPr>
          <w:rFonts w:cstheme="minorHAnsi"/>
        </w:rPr>
        <w:t xml:space="preserve"> </w:t>
      </w:r>
      <w:r w:rsidR="004F593D" w:rsidRPr="00001F7B">
        <w:rPr>
          <w:rFonts w:cstheme="minorHAnsi"/>
        </w:rPr>
        <w:t>3</w:t>
      </w:r>
      <w:r w:rsidR="00FA48EF" w:rsidRPr="00001F7B">
        <w:rPr>
          <w:rFonts w:cstheme="minorHAnsi"/>
        </w:rPr>
        <w:t>,</w:t>
      </w:r>
      <w:r w:rsidRPr="00001F7B">
        <w:rPr>
          <w:rFonts w:cstheme="minorHAnsi"/>
        </w:rPr>
        <w:t xml:space="preserve"> p</w:t>
      </w:r>
      <w:r w:rsidR="00374DFF" w:rsidRPr="00001F7B">
        <w:rPr>
          <w:rFonts w:cstheme="minorHAnsi"/>
        </w:rPr>
        <w:t xml:space="preserve"> </w:t>
      </w:r>
      <w:r w:rsidRPr="00001F7B">
        <w:rPr>
          <w:rFonts w:cstheme="minorHAnsi"/>
        </w:rPr>
        <w:t>28.</w:t>
      </w:r>
    </w:p>
  </w:footnote>
  <w:footnote w:id="91">
    <w:p w14:paraId="63232CDB" w14:textId="250A3D59" w:rsidR="00786385" w:rsidRPr="00001F7B" w:rsidRDefault="00786385">
      <w:pPr>
        <w:pStyle w:val="FootnoteText"/>
        <w:rPr>
          <w:rFonts w:cstheme="minorHAnsi"/>
        </w:rPr>
      </w:pPr>
      <w:r w:rsidRPr="00001F7B">
        <w:rPr>
          <w:rStyle w:val="FootnoteReference"/>
          <w:rFonts w:cstheme="minorHAnsi"/>
        </w:rPr>
        <w:footnoteRef/>
      </w:r>
      <w:r w:rsidR="004F593D" w:rsidRPr="00001F7B">
        <w:rPr>
          <w:rFonts w:cstheme="minorHAnsi"/>
          <w:i/>
          <w:iCs/>
        </w:rPr>
        <w:t xml:space="preserve"> Op </w:t>
      </w:r>
      <w:proofErr w:type="spellStart"/>
      <w:r w:rsidR="004F593D" w:rsidRPr="00001F7B">
        <w:rPr>
          <w:rFonts w:cstheme="minorHAnsi"/>
          <w:i/>
          <w:iCs/>
        </w:rPr>
        <w:t>cit</w:t>
      </w:r>
      <w:proofErr w:type="spellEnd"/>
      <w:r w:rsidR="00374DFF" w:rsidRPr="00001F7B">
        <w:rPr>
          <w:rFonts w:cstheme="minorHAnsi"/>
        </w:rPr>
        <w:t>, p 15.</w:t>
      </w:r>
    </w:p>
  </w:footnote>
  <w:footnote w:id="92">
    <w:p w14:paraId="54ADC6EA" w14:textId="3697ABF3" w:rsidR="00754C74" w:rsidRPr="00001F7B" w:rsidRDefault="00754C74" w:rsidP="00AE4D65">
      <w:pPr>
        <w:pStyle w:val="FootnoteText"/>
        <w:rPr>
          <w:rFonts w:cstheme="minorHAnsi"/>
        </w:rPr>
      </w:pPr>
      <w:r w:rsidRPr="00001F7B">
        <w:rPr>
          <w:rStyle w:val="FootnoteReference"/>
          <w:rFonts w:cstheme="minorHAnsi"/>
        </w:rPr>
        <w:footnoteRef/>
      </w:r>
      <w:r w:rsidR="00107940" w:rsidRPr="00001F7B">
        <w:rPr>
          <w:rFonts w:cstheme="minorHAnsi"/>
        </w:rPr>
        <w:t xml:space="preserve"> </w:t>
      </w:r>
      <w:r w:rsidR="00F37510" w:rsidRPr="00001F7B">
        <w:rPr>
          <w:rFonts w:cstheme="minorHAnsi"/>
        </w:rPr>
        <w:t>Cassation appeal, No C.97.0176.N, ILDC 38 (BE 2000), 30th March 2000, Court of Cassation</w:t>
      </w:r>
      <w:r w:rsidR="00107940" w:rsidRPr="00001F7B">
        <w:rPr>
          <w:rFonts w:cstheme="minorHAnsi"/>
        </w:rPr>
        <w:t xml:space="preserve">, </w:t>
      </w:r>
      <w:r w:rsidR="00A57771" w:rsidRPr="00001F7B">
        <w:rPr>
          <w:rFonts w:cstheme="minorHAnsi"/>
        </w:rPr>
        <w:t>discussed</w:t>
      </w:r>
      <w:r w:rsidR="00107940" w:rsidRPr="00001F7B">
        <w:rPr>
          <w:rFonts w:cstheme="minorHAnsi"/>
        </w:rPr>
        <w:t xml:space="preserve"> by </w:t>
      </w:r>
      <w:proofErr w:type="spellStart"/>
      <w:r w:rsidR="00B85096" w:rsidRPr="00001F7B">
        <w:rPr>
          <w:rFonts w:cstheme="minorHAnsi"/>
        </w:rPr>
        <w:t>N</w:t>
      </w:r>
      <w:r w:rsidR="00F37510" w:rsidRPr="00001F7B">
        <w:rPr>
          <w:rFonts w:cstheme="minorHAnsi"/>
        </w:rPr>
        <w:t>ollkaemper</w:t>
      </w:r>
      <w:proofErr w:type="spellEnd"/>
      <w:r w:rsidR="009504F4" w:rsidRPr="00001F7B">
        <w:rPr>
          <w:rFonts w:cstheme="minorHAnsi"/>
        </w:rPr>
        <w:t>,</w:t>
      </w:r>
      <w:r w:rsidR="00F37510" w:rsidRPr="00001F7B">
        <w:rPr>
          <w:rFonts w:cstheme="minorHAnsi"/>
        </w:rPr>
        <w:t xml:space="preserve"> </w:t>
      </w:r>
      <w:r w:rsidR="009504F4" w:rsidRPr="00001F7B">
        <w:rPr>
          <w:rFonts w:cstheme="minorHAnsi"/>
        </w:rPr>
        <w:t>‘</w:t>
      </w:r>
      <w:r w:rsidR="00F37510" w:rsidRPr="00001F7B">
        <w:rPr>
          <w:rFonts w:cstheme="minorHAnsi"/>
        </w:rPr>
        <w:t xml:space="preserve">Grounds </w:t>
      </w:r>
      <w:r w:rsidR="009504F4" w:rsidRPr="00001F7B">
        <w:rPr>
          <w:rFonts w:cstheme="minorHAnsi"/>
        </w:rPr>
        <w:t>for the application of international rules of interpretation in National courts’</w:t>
      </w:r>
      <w:r w:rsidR="00A57771" w:rsidRPr="00001F7B">
        <w:rPr>
          <w:rFonts w:cstheme="minorHAnsi"/>
        </w:rPr>
        <w:t xml:space="preserve"> </w:t>
      </w:r>
      <w:proofErr w:type="spellStart"/>
      <w:r w:rsidR="00A57771" w:rsidRPr="00001F7B">
        <w:rPr>
          <w:rFonts w:cstheme="minorHAnsi"/>
        </w:rPr>
        <w:t>ch</w:t>
      </w:r>
      <w:proofErr w:type="spellEnd"/>
      <w:r w:rsidR="00A57771" w:rsidRPr="00001F7B">
        <w:rPr>
          <w:rFonts w:cstheme="minorHAnsi"/>
        </w:rPr>
        <w:t xml:space="preserve"> 3 in </w:t>
      </w:r>
      <w:proofErr w:type="spellStart"/>
      <w:r w:rsidR="00A57771" w:rsidRPr="00001F7B">
        <w:rPr>
          <w:rFonts w:cstheme="minorHAnsi"/>
        </w:rPr>
        <w:t>Aust</w:t>
      </w:r>
      <w:proofErr w:type="spellEnd"/>
      <w:r w:rsidR="00A57771" w:rsidRPr="00001F7B">
        <w:rPr>
          <w:rFonts w:cstheme="minorHAnsi"/>
        </w:rPr>
        <w:t xml:space="preserve"> and Nolte, above </w:t>
      </w:r>
      <w:proofErr w:type="spellStart"/>
      <w:r w:rsidR="00A57771" w:rsidRPr="00001F7B">
        <w:rPr>
          <w:rFonts w:cstheme="minorHAnsi"/>
        </w:rPr>
        <w:t>fn</w:t>
      </w:r>
      <w:proofErr w:type="spellEnd"/>
      <w:r w:rsidR="00A57771" w:rsidRPr="00001F7B">
        <w:rPr>
          <w:rFonts w:cstheme="minorHAnsi"/>
        </w:rPr>
        <w:t xml:space="preserve"> </w:t>
      </w:r>
      <w:r w:rsidR="004F593D" w:rsidRPr="00001F7B">
        <w:rPr>
          <w:rFonts w:cstheme="minorHAnsi"/>
        </w:rPr>
        <w:t>3</w:t>
      </w:r>
      <w:r w:rsidR="00A57771" w:rsidRPr="00001F7B">
        <w:rPr>
          <w:rFonts w:cstheme="minorHAnsi"/>
        </w:rPr>
        <w:t>, pp 37-38</w:t>
      </w:r>
      <w:r w:rsidR="00F37510" w:rsidRPr="00001F7B">
        <w:rPr>
          <w:rFonts w:cstheme="minorHAnsi"/>
        </w:rPr>
        <w:t>.</w:t>
      </w:r>
      <w:r w:rsidR="009504F4" w:rsidRPr="00001F7B">
        <w:rPr>
          <w:rFonts w:cstheme="minorHAnsi"/>
        </w:rPr>
        <w:t xml:space="preserve"> S</w:t>
      </w:r>
      <w:r w:rsidR="00077525" w:rsidRPr="00001F7B">
        <w:rPr>
          <w:rFonts w:cstheme="minorHAnsi"/>
        </w:rPr>
        <w:t>ee also Gardiner</w:t>
      </w:r>
      <w:r w:rsidR="009504F4" w:rsidRPr="00001F7B">
        <w:rPr>
          <w:rFonts w:cstheme="minorHAnsi"/>
        </w:rPr>
        <w:t>, above,</w:t>
      </w:r>
      <w:r w:rsidR="00AE5F45" w:rsidRPr="00001F7B">
        <w:rPr>
          <w:rFonts w:cstheme="minorHAnsi"/>
        </w:rPr>
        <w:t xml:space="preserve"> </w:t>
      </w:r>
      <w:proofErr w:type="spellStart"/>
      <w:r w:rsidR="004F593D" w:rsidRPr="00001F7B">
        <w:rPr>
          <w:rFonts w:cstheme="minorHAnsi"/>
        </w:rPr>
        <w:t>fn</w:t>
      </w:r>
      <w:proofErr w:type="spellEnd"/>
      <w:r w:rsidR="004F593D" w:rsidRPr="00001F7B">
        <w:rPr>
          <w:rFonts w:cstheme="minorHAnsi"/>
        </w:rPr>
        <w:t xml:space="preserve"> 5,</w:t>
      </w:r>
      <w:r w:rsidR="009504F4" w:rsidRPr="00001F7B">
        <w:rPr>
          <w:rFonts w:cstheme="minorHAnsi"/>
        </w:rPr>
        <w:t xml:space="preserve"> </w:t>
      </w:r>
      <w:r w:rsidR="00077525" w:rsidRPr="00001F7B">
        <w:rPr>
          <w:rFonts w:cstheme="minorHAnsi"/>
        </w:rPr>
        <w:t>p 144</w:t>
      </w:r>
      <w:r w:rsidR="009504F4" w:rsidRPr="00001F7B">
        <w:rPr>
          <w:rFonts w:cstheme="minorHAnsi"/>
        </w:rPr>
        <w:t>,</w:t>
      </w:r>
      <w:r w:rsidR="00077525" w:rsidRPr="00001F7B">
        <w:rPr>
          <w:rFonts w:cstheme="minorHAnsi"/>
        </w:rPr>
        <w:t xml:space="preserve"> n 81</w:t>
      </w:r>
      <w:r w:rsidR="00F37510" w:rsidRPr="00001F7B">
        <w:rPr>
          <w:rFonts w:cstheme="minorHAnsi"/>
        </w:rPr>
        <w:t>.</w:t>
      </w:r>
      <w:r w:rsidR="00E86DD3" w:rsidRPr="00001F7B">
        <w:rPr>
          <w:rFonts w:cstheme="minorHAnsi"/>
        </w:rPr>
        <w:t xml:space="preserve"> </w:t>
      </w:r>
      <w:proofErr w:type="spellStart"/>
      <w:r w:rsidR="00E86DD3" w:rsidRPr="00001F7B">
        <w:rPr>
          <w:rFonts w:cstheme="minorHAnsi"/>
        </w:rPr>
        <w:t>Noelkaemper</w:t>
      </w:r>
      <w:proofErr w:type="spellEnd"/>
      <w:r w:rsidR="00E86DD3" w:rsidRPr="00001F7B">
        <w:rPr>
          <w:rFonts w:cstheme="minorHAnsi"/>
        </w:rPr>
        <w:t>, at</w:t>
      </w:r>
      <w:r w:rsidR="00F37510" w:rsidRPr="00001F7B">
        <w:rPr>
          <w:rFonts w:cstheme="minorHAnsi"/>
        </w:rPr>
        <w:t xml:space="preserve"> p</w:t>
      </w:r>
      <w:r w:rsidR="00A57771" w:rsidRPr="00001F7B">
        <w:rPr>
          <w:rFonts w:cstheme="minorHAnsi"/>
        </w:rPr>
        <w:t xml:space="preserve"> 39, </w:t>
      </w:r>
      <w:r w:rsidR="00E86DD3" w:rsidRPr="00001F7B">
        <w:rPr>
          <w:rFonts w:cstheme="minorHAnsi"/>
        </w:rPr>
        <w:t>states that</w:t>
      </w:r>
      <w:r w:rsidR="00F37510" w:rsidRPr="00001F7B">
        <w:rPr>
          <w:rFonts w:cstheme="minorHAnsi"/>
        </w:rPr>
        <w:t xml:space="preserve"> </w:t>
      </w:r>
      <w:r w:rsidR="00AE4D65" w:rsidRPr="00001F7B">
        <w:rPr>
          <w:rFonts w:cstheme="minorHAnsi"/>
        </w:rPr>
        <w:t>the ‘obligation’ to apply international rules of treaty interpretation is an obligation of result. It is not an obligation to behave in a legally defined way (in which case it would be an obligation of conduct), but rather an obligation to achieve a particular outcome—the performance of an obligation in the meaning of that obligation under international law. In this respect, there is nothing necessarily wrong with application of national principles of interpretation as long as the outcome is the same</w:t>
      </w:r>
      <w:r w:rsidR="00F37510" w:rsidRPr="00001F7B">
        <w:rPr>
          <w:rFonts w:cstheme="minorHAnsi"/>
        </w:rPr>
        <w:t>.</w:t>
      </w:r>
      <w:r w:rsidR="00ED2CDD" w:rsidRPr="00001F7B">
        <w:rPr>
          <w:rFonts w:cstheme="minorHAnsi"/>
        </w:rPr>
        <w:t xml:space="preserve"> See also </w:t>
      </w:r>
      <w:proofErr w:type="spellStart"/>
      <w:r w:rsidR="00ED2CDD" w:rsidRPr="00001F7B">
        <w:rPr>
          <w:rFonts w:cstheme="minorHAnsi"/>
        </w:rPr>
        <w:t>Aust</w:t>
      </w:r>
      <w:proofErr w:type="spellEnd"/>
      <w:r w:rsidR="00C24ADA" w:rsidRPr="00001F7B">
        <w:rPr>
          <w:rFonts w:cstheme="minorHAnsi"/>
        </w:rPr>
        <w:t xml:space="preserve">, </w:t>
      </w:r>
      <w:proofErr w:type="spellStart"/>
      <w:r w:rsidR="00C24ADA" w:rsidRPr="00001F7B">
        <w:rPr>
          <w:rFonts w:cstheme="minorHAnsi"/>
        </w:rPr>
        <w:t>ch</w:t>
      </w:r>
      <w:proofErr w:type="spellEnd"/>
      <w:r w:rsidR="00C24ADA" w:rsidRPr="00001F7B">
        <w:rPr>
          <w:rFonts w:cstheme="minorHAnsi"/>
        </w:rPr>
        <w:t xml:space="preserve"> 17 in </w:t>
      </w:r>
      <w:proofErr w:type="spellStart"/>
      <w:r w:rsidR="00C24ADA" w:rsidRPr="00001F7B">
        <w:rPr>
          <w:rFonts w:cstheme="minorHAnsi"/>
        </w:rPr>
        <w:t>Aust</w:t>
      </w:r>
      <w:proofErr w:type="spellEnd"/>
      <w:r w:rsidR="00C24ADA" w:rsidRPr="00001F7B">
        <w:rPr>
          <w:rFonts w:cstheme="minorHAnsi"/>
        </w:rPr>
        <w:t xml:space="preserve"> and Nolte above </w:t>
      </w:r>
      <w:proofErr w:type="spellStart"/>
      <w:r w:rsidR="00C24ADA" w:rsidRPr="00001F7B">
        <w:rPr>
          <w:rFonts w:cstheme="minorHAnsi"/>
        </w:rPr>
        <w:t>fn</w:t>
      </w:r>
      <w:proofErr w:type="spellEnd"/>
      <w:r w:rsidR="00C24ADA" w:rsidRPr="00001F7B">
        <w:rPr>
          <w:rFonts w:cstheme="minorHAnsi"/>
        </w:rPr>
        <w:t xml:space="preserve"> </w:t>
      </w:r>
      <w:r w:rsidR="004F593D" w:rsidRPr="00001F7B">
        <w:rPr>
          <w:rFonts w:cstheme="minorHAnsi"/>
        </w:rPr>
        <w:t>3</w:t>
      </w:r>
      <w:r w:rsidR="00C24ADA" w:rsidRPr="00001F7B">
        <w:rPr>
          <w:rFonts w:cstheme="minorHAnsi"/>
        </w:rPr>
        <w:t>, p 340</w:t>
      </w:r>
      <w:r w:rsidR="004F593D" w:rsidRPr="00001F7B">
        <w:rPr>
          <w:rFonts w:cstheme="minorHAnsi"/>
        </w:rPr>
        <w:t>,</w:t>
      </w:r>
      <w:r w:rsidR="00AE4D65" w:rsidRPr="00001F7B">
        <w:rPr>
          <w:rFonts w:cstheme="minorHAnsi"/>
        </w:rPr>
        <w:t xml:space="preserve"> who say</w:t>
      </w:r>
      <w:r w:rsidR="006A4AB5" w:rsidRPr="00001F7B">
        <w:rPr>
          <w:rFonts w:cstheme="minorHAnsi"/>
        </w:rPr>
        <w:t>s</w:t>
      </w:r>
      <w:r w:rsidR="00AE4D65" w:rsidRPr="00001F7B">
        <w:rPr>
          <w:rFonts w:cstheme="minorHAnsi"/>
        </w:rPr>
        <w:t xml:space="preserve"> that t</w:t>
      </w:r>
      <w:r w:rsidR="00ED2CDD" w:rsidRPr="00001F7B">
        <w:rPr>
          <w:rFonts w:cstheme="minorHAnsi"/>
        </w:rPr>
        <w:t>here is no independent state responsibility for a breach of the Vienna rules of interpretation. What would be the remedy for such a breach, after all, if it</w:t>
      </w:r>
      <w:r w:rsidR="00077525" w:rsidRPr="00001F7B">
        <w:rPr>
          <w:rFonts w:cstheme="minorHAnsi"/>
        </w:rPr>
        <w:t xml:space="preserve"> </w:t>
      </w:r>
      <w:r w:rsidR="00ED2CDD" w:rsidRPr="00001F7B">
        <w:rPr>
          <w:rFonts w:cstheme="minorHAnsi"/>
        </w:rPr>
        <w:t>was not accompanied by a violation of a substantive,</w:t>
      </w:r>
      <w:r w:rsidR="00A57771" w:rsidRPr="00001F7B">
        <w:rPr>
          <w:rFonts w:cstheme="minorHAnsi"/>
        </w:rPr>
        <w:t xml:space="preserve"> </w:t>
      </w:r>
      <w:r w:rsidR="00C24ADA" w:rsidRPr="00001F7B">
        <w:rPr>
          <w:rFonts w:cstheme="minorHAnsi"/>
        </w:rPr>
        <w:t>i</w:t>
      </w:r>
      <w:r w:rsidR="00AE4D65" w:rsidRPr="00001F7B">
        <w:rPr>
          <w:rFonts w:cstheme="minorHAnsi"/>
        </w:rPr>
        <w:t>.e.,</w:t>
      </w:r>
      <w:r w:rsidR="00ED2CDD" w:rsidRPr="00001F7B">
        <w:rPr>
          <w:rFonts w:cstheme="minorHAnsi"/>
        </w:rPr>
        <w:t xml:space="preserve"> primary rule of international law?</w:t>
      </w:r>
    </w:p>
  </w:footnote>
  <w:footnote w:id="93">
    <w:p w14:paraId="5124CFB7" w14:textId="0580C6AD" w:rsidR="00CD6DAB" w:rsidRPr="00001F7B" w:rsidRDefault="00CD6DAB" w:rsidP="00F30A55">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Aust</w:t>
      </w:r>
      <w:proofErr w:type="spellEnd"/>
      <w:r w:rsidRPr="00001F7B">
        <w:rPr>
          <w:rFonts w:cstheme="minorHAnsi"/>
        </w:rPr>
        <w:t xml:space="preserve">, </w:t>
      </w:r>
      <w:proofErr w:type="spellStart"/>
      <w:r w:rsidRPr="00001F7B">
        <w:rPr>
          <w:rFonts w:cstheme="minorHAnsi"/>
        </w:rPr>
        <w:t>ch</w:t>
      </w:r>
      <w:proofErr w:type="spellEnd"/>
      <w:r w:rsidRPr="00001F7B">
        <w:rPr>
          <w:rFonts w:cstheme="minorHAnsi"/>
        </w:rPr>
        <w:t xml:space="preserve"> 17 in </w:t>
      </w:r>
      <w:proofErr w:type="spellStart"/>
      <w:r w:rsidRPr="00001F7B">
        <w:rPr>
          <w:rFonts w:cstheme="minorHAnsi"/>
        </w:rPr>
        <w:t>Aust</w:t>
      </w:r>
      <w:proofErr w:type="spellEnd"/>
      <w:r w:rsidRPr="00001F7B">
        <w:rPr>
          <w:rFonts w:cstheme="minorHAnsi"/>
        </w:rPr>
        <w:t xml:space="preserve"> and Nolte, p 340</w:t>
      </w:r>
      <w:r w:rsidR="00F30A55" w:rsidRPr="00001F7B">
        <w:rPr>
          <w:rFonts w:cstheme="minorHAnsi"/>
        </w:rPr>
        <w:t xml:space="preserve">, states </w:t>
      </w:r>
      <w:r w:rsidRPr="00001F7B">
        <w:rPr>
          <w:rFonts w:cstheme="minorHAnsi"/>
        </w:rPr>
        <w:t>that it is difficult to state in the abstract that domestic courts are under an obligation to use the international rules of interpretation when they apply and</w:t>
      </w:r>
      <w:r w:rsidR="00F30A55" w:rsidRPr="00001F7B">
        <w:rPr>
          <w:rFonts w:cstheme="minorHAnsi"/>
        </w:rPr>
        <w:t xml:space="preserve"> </w:t>
      </w:r>
      <w:r w:rsidRPr="00001F7B">
        <w:rPr>
          <w:rFonts w:cstheme="minorHAnsi"/>
        </w:rPr>
        <w:t>interpret international law. On a technical level, it is possible to identify domestic</w:t>
      </w:r>
      <w:r w:rsidR="00F30A55" w:rsidRPr="00001F7B">
        <w:rPr>
          <w:rFonts w:cstheme="minorHAnsi"/>
        </w:rPr>
        <w:t xml:space="preserve"> </w:t>
      </w:r>
      <w:r w:rsidRPr="00001F7B">
        <w:rPr>
          <w:rFonts w:cstheme="minorHAnsi"/>
        </w:rPr>
        <w:t>courts as addressees of an obligation, stemming either from the Vienna Convention</w:t>
      </w:r>
      <w:r w:rsidR="00F30A55" w:rsidRPr="00001F7B">
        <w:rPr>
          <w:rFonts w:cstheme="minorHAnsi"/>
        </w:rPr>
        <w:t xml:space="preserve"> </w:t>
      </w:r>
      <w:r w:rsidRPr="00001F7B">
        <w:rPr>
          <w:rFonts w:cstheme="minorHAnsi"/>
        </w:rPr>
        <w:t>or from customary international law, to interpret international law according to the rules set forth in the VCLT. While it can be debated who is exactly targeted by</w:t>
      </w:r>
    </w:p>
    <w:p w14:paraId="76401439" w14:textId="48F676BE" w:rsidR="00CD6DAB" w:rsidRPr="00001F7B" w:rsidRDefault="00CD6DAB" w:rsidP="00341786">
      <w:pPr>
        <w:rPr>
          <w:rFonts w:cstheme="minorHAnsi"/>
          <w:sz w:val="20"/>
          <w:szCs w:val="20"/>
        </w:rPr>
      </w:pPr>
      <w:r w:rsidRPr="00001F7B">
        <w:rPr>
          <w:rFonts w:cstheme="minorHAnsi"/>
          <w:sz w:val="20"/>
          <w:szCs w:val="20"/>
        </w:rPr>
        <w:t>the provisions on interpretation in the VCLT, a formal answer would be the ‘states</w:t>
      </w:r>
      <w:r w:rsidR="00F30A55" w:rsidRPr="00001F7B">
        <w:rPr>
          <w:rFonts w:cstheme="minorHAnsi"/>
          <w:sz w:val="20"/>
          <w:szCs w:val="20"/>
        </w:rPr>
        <w:t xml:space="preserve"> </w:t>
      </w:r>
      <w:r w:rsidRPr="00001F7B">
        <w:rPr>
          <w:rFonts w:cstheme="minorHAnsi"/>
          <w:sz w:val="20"/>
          <w:szCs w:val="20"/>
        </w:rPr>
        <w:t xml:space="preserve">parties’ and, as such, their organs, amongst which figure undoubtedly domestic courts. </w:t>
      </w:r>
    </w:p>
  </w:footnote>
  <w:footnote w:id="94">
    <w:p w14:paraId="62C72494" w14:textId="1A0F023F" w:rsidR="00E25F47" w:rsidRPr="00001F7B" w:rsidRDefault="00E25F47" w:rsidP="00E25F47">
      <w:pPr>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Cf </w:t>
      </w:r>
      <w:proofErr w:type="spellStart"/>
      <w:r w:rsidRPr="00001F7B">
        <w:rPr>
          <w:rFonts w:cstheme="minorHAnsi"/>
          <w:sz w:val="20"/>
          <w:szCs w:val="20"/>
        </w:rPr>
        <w:t>Aust</w:t>
      </w:r>
      <w:proofErr w:type="spellEnd"/>
      <w:r w:rsidRPr="00001F7B">
        <w:rPr>
          <w:rFonts w:cstheme="minorHAnsi"/>
          <w:sz w:val="20"/>
          <w:szCs w:val="20"/>
        </w:rPr>
        <w:t xml:space="preserve">, </w:t>
      </w:r>
      <w:proofErr w:type="spellStart"/>
      <w:r w:rsidR="00942F85" w:rsidRPr="00001F7B">
        <w:rPr>
          <w:rFonts w:cstheme="minorHAnsi"/>
          <w:sz w:val="20"/>
          <w:szCs w:val="20"/>
        </w:rPr>
        <w:t>ch</w:t>
      </w:r>
      <w:proofErr w:type="spellEnd"/>
      <w:r w:rsidR="00942F85" w:rsidRPr="00001F7B">
        <w:rPr>
          <w:rFonts w:cstheme="minorHAnsi"/>
          <w:sz w:val="20"/>
          <w:szCs w:val="20"/>
        </w:rPr>
        <w:t xml:space="preserve"> 17 in </w:t>
      </w:r>
      <w:proofErr w:type="spellStart"/>
      <w:r w:rsidR="00942F85" w:rsidRPr="00001F7B">
        <w:rPr>
          <w:rFonts w:cstheme="minorHAnsi"/>
          <w:sz w:val="20"/>
          <w:szCs w:val="20"/>
        </w:rPr>
        <w:t>Aust</w:t>
      </w:r>
      <w:proofErr w:type="spellEnd"/>
      <w:r w:rsidR="00942F85" w:rsidRPr="00001F7B">
        <w:rPr>
          <w:rFonts w:cstheme="minorHAnsi"/>
          <w:sz w:val="20"/>
          <w:szCs w:val="20"/>
        </w:rPr>
        <w:t xml:space="preserve"> and Nolte, </w:t>
      </w:r>
      <w:r w:rsidRPr="00001F7B">
        <w:rPr>
          <w:rFonts w:cstheme="minorHAnsi"/>
          <w:sz w:val="20"/>
          <w:szCs w:val="20"/>
        </w:rPr>
        <w:t xml:space="preserve">above </w:t>
      </w:r>
      <w:proofErr w:type="spellStart"/>
      <w:r w:rsidRPr="00001F7B">
        <w:rPr>
          <w:rFonts w:cstheme="minorHAnsi"/>
          <w:sz w:val="20"/>
          <w:szCs w:val="20"/>
        </w:rPr>
        <w:t>fn</w:t>
      </w:r>
      <w:proofErr w:type="spellEnd"/>
      <w:r w:rsidRPr="00001F7B">
        <w:rPr>
          <w:rFonts w:cstheme="minorHAnsi"/>
          <w:sz w:val="20"/>
          <w:szCs w:val="20"/>
        </w:rPr>
        <w:t xml:space="preserve"> </w:t>
      </w:r>
      <w:r w:rsidR="00341786" w:rsidRPr="00001F7B">
        <w:rPr>
          <w:rFonts w:cstheme="minorHAnsi"/>
          <w:sz w:val="20"/>
          <w:szCs w:val="20"/>
        </w:rPr>
        <w:t>3</w:t>
      </w:r>
      <w:r w:rsidRPr="00001F7B">
        <w:rPr>
          <w:rFonts w:cstheme="minorHAnsi"/>
          <w:sz w:val="20"/>
          <w:szCs w:val="20"/>
        </w:rPr>
        <w:t xml:space="preserve">, p </w:t>
      </w:r>
      <w:r w:rsidR="00942F85" w:rsidRPr="00001F7B">
        <w:rPr>
          <w:rFonts w:cstheme="minorHAnsi"/>
          <w:sz w:val="20"/>
          <w:szCs w:val="20"/>
        </w:rPr>
        <w:t>338</w:t>
      </w:r>
      <w:r w:rsidRPr="00001F7B">
        <w:rPr>
          <w:rFonts w:cstheme="minorHAnsi"/>
          <w:sz w:val="20"/>
          <w:szCs w:val="20"/>
        </w:rPr>
        <w:t>,” …under both monist and dualist conditions, domestic judges may, however, also develop truly parochial views on the import of international law and treat it as a matter of pure expediency. Accordingly, much will depend on the particular judicial culture and outlook towards questions of international law. Awareness about interpretative peculiarities in international law might prevent judges from adopting parochial understandings of international rules.”</w:t>
      </w:r>
    </w:p>
    <w:p w14:paraId="6065C243" w14:textId="0CD32E44" w:rsidR="00E25F47" w:rsidRPr="00001F7B" w:rsidRDefault="00E25F47">
      <w:pPr>
        <w:pStyle w:val="FootnoteText"/>
        <w:rPr>
          <w:rFonts w:cstheme="minorHAnsi"/>
        </w:rPr>
      </w:pPr>
    </w:p>
  </w:footnote>
  <w:footnote w:id="95">
    <w:p w14:paraId="05E64560" w14:textId="488B729D" w:rsidR="00F24557" w:rsidRPr="00001F7B" w:rsidRDefault="00F24557" w:rsidP="00F24557">
      <w:pPr>
        <w:pStyle w:val="FootnoteText"/>
        <w:rPr>
          <w:rFonts w:cstheme="minorHAnsi"/>
        </w:rPr>
      </w:pPr>
      <w:r w:rsidRPr="00001F7B">
        <w:rPr>
          <w:rStyle w:val="FootnoteReference"/>
          <w:rFonts w:cstheme="minorHAnsi"/>
        </w:rPr>
        <w:footnoteRef/>
      </w:r>
      <w:r w:rsidRPr="00001F7B">
        <w:rPr>
          <w:rFonts w:cstheme="minorHAnsi"/>
        </w:rPr>
        <w:t xml:space="preserve"> </w:t>
      </w:r>
      <w:r w:rsidR="00012A90" w:rsidRPr="00001F7B">
        <w:rPr>
          <w:rFonts w:cstheme="minorHAnsi"/>
        </w:rPr>
        <w:t xml:space="preserve">Above, </w:t>
      </w:r>
      <w:proofErr w:type="spellStart"/>
      <w:r w:rsidR="00012A90" w:rsidRPr="00001F7B">
        <w:rPr>
          <w:rFonts w:cstheme="minorHAnsi"/>
        </w:rPr>
        <w:t>fn</w:t>
      </w:r>
      <w:proofErr w:type="spellEnd"/>
      <w:r w:rsidR="00012A90" w:rsidRPr="00001F7B">
        <w:rPr>
          <w:rFonts w:cstheme="minorHAnsi"/>
        </w:rPr>
        <w:t xml:space="preserve"> 7, </w:t>
      </w:r>
      <w:r w:rsidRPr="00001F7B">
        <w:rPr>
          <w:rFonts w:cstheme="minorHAnsi"/>
        </w:rPr>
        <w:t>p 860</w:t>
      </w:r>
    </w:p>
  </w:footnote>
  <w:footnote w:id="96">
    <w:p w14:paraId="6E003357" w14:textId="28B8DAC3" w:rsidR="00F24557" w:rsidRPr="00001F7B" w:rsidRDefault="00F24557" w:rsidP="00F24557">
      <w:pPr>
        <w:pStyle w:val="FootnoteText"/>
        <w:rPr>
          <w:rFonts w:cstheme="minorHAnsi"/>
        </w:rPr>
      </w:pPr>
      <w:r w:rsidRPr="00001F7B">
        <w:rPr>
          <w:rStyle w:val="FootnoteReference"/>
          <w:rFonts w:cstheme="minorHAnsi"/>
        </w:rPr>
        <w:footnoteRef/>
      </w:r>
      <w:r w:rsidRPr="00001F7B">
        <w:rPr>
          <w:rFonts w:cstheme="minorHAnsi"/>
        </w:rPr>
        <w:t xml:space="preserve"> At p 861</w:t>
      </w:r>
      <w:r w:rsidR="00012A90" w:rsidRPr="00001F7B">
        <w:rPr>
          <w:rFonts w:cstheme="minorHAnsi"/>
        </w:rPr>
        <w:t>.</w:t>
      </w:r>
      <w:r w:rsidRPr="00001F7B">
        <w:rPr>
          <w:rFonts w:cstheme="minorHAnsi"/>
        </w:rPr>
        <w:t xml:space="preserve"> </w:t>
      </w:r>
    </w:p>
  </w:footnote>
  <w:footnote w:id="97">
    <w:p w14:paraId="18BE702D" w14:textId="77777777" w:rsidR="00F24557" w:rsidRPr="00001F7B" w:rsidRDefault="00F24557" w:rsidP="00F24557">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Loc</w:t>
      </w:r>
      <w:proofErr w:type="spellEnd"/>
      <w:r w:rsidRPr="00001F7B">
        <w:rPr>
          <w:rFonts w:cstheme="minorHAnsi"/>
        </w:rPr>
        <w:t xml:space="preserve"> </w:t>
      </w:r>
      <w:proofErr w:type="spellStart"/>
      <w:r w:rsidRPr="00001F7B">
        <w:rPr>
          <w:rFonts w:cstheme="minorHAnsi"/>
        </w:rPr>
        <w:t>cit</w:t>
      </w:r>
      <w:proofErr w:type="spellEnd"/>
    </w:p>
  </w:footnote>
  <w:footnote w:id="98">
    <w:p w14:paraId="2280C4AD" w14:textId="0A3913F2" w:rsidR="00F579B8" w:rsidRPr="00001F7B" w:rsidRDefault="00F579B8">
      <w:pPr>
        <w:pStyle w:val="FootnoteText"/>
        <w:rPr>
          <w:rFonts w:cstheme="minorHAnsi"/>
        </w:rPr>
      </w:pPr>
      <w:r w:rsidRPr="00001F7B">
        <w:rPr>
          <w:rStyle w:val="FootnoteReference"/>
          <w:rFonts w:cstheme="minorHAnsi"/>
        </w:rPr>
        <w:footnoteRef/>
      </w:r>
      <w:r w:rsidRPr="00001F7B">
        <w:rPr>
          <w:rFonts w:cstheme="minorHAnsi"/>
        </w:rPr>
        <w:t xml:space="preserve"> </w:t>
      </w:r>
      <w:r w:rsidR="00CB44BD" w:rsidRPr="00001F7B">
        <w:rPr>
          <w:rFonts w:cstheme="minorHAnsi"/>
        </w:rPr>
        <w:t>A single autonomous</w:t>
      </w:r>
      <w:r w:rsidRPr="00001F7B">
        <w:rPr>
          <w:rFonts w:cstheme="minorHAnsi"/>
        </w:rPr>
        <w:t xml:space="preserve"> meaning</w:t>
      </w:r>
      <w:r w:rsidR="00CB44BD" w:rsidRPr="00001F7B">
        <w:rPr>
          <w:rFonts w:cstheme="minorHAnsi"/>
        </w:rPr>
        <w:t>, see</w:t>
      </w:r>
      <w:r w:rsidRPr="00001F7B">
        <w:rPr>
          <w:rFonts w:cstheme="minorHAnsi"/>
        </w:rPr>
        <w:t xml:space="preserve"> Gardiner</w:t>
      </w:r>
      <w:r w:rsidR="00CB44BD" w:rsidRPr="00001F7B">
        <w:rPr>
          <w:rFonts w:cstheme="minorHAnsi"/>
        </w:rPr>
        <w:t xml:space="preserve">, above, </w:t>
      </w:r>
      <w:proofErr w:type="spellStart"/>
      <w:r w:rsidR="00CB44BD" w:rsidRPr="00001F7B">
        <w:rPr>
          <w:rFonts w:cstheme="minorHAnsi"/>
        </w:rPr>
        <w:t>fn</w:t>
      </w:r>
      <w:proofErr w:type="spellEnd"/>
      <w:r w:rsidR="00CB44BD" w:rsidRPr="00001F7B">
        <w:rPr>
          <w:rFonts w:cstheme="minorHAnsi"/>
        </w:rPr>
        <w:t xml:space="preserve"> 5, p 32</w:t>
      </w:r>
      <w:r w:rsidR="00A15F00" w:rsidRPr="00001F7B">
        <w:rPr>
          <w:rFonts w:cstheme="minorHAnsi"/>
        </w:rPr>
        <w:t xml:space="preserve">, </w:t>
      </w:r>
      <w:r w:rsidR="00E169E7" w:rsidRPr="00001F7B">
        <w:rPr>
          <w:rFonts w:cstheme="minorHAnsi"/>
        </w:rPr>
        <w:t xml:space="preserve">see </w:t>
      </w:r>
      <w:r w:rsidR="00E169E7" w:rsidRPr="00001F7B">
        <w:rPr>
          <w:rFonts w:cstheme="minorHAnsi"/>
          <w:i/>
          <w:iCs/>
        </w:rPr>
        <w:t xml:space="preserve">ex </w:t>
      </w:r>
      <w:proofErr w:type="spellStart"/>
      <w:r w:rsidR="00E169E7" w:rsidRPr="00001F7B">
        <w:rPr>
          <w:rFonts w:cstheme="minorHAnsi"/>
          <w:i/>
          <w:iCs/>
        </w:rPr>
        <w:t>parte</w:t>
      </w:r>
      <w:proofErr w:type="spellEnd"/>
      <w:r w:rsidR="00E169E7" w:rsidRPr="00001F7B">
        <w:rPr>
          <w:rFonts w:cstheme="minorHAnsi"/>
          <w:i/>
          <w:iCs/>
        </w:rPr>
        <w:t xml:space="preserve"> Adan</w:t>
      </w:r>
      <w:r w:rsidR="00E169E7" w:rsidRPr="00001F7B">
        <w:rPr>
          <w:rFonts w:cstheme="minorHAnsi"/>
        </w:rPr>
        <w:t xml:space="preserve">, text to </w:t>
      </w:r>
      <w:proofErr w:type="spellStart"/>
      <w:r w:rsidR="00E169E7" w:rsidRPr="00001F7B">
        <w:rPr>
          <w:rFonts w:cstheme="minorHAnsi"/>
        </w:rPr>
        <w:t>fn</w:t>
      </w:r>
      <w:proofErr w:type="spellEnd"/>
      <w:r w:rsidR="00E169E7" w:rsidRPr="00001F7B">
        <w:rPr>
          <w:rFonts w:cstheme="minorHAnsi"/>
        </w:rPr>
        <w:t xml:space="preserve"> 99</w:t>
      </w:r>
      <w:r w:rsidR="00CB44BD" w:rsidRPr="00001F7B">
        <w:rPr>
          <w:rFonts w:cstheme="minorHAnsi"/>
        </w:rPr>
        <w:t>.</w:t>
      </w:r>
    </w:p>
  </w:footnote>
  <w:footnote w:id="99">
    <w:p w14:paraId="5CE22139" w14:textId="7C0DDEC0" w:rsidR="00F24557" w:rsidRPr="00001F7B" w:rsidRDefault="00F24557" w:rsidP="00F24557">
      <w:pPr>
        <w:pStyle w:val="FootnoteText"/>
        <w:rPr>
          <w:rFonts w:cstheme="minorHAnsi"/>
        </w:rPr>
      </w:pPr>
      <w:r w:rsidRPr="00001F7B">
        <w:rPr>
          <w:rStyle w:val="FootnoteReference"/>
          <w:rFonts w:cstheme="minorHAnsi"/>
        </w:rPr>
        <w:footnoteRef/>
      </w:r>
      <w:r w:rsidRPr="00001F7B">
        <w:rPr>
          <w:rFonts w:cstheme="minorHAnsi"/>
        </w:rPr>
        <w:t xml:space="preserve"> Although they recognise that this does not exclude different approaches or techniques of interpretation that have been developed within speciﬁc sub-sets of international law</w:t>
      </w:r>
      <w:r w:rsidR="00E371E6" w:rsidRPr="00001F7B">
        <w:rPr>
          <w:rFonts w:cstheme="minorHAnsi"/>
        </w:rPr>
        <w:t xml:space="preserve">. </w:t>
      </w:r>
      <w:r w:rsidR="00E371E6" w:rsidRPr="00B054EF">
        <w:rPr>
          <w:rFonts w:cstheme="minorHAnsi"/>
        </w:rPr>
        <w:t>See further</w:t>
      </w:r>
      <w:r w:rsidR="000321E2">
        <w:rPr>
          <w:rFonts w:cstheme="minorHAnsi"/>
        </w:rPr>
        <w:t xml:space="preserve"> part</w:t>
      </w:r>
      <w:r w:rsidR="00E371E6" w:rsidRPr="00B054EF">
        <w:rPr>
          <w:rFonts w:cstheme="minorHAnsi"/>
        </w:rPr>
        <w:t xml:space="preserve"> </w:t>
      </w:r>
      <w:r w:rsidR="00B054EF">
        <w:rPr>
          <w:rFonts w:cstheme="minorHAnsi"/>
          <w:b/>
          <w:bCs/>
        </w:rPr>
        <w:t xml:space="preserve">4 </w:t>
      </w:r>
      <w:r w:rsidR="00E371E6" w:rsidRPr="00B054EF">
        <w:rPr>
          <w:rFonts w:cstheme="minorHAnsi"/>
        </w:rPr>
        <w:t>below.</w:t>
      </w:r>
    </w:p>
  </w:footnote>
  <w:footnote w:id="100">
    <w:p w14:paraId="2D16B826" w14:textId="511ECC3F" w:rsidR="00FA175F" w:rsidRPr="00001F7B" w:rsidRDefault="00FA175F">
      <w:pPr>
        <w:pStyle w:val="FootnoteText"/>
        <w:rPr>
          <w:rFonts w:cstheme="minorHAnsi"/>
        </w:rPr>
      </w:pPr>
      <w:r w:rsidRPr="00001F7B">
        <w:rPr>
          <w:rStyle w:val="FootnoteReference"/>
          <w:rFonts w:cstheme="minorHAnsi"/>
        </w:rPr>
        <w:footnoteRef/>
      </w:r>
      <w:r w:rsidRPr="00001F7B">
        <w:rPr>
          <w:rFonts w:cstheme="minorHAnsi"/>
        </w:rPr>
        <w:t xml:space="preserve"> [2001] 2 AC 477, pp 515-517.</w:t>
      </w:r>
    </w:p>
  </w:footnote>
  <w:footnote w:id="101">
    <w:p w14:paraId="5966FBCE" w14:textId="209F101D" w:rsidR="00882A27" w:rsidRPr="00001F7B" w:rsidRDefault="00882A27">
      <w:pPr>
        <w:pStyle w:val="FootnoteText"/>
        <w:rPr>
          <w:rFonts w:cstheme="minorHAnsi"/>
        </w:rPr>
      </w:pPr>
      <w:r w:rsidRPr="00001F7B">
        <w:rPr>
          <w:rStyle w:val="FootnoteReference"/>
          <w:rFonts w:cstheme="minorHAnsi"/>
        </w:rPr>
        <w:footnoteRef/>
      </w:r>
      <w:r w:rsidRPr="00001F7B">
        <w:rPr>
          <w:rFonts w:cstheme="minorHAnsi"/>
        </w:rPr>
        <w:t xml:space="preserve"> P 509.</w:t>
      </w:r>
      <w:r w:rsidR="00AB6608" w:rsidRPr="00001F7B">
        <w:rPr>
          <w:rFonts w:cstheme="minorHAnsi"/>
        </w:rPr>
        <w:t xml:space="preserve"> See further Gardiner</w:t>
      </w:r>
      <w:r w:rsidR="00E169E7" w:rsidRPr="00001F7B">
        <w:rPr>
          <w:rFonts w:cstheme="minorHAnsi"/>
        </w:rPr>
        <w:t xml:space="preserve">, above, </w:t>
      </w:r>
      <w:proofErr w:type="spellStart"/>
      <w:r w:rsidR="00E169E7" w:rsidRPr="00001F7B">
        <w:rPr>
          <w:rFonts w:cstheme="minorHAnsi"/>
        </w:rPr>
        <w:t>fn</w:t>
      </w:r>
      <w:proofErr w:type="spellEnd"/>
      <w:r w:rsidR="00E169E7" w:rsidRPr="00001F7B">
        <w:rPr>
          <w:rFonts w:cstheme="minorHAnsi"/>
        </w:rPr>
        <w:t xml:space="preserve"> 5,</w:t>
      </w:r>
      <w:r w:rsidR="00AB6608" w:rsidRPr="00001F7B">
        <w:rPr>
          <w:rFonts w:cstheme="minorHAnsi"/>
        </w:rPr>
        <w:t xml:space="preserve"> pp 30-33</w:t>
      </w:r>
      <w:r w:rsidR="00002D11" w:rsidRPr="00001F7B">
        <w:rPr>
          <w:rFonts w:cstheme="minorHAnsi"/>
        </w:rPr>
        <w:t>.</w:t>
      </w:r>
    </w:p>
  </w:footnote>
  <w:footnote w:id="102">
    <w:p w14:paraId="0F122A57" w14:textId="15533479" w:rsidR="00002D11" w:rsidRPr="00001F7B" w:rsidRDefault="00002D11" w:rsidP="00F579B8">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 xml:space="preserve">Op </w:t>
      </w:r>
      <w:proofErr w:type="spellStart"/>
      <w:r w:rsidRPr="00001F7B">
        <w:rPr>
          <w:rFonts w:cstheme="minorHAnsi"/>
          <w:i/>
          <w:iCs/>
        </w:rPr>
        <w:t>cit</w:t>
      </w:r>
      <w:proofErr w:type="spellEnd"/>
      <w:r w:rsidRPr="00001F7B">
        <w:rPr>
          <w:rFonts w:cstheme="minorHAnsi"/>
        </w:rPr>
        <w:t xml:space="preserve"> pp </w:t>
      </w:r>
      <w:r w:rsidR="00A31E40" w:rsidRPr="00001F7B">
        <w:rPr>
          <w:rFonts w:cstheme="minorHAnsi"/>
        </w:rPr>
        <w:t>473-486.</w:t>
      </w:r>
      <w:r w:rsidR="00F579B8" w:rsidRPr="00001F7B">
        <w:rPr>
          <w:rFonts w:cstheme="minorHAnsi"/>
        </w:rPr>
        <w:t xml:space="preserve"> Note from a normative perspective </w:t>
      </w:r>
      <w:proofErr w:type="spellStart"/>
      <w:r w:rsidR="00F579B8" w:rsidRPr="00001F7B">
        <w:rPr>
          <w:rFonts w:cstheme="minorHAnsi"/>
        </w:rPr>
        <w:t>Aust</w:t>
      </w:r>
      <w:proofErr w:type="spellEnd"/>
      <w:r w:rsidR="00E169E7" w:rsidRPr="00001F7B">
        <w:rPr>
          <w:rFonts w:cstheme="minorHAnsi"/>
        </w:rPr>
        <w:t xml:space="preserve">, above, </w:t>
      </w:r>
      <w:proofErr w:type="spellStart"/>
      <w:r w:rsidR="00E169E7" w:rsidRPr="00001F7B">
        <w:rPr>
          <w:rFonts w:cstheme="minorHAnsi"/>
        </w:rPr>
        <w:t>fn</w:t>
      </w:r>
      <w:proofErr w:type="spellEnd"/>
      <w:r w:rsidR="00E169E7" w:rsidRPr="00001F7B">
        <w:rPr>
          <w:rFonts w:cstheme="minorHAnsi"/>
        </w:rPr>
        <w:t xml:space="preserve"> 71,</w:t>
      </w:r>
      <w:r w:rsidR="00F21914" w:rsidRPr="00001F7B">
        <w:rPr>
          <w:rFonts w:cstheme="minorHAnsi"/>
        </w:rPr>
        <w:t xml:space="preserve"> </w:t>
      </w:r>
      <w:r w:rsidR="00F579B8" w:rsidRPr="00001F7B">
        <w:rPr>
          <w:rFonts w:cstheme="minorHAnsi"/>
        </w:rPr>
        <w:t>just after n 62_ “if law is to remain a valuable social force, it needs to uphold and defend the fiction that there is one correct result of the legal exercise of interpretation, that the content of a legal obligation can be determined.</w:t>
      </w:r>
      <w:r w:rsidR="00486BBE" w:rsidRPr="00001F7B">
        <w:rPr>
          <w:rFonts w:cstheme="minorHAnsi"/>
        </w:rPr>
        <w:t>”</w:t>
      </w:r>
    </w:p>
  </w:footnote>
  <w:footnote w:id="103">
    <w:p w14:paraId="37B3AD97" w14:textId="1FD70579" w:rsidR="000B502A" w:rsidRPr="00001F7B" w:rsidRDefault="000B502A" w:rsidP="00BA2645">
      <w:pPr>
        <w:pStyle w:val="FootnoteText"/>
        <w:rPr>
          <w:rFonts w:cstheme="minorHAnsi"/>
        </w:rPr>
      </w:pPr>
      <w:r w:rsidRPr="00001F7B">
        <w:rPr>
          <w:rStyle w:val="FootnoteReference"/>
          <w:rFonts w:cstheme="minorHAnsi"/>
        </w:rPr>
        <w:footnoteRef/>
      </w:r>
      <w:r w:rsidRPr="00001F7B">
        <w:rPr>
          <w:rFonts w:cstheme="minorHAnsi"/>
        </w:rPr>
        <w:t xml:space="preserve"> Sinclair, ‘The Principles of Treaty Interpretation and Their Application by the English Courts</w:t>
      </w:r>
      <w:r w:rsidR="00BF1147">
        <w:rPr>
          <w:rFonts w:cstheme="minorHAnsi"/>
        </w:rPr>
        <w:t>’</w:t>
      </w:r>
      <w:r w:rsidRPr="00001F7B">
        <w:rPr>
          <w:rFonts w:cstheme="minorHAnsi"/>
        </w:rPr>
        <w:t xml:space="preserve"> (1963) 12 ICLQ 508, 525.</w:t>
      </w:r>
      <w:r w:rsidR="00915A6C" w:rsidRPr="00001F7B">
        <w:rPr>
          <w:rFonts w:cstheme="minorHAnsi"/>
        </w:rPr>
        <w:t xml:space="preserve"> </w:t>
      </w:r>
      <w:r w:rsidR="00DC7278" w:rsidRPr="00001F7B">
        <w:rPr>
          <w:rFonts w:cstheme="minorHAnsi"/>
        </w:rPr>
        <w:t xml:space="preserve">See also Cranston J in </w:t>
      </w:r>
      <w:r w:rsidR="00DC7278" w:rsidRPr="00001F7B">
        <w:rPr>
          <w:rFonts w:cstheme="minorHAnsi"/>
          <w:i/>
          <w:iCs/>
        </w:rPr>
        <w:t>R (Al-Haq) v Secretary of State for Foreign and Commonwealth Affairs</w:t>
      </w:r>
      <w:r w:rsidR="00DC7278" w:rsidRPr="00001F7B">
        <w:rPr>
          <w:rFonts w:cstheme="minorHAnsi"/>
        </w:rPr>
        <w:t xml:space="preserve"> [2009] EWHC 1910 at </w:t>
      </w:r>
      <w:r w:rsidR="00580126" w:rsidRPr="00001F7B">
        <w:rPr>
          <w:rFonts w:cstheme="minorHAnsi"/>
        </w:rPr>
        <w:t xml:space="preserve">para </w:t>
      </w:r>
      <w:r w:rsidR="00DC7278" w:rsidRPr="00001F7B">
        <w:rPr>
          <w:rFonts w:cstheme="minorHAnsi"/>
        </w:rPr>
        <w:t xml:space="preserve">60. </w:t>
      </w:r>
      <w:r w:rsidR="00915A6C" w:rsidRPr="00001F7B">
        <w:rPr>
          <w:rFonts w:cstheme="minorHAnsi"/>
        </w:rPr>
        <w:t xml:space="preserve">There is, however, the view that no legislation is required to implement a treaty </w:t>
      </w:r>
      <w:r w:rsidR="00A75D49" w:rsidRPr="00001F7B">
        <w:rPr>
          <w:rFonts w:cstheme="minorHAnsi"/>
        </w:rPr>
        <w:t>which keeps wholly within the limits of the Royal Prerogative and which constitutes an exercise of that prerogative consistent with the existing law, Lowe and Williams</w:t>
      </w:r>
      <w:r w:rsidR="00580126" w:rsidRPr="00001F7B">
        <w:rPr>
          <w:rFonts w:cstheme="minorHAnsi"/>
        </w:rPr>
        <w:t>, above,</w:t>
      </w:r>
      <w:r w:rsidR="00A75D49" w:rsidRPr="00001F7B">
        <w:rPr>
          <w:rFonts w:cstheme="minorHAnsi"/>
        </w:rPr>
        <w:t xml:space="preserve"> </w:t>
      </w:r>
      <w:r w:rsidR="00580126" w:rsidRPr="00001F7B">
        <w:rPr>
          <w:rFonts w:cstheme="minorHAnsi"/>
        </w:rPr>
        <w:t xml:space="preserve">p </w:t>
      </w:r>
      <w:r w:rsidR="00A75D49" w:rsidRPr="00001F7B">
        <w:rPr>
          <w:rFonts w:cstheme="minorHAnsi"/>
        </w:rPr>
        <w:t xml:space="preserve">455. </w:t>
      </w:r>
      <w:r w:rsidR="00BA2645" w:rsidRPr="00001F7B">
        <w:rPr>
          <w:rFonts w:cstheme="minorHAnsi"/>
        </w:rPr>
        <w:t>They argue that most matters covered by VCLT fall within the prerogative and should the Crown decide to instruct a court as to the interpretation of a treaty the courts should adhere to it without requiring legislative authority. In the absence of such instruction: “the courts</w:t>
      </w:r>
      <w:r w:rsidR="00DC7278" w:rsidRPr="00001F7B">
        <w:rPr>
          <w:rFonts w:cstheme="minorHAnsi"/>
        </w:rPr>
        <w:t xml:space="preserve"> </w:t>
      </w:r>
      <w:r w:rsidR="00BA2645" w:rsidRPr="00001F7B">
        <w:rPr>
          <w:rFonts w:cstheme="minorHAnsi"/>
        </w:rPr>
        <w:t>should apply on their own initiative the relevant rules of international law: the rules of the Vienna Convention where they</w:t>
      </w:r>
      <w:r w:rsidR="00782533" w:rsidRPr="00001F7B">
        <w:rPr>
          <w:rFonts w:cstheme="minorHAnsi"/>
        </w:rPr>
        <w:t xml:space="preserve"> </w:t>
      </w:r>
      <w:r w:rsidR="00BA2645" w:rsidRPr="00001F7B">
        <w:rPr>
          <w:rFonts w:cstheme="minorHAnsi"/>
        </w:rPr>
        <w:t>apply, or otherwise the rules of customary law</w:t>
      </w:r>
      <w:r w:rsidR="00782533" w:rsidRPr="00001F7B">
        <w:rPr>
          <w:rFonts w:cstheme="minorHAnsi"/>
        </w:rPr>
        <w:t>”</w:t>
      </w:r>
      <w:r w:rsidR="00BA2645" w:rsidRPr="00001F7B">
        <w:rPr>
          <w:rFonts w:cstheme="minorHAnsi"/>
        </w:rPr>
        <w:t xml:space="preserve"> </w:t>
      </w:r>
      <w:r w:rsidR="00782533" w:rsidRPr="00001F7B">
        <w:rPr>
          <w:rFonts w:cstheme="minorHAnsi"/>
        </w:rPr>
        <w:t>(p</w:t>
      </w:r>
      <w:r w:rsidR="00580126" w:rsidRPr="00001F7B">
        <w:rPr>
          <w:rFonts w:cstheme="minorHAnsi"/>
        </w:rPr>
        <w:t xml:space="preserve"> </w:t>
      </w:r>
      <w:r w:rsidR="00782533" w:rsidRPr="00001F7B">
        <w:rPr>
          <w:rFonts w:cstheme="minorHAnsi"/>
        </w:rPr>
        <w:t>456</w:t>
      </w:r>
      <w:r w:rsidR="00C72E39" w:rsidRPr="00001F7B">
        <w:rPr>
          <w:rFonts w:cstheme="minorHAnsi"/>
        </w:rPr>
        <w:t>, on CIL, however, see further below)</w:t>
      </w:r>
      <w:r w:rsidR="00782533" w:rsidRPr="00001F7B">
        <w:rPr>
          <w:rFonts w:cstheme="minorHAnsi"/>
        </w:rPr>
        <w:t xml:space="preserve">. This reflects the comment made by Lord Diplock in </w:t>
      </w:r>
      <w:proofErr w:type="spellStart"/>
      <w:r w:rsidR="00782533" w:rsidRPr="00001F7B">
        <w:rPr>
          <w:rFonts w:cstheme="minorHAnsi"/>
          <w:i/>
          <w:iCs/>
        </w:rPr>
        <w:t>Fothergill</w:t>
      </w:r>
      <w:proofErr w:type="spellEnd"/>
      <w:r w:rsidR="00782533" w:rsidRPr="00001F7B">
        <w:rPr>
          <w:rFonts w:cstheme="minorHAnsi"/>
        </w:rPr>
        <w:t xml:space="preserve"> </w:t>
      </w:r>
      <w:r w:rsidR="00616366" w:rsidRPr="00001F7B">
        <w:rPr>
          <w:rFonts w:cstheme="minorHAnsi"/>
        </w:rPr>
        <w:t xml:space="preserve">(reproduced in the </w:t>
      </w:r>
      <w:r w:rsidR="00024C56" w:rsidRPr="00001F7B">
        <w:rPr>
          <w:rFonts w:cstheme="minorHAnsi"/>
        </w:rPr>
        <w:t>Review of UK Law</w:t>
      </w:r>
      <w:r w:rsidR="00616366" w:rsidRPr="00001F7B">
        <w:rPr>
          <w:rFonts w:cstheme="minorHAnsi"/>
        </w:rPr>
        <w:t xml:space="preserve">) </w:t>
      </w:r>
      <w:r w:rsidR="00782533" w:rsidRPr="00001F7B">
        <w:rPr>
          <w:rFonts w:cstheme="minorHAnsi"/>
        </w:rPr>
        <w:t>that courts would be under a constitutional obligation to interpret future treaties in accordance with the Rules in order to carry out the international obligation of the UK having ratified</w:t>
      </w:r>
      <w:r w:rsidR="00616366" w:rsidRPr="00001F7B">
        <w:rPr>
          <w:rFonts w:cstheme="minorHAnsi"/>
        </w:rPr>
        <w:t xml:space="preserve"> the </w:t>
      </w:r>
      <w:r w:rsidR="00782533" w:rsidRPr="00001F7B">
        <w:rPr>
          <w:rFonts w:cstheme="minorHAnsi"/>
        </w:rPr>
        <w:t xml:space="preserve">VCLT. </w:t>
      </w:r>
      <w:r w:rsidR="00616366" w:rsidRPr="00001F7B">
        <w:rPr>
          <w:rFonts w:cstheme="minorHAnsi"/>
        </w:rPr>
        <w:t>See also, Crawford, ‘Decisions of British Courts during 1980 Involving Questions of Public International Law’</w:t>
      </w:r>
      <w:r w:rsidR="00BF1147">
        <w:rPr>
          <w:rFonts w:cstheme="minorHAnsi"/>
        </w:rPr>
        <w:t xml:space="preserve"> </w:t>
      </w:r>
      <w:r w:rsidR="00616366" w:rsidRPr="00001F7B">
        <w:rPr>
          <w:rFonts w:cstheme="minorHAnsi"/>
        </w:rPr>
        <w:t>(1980) 51 BYBIL (1980) 303-32, 325.</w:t>
      </w:r>
      <w:r w:rsidR="00915A6C" w:rsidRPr="00001F7B">
        <w:rPr>
          <w:rFonts w:cstheme="minorHAnsi"/>
        </w:rPr>
        <w:t xml:space="preserve"> </w:t>
      </w:r>
    </w:p>
  </w:footnote>
  <w:footnote w:id="104">
    <w:p w14:paraId="3F69047A" w14:textId="50053EE5" w:rsidR="00AE1A70" w:rsidRPr="00001F7B" w:rsidRDefault="00AE1A70" w:rsidP="009701D2">
      <w:pPr>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r w:rsidR="00F513CF" w:rsidRPr="00001F7B">
        <w:rPr>
          <w:rFonts w:cstheme="minorHAnsi"/>
          <w:sz w:val="20"/>
          <w:szCs w:val="20"/>
        </w:rPr>
        <w:t>Gardiner</w:t>
      </w:r>
      <w:r w:rsidR="000C1B40" w:rsidRPr="00001F7B">
        <w:rPr>
          <w:rFonts w:cstheme="minorHAnsi"/>
          <w:sz w:val="20"/>
          <w:szCs w:val="20"/>
        </w:rPr>
        <w:t xml:space="preserve">, above, </w:t>
      </w:r>
      <w:proofErr w:type="spellStart"/>
      <w:r w:rsidR="000C1B40" w:rsidRPr="00001F7B">
        <w:rPr>
          <w:rFonts w:cstheme="minorHAnsi"/>
          <w:sz w:val="20"/>
          <w:szCs w:val="20"/>
        </w:rPr>
        <w:t>fn</w:t>
      </w:r>
      <w:proofErr w:type="spellEnd"/>
      <w:r w:rsidR="000C1B40" w:rsidRPr="00001F7B">
        <w:rPr>
          <w:rFonts w:cstheme="minorHAnsi"/>
          <w:sz w:val="20"/>
          <w:szCs w:val="20"/>
        </w:rPr>
        <w:t xml:space="preserve"> 5,</w:t>
      </w:r>
      <w:r w:rsidR="00F513CF" w:rsidRPr="00001F7B">
        <w:rPr>
          <w:rFonts w:cstheme="minorHAnsi"/>
          <w:sz w:val="20"/>
          <w:szCs w:val="20"/>
        </w:rPr>
        <w:t xml:space="preserve"> p 148.</w:t>
      </w:r>
      <w:r w:rsidR="00C91D9C" w:rsidRPr="00001F7B">
        <w:rPr>
          <w:rFonts w:cstheme="minorHAnsi"/>
          <w:sz w:val="20"/>
          <w:szCs w:val="20"/>
        </w:rPr>
        <w:t xml:space="preserve"> </w:t>
      </w:r>
      <w:r w:rsidR="00DE5F02" w:rsidRPr="00001F7B">
        <w:rPr>
          <w:rFonts w:cstheme="minorHAnsi"/>
          <w:sz w:val="20"/>
          <w:szCs w:val="20"/>
        </w:rPr>
        <w:t xml:space="preserve">Waibel, above </w:t>
      </w:r>
      <w:proofErr w:type="spellStart"/>
      <w:r w:rsidR="00DE5F02" w:rsidRPr="00001F7B">
        <w:rPr>
          <w:rFonts w:cstheme="minorHAnsi"/>
          <w:sz w:val="20"/>
          <w:szCs w:val="20"/>
        </w:rPr>
        <w:t>fn</w:t>
      </w:r>
      <w:proofErr w:type="spellEnd"/>
      <w:r w:rsidR="00DE5F02" w:rsidRPr="00001F7B">
        <w:rPr>
          <w:rFonts w:cstheme="minorHAnsi"/>
          <w:sz w:val="20"/>
          <w:szCs w:val="20"/>
        </w:rPr>
        <w:t xml:space="preserve"> </w:t>
      </w:r>
      <w:r w:rsidR="000C1B40" w:rsidRPr="00001F7B">
        <w:rPr>
          <w:rFonts w:cstheme="minorHAnsi"/>
          <w:sz w:val="20"/>
          <w:szCs w:val="20"/>
        </w:rPr>
        <w:t>3</w:t>
      </w:r>
      <w:r w:rsidR="00DE5F02" w:rsidRPr="00001F7B">
        <w:rPr>
          <w:rFonts w:cstheme="minorHAnsi"/>
          <w:sz w:val="20"/>
          <w:szCs w:val="20"/>
        </w:rPr>
        <w:t xml:space="preserve">, p </w:t>
      </w:r>
      <w:r w:rsidR="002F3C6A" w:rsidRPr="00001F7B">
        <w:rPr>
          <w:rFonts w:cstheme="minorHAnsi"/>
          <w:sz w:val="20"/>
          <w:szCs w:val="20"/>
        </w:rPr>
        <w:t>20</w:t>
      </w:r>
      <w:r w:rsidR="00DE5F02" w:rsidRPr="00001F7B">
        <w:rPr>
          <w:rFonts w:cstheme="minorHAnsi"/>
          <w:sz w:val="20"/>
          <w:szCs w:val="20"/>
        </w:rPr>
        <w:t xml:space="preserve"> </w:t>
      </w:r>
      <w:r w:rsidR="00C91D9C" w:rsidRPr="00001F7B">
        <w:rPr>
          <w:rFonts w:cstheme="minorHAnsi"/>
          <w:sz w:val="20"/>
          <w:szCs w:val="20"/>
        </w:rPr>
        <w:t xml:space="preserve">recites some of the traditional rules </w:t>
      </w:r>
      <w:r w:rsidR="00024C56" w:rsidRPr="00001F7B">
        <w:rPr>
          <w:rFonts w:cstheme="minorHAnsi"/>
          <w:sz w:val="20"/>
          <w:szCs w:val="20"/>
        </w:rPr>
        <w:t>e.g.,</w:t>
      </w:r>
      <w:r w:rsidR="00C91D9C" w:rsidRPr="00001F7B">
        <w:rPr>
          <w:rFonts w:cstheme="minorHAnsi"/>
          <w:sz w:val="20"/>
          <w:szCs w:val="20"/>
        </w:rPr>
        <w:t xml:space="preserve"> t</w:t>
      </w:r>
      <w:r w:rsidR="00DE5F02" w:rsidRPr="00001F7B">
        <w:rPr>
          <w:rFonts w:cstheme="minorHAnsi"/>
          <w:sz w:val="20"/>
          <w:szCs w:val="20"/>
        </w:rPr>
        <w:t>he starting point for interpreting treaties in English law is the text of the instrument transforming treaty obligations into English law. Only if the text is ambiguous, will courts look to the treaty to resolve the ambiguity</w:t>
      </w:r>
      <w:r w:rsidR="00C91D9C" w:rsidRPr="00001F7B">
        <w:rPr>
          <w:rFonts w:cstheme="minorHAnsi"/>
          <w:sz w:val="20"/>
          <w:szCs w:val="20"/>
        </w:rPr>
        <w:t xml:space="preserve">, citing </w:t>
      </w:r>
      <w:r w:rsidR="00DE5F02" w:rsidRPr="00001F7B">
        <w:rPr>
          <w:rFonts w:cstheme="minorHAnsi"/>
          <w:i/>
          <w:iCs/>
          <w:sz w:val="20"/>
          <w:szCs w:val="20"/>
        </w:rPr>
        <w:t>Salomon</w:t>
      </w:r>
      <w:r w:rsidR="00DE5F02" w:rsidRPr="00001F7B">
        <w:rPr>
          <w:rFonts w:cstheme="minorHAnsi"/>
          <w:sz w:val="20"/>
          <w:szCs w:val="20"/>
        </w:rPr>
        <w:t xml:space="preserve"> </w:t>
      </w:r>
      <w:r w:rsidR="00DE5F02" w:rsidRPr="00001F7B">
        <w:rPr>
          <w:rFonts w:cstheme="minorHAnsi"/>
          <w:i/>
          <w:iCs/>
          <w:sz w:val="20"/>
          <w:szCs w:val="20"/>
        </w:rPr>
        <w:t>v Commissioners of Customs and Excise</w:t>
      </w:r>
      <w:r w:rsidR="00DE5F02" w:rsidRPr="00001F7B">
        <w:rPr>
          <w:rFonts w:cstheme="minorHAnsi"/>
          <w:sz w:val="20"/>
          <w:szCs w:val="20"/>
        </w:rPr>
        <w:t xml:space="preserve"> [1967] 2 QB 116 (CA); </w:t>
      </w:r>
      <w:bookmarkStart w:id="11" w:name="_Hlk112620710"/>
      <w:r w:rsidR="00DE5F02" w:rsidRPr="00001F7B">
        <w:rPr>
          <w:rFonts w:cstheme="minorHAnsi"/>
          <w:i/>
          <w:iCs/>
          <w:sz w:val="20"/>
          <w:szCs w:val="20"/>
        </w:rPr>
        <w:t>Arab Banking Corporation v International Tin Council,</w:t>
      </w:r>
      <w:r w:rsidR="00DE5F02" w:rsidRPr="00001F7B">
        <w:rPr>
          <w:rFonts w:cstheme="minorHAnsi"/>
          <w:sz w:val="20"/>
          <w:szCs w:val="20"/>
        </w:rPr>
        <w:t xml:space="preserve"> </w:t>
      </w:r>
      <w:r w:rsidR="00953D15" w:rsidRPr="00001F7B">
        <w:rPr>
          <w:rFonts w:cstheme="minorHAnsi"/>
          <w:sz w:val="20"/>
          <w:szCs w:val="20"/>
        </w:rPr>
        <w:t xml:space="preserve">(1986) </w:t>
      </w:r>
      <w:r w:rsidR="00DE5F02" w:rsidRPr="00001F7B">
        <w:rPr>
          <w:rFonts w:cstheme="minorHAnsi"/>
          <w:sz w:val="20"/>
          <w:szCs w:val="20"/>
        </w:rPr>
        <w:t>77 ILR 1 (Steyn J)</w:t>
      </w:r>
      <w:bookmarkEnd w:id="11"/>
      <w:r w:rsidR="009E1598" w:rsidRPr="00001F7B">
        <w:rPr>
          <w:rFonts w:cstheme="minorHAnsi"/>
          <w:sz w:val="20"/>
          <w:szCs w:val="20"/>
        </w:rPr>
        <w:t xml:space="preserve"> (but keep in mind that the treaty rules attached to a schedule as with CMR are </w:t>
      </w:r>
      <w:r w:rsidR="00B85495" w:rsidRPr="00001F7B">
        <w:rPr>
          <w:rFonts w:cstheme="minorHAnsi"/>
          <w:sz w:val="20"/>
          <w:szCs w:val="20"/>
        </w:rPr>
        <w:t>p</w:t>
      </w:r>
      <w:r w:rsidR="009E1598" w:rsidRPr="00001F7B">
        <w:rPr>
          <w:rFonts w:cstheme="minorHAnsi"/>
          <w:sz w:val="20"/>
          <w:szCs w:val="20"/>
        </w:rPr>
        <w:t xml:space="preserve">art </w:t>
      </w:r>
      <w:r w:rsidR="00B85495" w:rsidRPr="00001F7B">
        <w:rPr>
          <w:rFonts w:cstheme="minorHAnsi"/>
          <w:sz w:val="20"/>
          <w:szCs w:val="20"/>
        </w:rPr>
        <w:t>of</w:t>
      </w:r>
      <w:r w:rsidR="009E1598" w:rsidRPr="00001F7B">
        <w:rPr>
          <w:rFonts w:cstheme="minorHAnsi"/>
          <w:sz w:val="20"/>
          <w:szCs w:val="20"/>
        </w:rPr>
        <w:t xml:space="preserve"> the Act).</w:t>
      </w:r>
      <w:r w:rsidR="000C1B40" w:rsidRPr="00001F7B">
        <w:rPr>
          <w:rFonts w:cstheme="minorHAnsi"/>
          <w:sz w:val="20"/>
          <w:szCs w:val="20"/>
        </w:rPr>
        <w:t xml:space="preserve"> </w:t>
      </w:r>
      <w:r w:rsidR="00DE5F02" w:rsidRPr="00001F7B">
        <w:rPr>
          <w:rFonts w:cstheme="minorHAnsi"/>
          <w:sz w:val="20"/>
          <w:szCs w:val="20"/>
        </w:rPr>
        <w:t>It is also only in cases of ambiguity that the well-known presumption that Parliament intended to comply with the UK’s international obligations comes into play</w:t>
      </w:r>
      <w:r w:rsidR="009E2B75" w:rsidRPr="00001F7B">
        <w:rPr>
          <w:rFonts w:cstheme="minorHAnsi"/>
          <w:sz w:val="20"/>
          <w:szCs w:val="20"/>
        </w:rPr>
        <w:t>, citing</w:t>
      </w:r>
      <w:r w:rsidR="00DE5F02" w:rsidRPr="00001F7B">
        <w:rPr>
          <w:rFonts w:cstheme="minorHAnsi"/>
          <w:sz w:val="20"/>
          <w:szCs w:val="20"/>
        </w:rPr>
        <w:t xml:space="preserve"> </w:t>
      </w:r>
      <w:r w:rsidR="00DE5F02" w:rsidRPr="00001F7B">
        <w:rPr>
          <w:rFonts w:cstheme="minorHAnsi"/>
          <w:i/>
          <w:iCs/>
          <w:sz w:val="20"/>
          <w:szCs w:val="20"/>
        </w:rPr>
        <w:t xml:space="preserve">Regina v Gul (Mohammed), </w:t>
      </w:r>
      <w:r w:rsidR="00DE5F02" w:rsidRPr="00001F7B">
        <w:rPr>
          <w:rFonts w:cstheme="minorHAnsi"/>
          <w:sz w:val="20"/>
          <w:szCs w:val="20"/>
        </w:rPr>
        <w:t>[2013] UKSC 64</w:t>
      </w:r>
      <w:r w:rsidR="00942F85" w:rsidRPr="00001F7B">
        <w:rPr>
          <w:rFonts w:cstheme="minorHAnsi"/>
          <w:sz w:val="20"/>
          <w:szCs w:val="20"/>
        </w:rPr>
        <w:t xml:space="preserve"> (i</w:t>
      </w:r>
      <w:r w:rsidR="00FF35C1" w:rsidRPr="00001F7B">
        <w:rPr>
          <w:rFonts w:cstheme="minorHAnsi"/>
          <w:sz w:val="20"/>
          <w:szCs w:val="20"/>
        </w:rPr>
        <w:t xml:space="preserve">.e., the presumption of conformity applied commonly in monist and dualist states, see </w:t>
      </w:r>
      <w:proofErr w:type="spellStart"/>
      <w:r w:rsidR="00FF35C1" w:rsidRPr="00001F7B">
        <w:rPr>
          <w:rFonts w:cstheme="minorHAnsi"/>
          <w:sz w:val="20"/>
          <w:szCs w:val="20"/>
        </w:rPr>
        <w:t>Sloss</w:t>
      </w:r>
      <w:proofErr w:type="spellEnd"/>
      <w:r w:rsidR="00FF35C1" w:rsidRPr="00001F7B">
        <w:rPr>
          <w:rFonts w:cstheme="minorHAnsi"/>
          <w:sz w:val="20"/>
          <w:szCs w:val="20"/>
        </w:rPr>
        <w:t xml:space="preserve">, </w:t>
      </w:r>
      <w:r w:rsidR="00766E62" w:rsidRPr="00001F7B">
        <w:rPr>
          <w:rFonts w:cstheme="minorHAnsi"/>
          <w:sz w:val="20"/>
          <w:szCs w:val="20"/>
        </w:rPr>
        <w:t xml:space="preserve">‘International law in domestic courts’ </w:t>
      </w:r>
      <w:proofErr w:type="spellStart"/>
      <w:r w:rsidR="0027100C" w:rsidRPr="00001F7B">
        <w:rPr>
          <w:rFonts w:cstheme="minorHAnsi"/>
          <w:sz w:val="20"/>
          <w:szCs w:val="20"/>
        </w:rPr>
        <w:t>ch</w:t>
      </w:r>
      <w:proofErr w:type="spellEnd"/>
      <w:r w:rsidR="0027100C" w:rsidRPr="00001F7B">
        <w:rPr>
          <w:rFonts w:cstheme="minorHAnsi"/>
          <w:sz w:val="20"/>
          <w:szCs w:val="20"/>
        </w:rPr>
        <w:t xml:space="preserve"> 4 (with Van </w:t>
      </w:r>
      <w:proofErr w:type="spellStart"/>
      <w:r w:rsidR="0027100C" w:rsidRPr="00001F7B">
        <w:rPr>
          <w:rFonts w:cstheme="minorHAnsi"/>
          <w:sz w:val="20"/>
          <w:szCs w:val="20"/>
        </w:rPr>
        <w:t>Alstine</w:t>
      </w:r>
      <w:proofErr w:type="spellEnd"/>
      <w:r w:rsidR="0027100C" w:rsidRPr="00001F7B">
        <w:rPr>
          <w:rFonts w:cstheme="minorHAnsi"/>
          <w:sz w:val="20"/>
          <w:szCs w:val="20"/>
        </w:rPr>
        <w:t xml:space="preserve">) in </w:t>
      </w:r>
      <w:r w:rsidR="0027100C" w:rsidRPr="00001F7B">
        <w:rPr>
          <w:rFonts w:cstheme="minorHAnsi"/>
          <w:i/>
          <w:iCs/>
          <w:sz w:val="20"/>
          <w:szCs w:val="20"/>
        </w:rPr>
        <w:t>Research Handbook on the Politics of International Law</w:t>
      </w:r>
      <w:r w:rsidR="0027100C" w:rsidRPr="00001F7B">
        <w:rPr>
          <w:rFonts w:cstheme="minorHAnsi"/>
          <w:sz w:val="20"/>
          <w:szCs w:val="20"/>
        </w:rPr>
        <w:t xml:space="preserve"> </w:t>
      </w:r>
      <w:proofErr w:type="spellStart"/>
      <w:r w:rsidR="00E35B37" w:rsidRPr="00001F7B">
        <w:rPr>
          <w:rFonts w:cstheme="minorHAnsi"/>
          <w:sz w:val="20"/>
          <w:szCs w:val="20"/>
        </w:rPr>
        <w:t>Sandholtz</w:t>
      </w:r>
      <w:proofErr w:type="spellEnd"/>
      <w:r w:rsidR="00E35B37" w:rsidRPr="00001F7B">
        <w:rPr>
          <w:rFonts w:cstheme="minorHAnsi"/>
          <w:sz w:val="20"/>
          <w:szCs w:val="20"/>
        </w:rPr>
        <w:t xml:space="preserve"> and </w:t>
      </w:r>
      <w:proofErr w:type="spellStart"/>
      <w:r w:rsidR="00E35B37" w:rsidRPr="00001F7B">
        <w:rPr>
          <w:rFonts w:cstheme="minorHAnsi"/>
          <w:sz w:val="20"/>
          <w:szCs w:val="20"/>
        </w:rPr>
        <w:t>Whytock</w:t>
      </w:r>
      <w:proofErr w:type="spellEnd"/>
      <w:r w:rsidR="00E35B37" w:rsidRPr="00001F7B">
        <w:rPr>
          <w:rFonts w:cstheme="minorHAnsi"/>
          <w:sz w:val="20"/>
          <w:szCs w:val="20"/>
        </w:rPr>
        <w:t xml:space="preserve"> (eds), </w:t>
      </w:r>
      <w:r w:rsidR="0027100C" w:rsidRPr="00001F7B">
        <w:rPr>
          <w:rFonts w:cstheme="minorHAnsi"/>
          <w:sz w:val="20"/>
          <w:szCs w:val="20"/>
        </w:rPr>
        <w:t>2017</w:t>
      </w:r>
      <w:r w:rsidR="00E35B37" w:rsidRPr="00001F7B">
        <w:rPr>
          <w:rFonts w:cstheme="minorHAnsi"/>
          <w:sz w:val="20"/>
          <w:szCs w:val="20"/>
        </w:rPr>
        <w:t>,</w:t>
      </w:r>
      <w:r w:rsidR="0027100C" w:rsidRPr="00001F7B">
        <w:rPr>
          <w:rFonts w:cstheme="minorHAnsi"/>
          <w:sz w:val="20"/>
          <w:szCs w:val="20"/>
        </w:rPr>
        <w:t xml:space="preserve"> Edward Elgar</w:t>
      </w:r>
      <w:r w:rsidR="00E35B37" w:rsidRPr="00001F7B">
        <w:rPr>
          <w:rFonts w:cstheme="minorHAnsi"/>
          <w:sz w:val="20"/>
          <w:szCs w:val="20"/>
        </w:rPr>
        <w:t>, p 106</w:t>
      </w:r>
      <w:r w:rsidR="00A07A73">
        <w:rPr>
          <w:rFonts w:cstheme="minorHAnsi"/>
          <w:sz w:val="20"/>
          <w:szCs w:val="20"/>
        </w:rPr>
        <w:t>)</w:t>
      </w:r>
      <w:r w:rsidR="009E2B75" w:rsidRPr="00001F7B">
        <w:rPr>
          <w:rFonts w:cstheme="minorHAnsi"/>
          <w:sz w:val="20"/>
          <w:szCs w:val="20"/>
        </w:rPr>
        <w:t xml:space="preserve">. </w:t>
      </w:r>
      <w:r w:rsidR="0027100C" w:rsidRPr="00001F7B">
        <w:rPr>
          <w:rFonts w:cstheme="minorHAnsi"/>
          <w:sz w:val="20"/>
          <w:szCs w:val="20"/>
        </w:rPr>
        <w:t>Waibe</w:t>
      </w:r>
      <w:r w:rsidR="003B4881" w:rsidRPr="00001F7B">
        <w:rPr>
          <w:rFonts w:cstheme="minorHAnsi"/>
          <w:sz w:val="20"/>
          <w:szCs w:val="20"/>
        </w:rPr>
        <w:t xml:space="preserve">l, above, </w:t>
      </w:r>
      <w:proofErr w:type="spellStart"/>
      <w:r w:rsidR="003B4881" w:rsidRPr="00001F7B">
        <w:rPr>
          <w:rFonts w:cstheme="minorHAnsi"/>
          <w:sz w:val="20"/>
          <w:szCs w:val="20"/>
        </w:rPr>
        <w:t>fn</w:t>
      </w:r>
      <w:proofErr w:type="spellEnd"/>
      <w:r w:rsidR="003B4881" w:rsidRPr="00001F7B">
        <w:rPr>
          <w:rFonts w:cstheme="minorHAnsi"/>
          <w:sz w:val="20"/>
          <w:szCs w:val="20"/>
        </w:rPr>
        <w:t xml:space="preserve"> 3,</w:t>
      </w:r>
      <w:r w:rsidR="0027100C" w:rsidRPr="00001F7B">
        <w:rPr>
          <w:rFonts w:cstheme="minorHAnsi"/>
          <w:sz w:val="20"/>
          <w:szCs w:val="20"/>
        </w:rPr>
        <w:t xml:space="preserve"> also</w:t>
      </w:r>
      <w:r w:rsidR="009E2B75" w:rsidRPr="00001F7B">
        <w:rPr>
          <w:rFonts w:cstheme="minorHAnsi"/>
          <w:sz w:val="20"/>
          <w:szCs w:val="20"/>
        </w:rPr>
        <w:t xml:space="preserve"> notes that c</w:t>
      </w:r>
      <w:r w:rsidR="00DE5F02" w:rsidRPr="00001F7B">
        <w:rPr>
          <w:rFonts w:cstheme="minorHAnsi"/>
          <w:sz w:val="20"/>
          <w:szCs w:val="20"/>
        </w:rPr>
        <w:t>ourts resolve ambiguities to favour compliance with the UK’s international legal obligations</w:t>
      </w:r>
      <w:r w:rsidR="009E2B75" w:rsidRPr="00001F7B">
        <w:rPr>
          <w:rFonts w:cstheme="minorHAnsi"/>
          <w:sz w:val="20"/>
          <w:szCs w:val="20"/>
        </w:rPr>
        <w:t xml:space="preserve">, citing </w:t>
      </w:r>
      <w:r w:rsidR="00DE5F02" w:rsidRPr="00001F7B">
        <w:rPr>
          <w:rFonts w:cstheme="minorHAnsi"/>
          <w:i/>
          <w:iCs/>
          <w:sz w:val="20"/>
          <w:szCs w:val="20"/>
        </w:rPr>
        <w:t>Salomon v Commissioners of Customs and Excise</w:t>
      </w:r>
      <w:r w:rsidR="00DE5F02" w:rsidRPr="00001F7B">
        <w:rPr>
          <w:rFonts w:cstheme="minorHAnsi"/>
          <w:sz w:val="20"/>
          <w:szCs w:val="20"/>
        </w:rPr>
        <w:t xml:space="preserve"> [1967] 2 QB 116, 143 (Diplock LJ)</w:t>
      </w:r>
      <w:r w:rsidR="00021010" w:rsidRPr="00001F7B">
        <w:rPr>
          <w:rFonts w:cstheme="minorHAnsi"/>
          <w:sz w:val="20"/>
          <w:szCs w:val="20"/>
        </w:rPr>
        <w:t xml:space="preserve"> and </w:t>
      </w:r>
      <w:r w:rsidR="00DE5F02" w:rsidRPr="00001F7B">
        <w:rPr>
          <w:rFonts w:cstheme="minorHAnsi"/>
          <w:sz w:val="20"/>
          <w:szCs w:val="20"/>
        </w:rPr>
        <w:t xml:space="preserve"> </w:t>
      </w:r>
      <w:r w:rsidR="00DE5F02" w:rsidRPr="00001F7B">
        <w:rPr>
          <w:rFonts w:cstheme="minorHAnsi"/>
          <w:i/>
          <w:iCs/>
          <w:sz w:val="20"/>
          <w:szCs w:val="20"/>
        </w:rPr>
        <w:t xml:space="preserve">Office of the King’s Prosecutor, Brussels v Cando </w:t>
      </w:r>
      <w:proofErr w:type="spellStart"/>
      <w:r w:rsidR="00DE5F02" w:rsidRPr="00001F7B">
        <w:rPr>
          <w:rFonts w:cstheme="minorHAnsi"/>
          <w:i/>
          <w:iCs/>
          <w:sz w:val="20"/>
          <w:szCs w:val="20"/>
        </w:rPr>
        <w:t>Armas</w:t>
      </w:r>
      <w:proofErr w:type="spellEnd"/>
      <w:r w:rsidR="00DE5F02" w:rsidRPr="00001F7B">
        <w:rPr>
          <w:rFonts w:cstheme="minorHAnsi"/>
          <w:i/>
          <w:iCs/>
          <w:sz w:val="20"/>
          <w:szCs w:val="20"/>
        </w:rPr>
        <w:t xml:space="preserve"> [</w:t>
      </w:r>
      <w:r w:rsidR="00DE5F02" w:rsidRPr="00001F7B">
        <w:rPr>
          <w:rFonts w:cstheme="minorHAnsi"/>
          <w:sz w:val="20"/>
          <w:szCs w:val="20"/>
        </w:rPr>
        <w:t>2006] 2 AC 1, 10, para 8 (Lord Bingham</w:t>
      </w:r>
      <w:r w:rsidR="00021010" w:rsidRPr="00001F7B">
        <w:rPr>
          <w:rFonts w:cstheme="minorHAnsi"/>
          <w:sz w:val="20"/>
          <w:szCs w:val="20"/>
        </w:rPr>
        <w:t>).</w:t>
      </w:r>
    </w:p>
  </w:footnote>
  <w:footnote w:id="105">
    <w:p w14:paraId="4F9EA5B7" w14:textId="4A789A74" w:rsidR="00F513CF" w:rsidRPr="00001F7B" w:rsidRDefault="00F513CF" w:rsidP="00C92D0B">
      <w:pPr>
        <w:pStyle w:val="NoSpacing"/>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r w:rsidR="00C92D0B" w:rsidRPr="00001F7B">
        <w:rPr>
          <w:rFonts w:cstheme="minorHAnsi"/>
          <w:sz w:val="20"/>
          <w:szCs w:val="20"/>
        </w:rPr>
        <w:t>As s 1 of the Carriage of Goods by Road Act states: “Subject to the following provisions of this Act, the provisions of the Convention on the Contract for the International Carriage of Goods by Road (in this Act referred to as “</w:t>
      </w:r>
      <w:r w:rsidR="00C92D0B" w:rsidRPr="00001F7B">
        <w:rPr>
          <w:rStyle w:val="legterm"/>
          <w:rFonts w:cstheme="minorHAnsi"/>
          <w:color w:val="000000"/>
          <w:sz w:val="20"/>
          <w:szCs w:val="20"/>
        </w:rPr>
        <w:t>the Convention</w:t>
      </w:r>
      <w:r w:rsidR="00C92D0B" w:rsidRPr="00001F7B">
        <w:rPr>
          <w:rFonts w:cstheme="minorHAnsi"/>
          <w:sz w:val="20"/>
          <w:szCs w:val="20"/>
        </w:rPr>
        <w:t xml:space="preserve">”), </w:t>
      </w:r>
      <w:r w:rsidR="00C92D0B" w:rsidRPr="00001F7B">
        <w:rPr>
          <w:rFonts w:cstheme="minorHAnsi"/>
          <w:i/>
          <w:iCs/>
          <w:sz w:val="20"/>
          <w:szCs w:val="20"/>
        </w:rPr>
        <w:t xml:space="preserve">as set out in the Schedule to this Act </w:t>
      </w:r>
      <w:r w:rsidR="00C92D0B" w:rsidRPr="00001F7B">
        <w:rPr>
          <w:rFonts w:cstheme="minorHAnsi"/>
          <w:sz w:val="20"/>
          <w:szCs w:val="20"/>
        </w:rPr>
        <w:t>(my emphasis), shall have the force of law in the United Kingdom so far as they relate to the rights and liabilities of persons concerned in the carriage of goods by road under a contract to which the Convention applies”</w:t>
      </w:r>
    </w:p>
  </w:footnote>
  <w:footnote w:id="106">
    <w:p w14:paraId="78174ED4" w14:textId="0587FAB7" w:rsidR="00055DD5" w:rsidRPr="00001F7B" w:rsidRDefault="00055DD5">
      <w:pPr>
        <w:pStyle w:val="FootnoteText"/>
        <w:rPr>
          <w:rFonts w:cstheme="minorHAnsi"/>
        </w:rPr>
      </w:pPr>
      <w:r w:rsidRPr="00001F7B">
        <w:rPr>
          <w:rStyle w:val="FootnoteReference"/>
          <w:rFonts w:cstheme="minorHAnsi"/>
        </w:rPr>
        <w:footnoteRef/>
      </w:r>
      <w:r w:rsidRPr="00001F7B">
        <w:rPr>
          <w:rFonts w:cstheme="minorHAnsi"/>
        </w:rPr>
        <w:t xml:space="preserve"> Sales and Clement, </w:t>
      </w:r>
      <w:r w:rsidR="00CC048D" w:rsidRPr="00001F7B">
        <w:rPr>
          <w:rFonts w:cstheme="minorHAnsi"/>
        </w:rPr>
        <w:t xml:space="preserve">above, </w:t>
      </w:r>
      <w:proofErr w:type="spellStart"/>
      <w:r w:rsidR="00CC048D" w:rsidRPr="00001F7B">
        <w:rPr>
          <w:rFonts w:cstheme="minorHAnsi"/>
        </w:rPr>
        <w:t>fn</w:t>
      </w:r>
      <w:proofErr w:type="spellEnd"/>
      <w:r w:rsidR="00CC048D" w:rsidRPr="00001F7B">
        <w:rPr>
          <w:rFonts w:cstheme="minorHAnsi"/>
        </w:rPr>
        <w:t xml:space="preserve"> 33</w:t>
      </w:r>
      <w:r w:rsidR="004B16D6" w:rsidRPr="00001F7B">
        <w:rPr>
          <w:rFonts w:cstheme="minorHAnsi"/>
        </w:rPr>
        <w:t xml:space="preserve">, </w:t>
      </w:r>
      <w:r w:rsidR="00CC048D" w:rsidRPr="00001F7B">
        <w:rPr>
          <w:rFonts w:cstheme="minorHAnsi"/>
        </w:rPr>
        <w:t xml:space="preserve">p </w:t>
      </w:r>
      <w:r w:rsidR="004B16D6" w:rsidRPr="00001F7B">
        <w:rPr>
          <w:rFonts w:cstheme="minorHAnsi"/>
        </w:rPr>
        <w:t>413</w:t>
      </w:r>
      <w:r w:rsidR="001F7B5B">
        <w:rPr>
          <w:rFonts w:cstheme="minorHAnsi"/>
        </w:rPr>
        <w:t xml:space="preserve"> (cf., Capps, ‘The Court as Gatekeeper: Customary International Law in English Courts’ (2007) 70 MLR 458)</w:t>
      </w:r>
      <w:r w:rsidR="004B16D6" w:rsidRPr="00001F7B">
        <w:rPr>
          <w:rFonts w:cstheme="minorHAnsi"/>
        </w:rPr>
        <w:t>.</w:t>
      </w:r>
      <w:r w:rsidR="00556B18" w:rsidRPr="00001F7B">
        <w:rPr>
          <w:rFonts w:cstheme="minorHAnsi"/>
        </w:rPr>
        <w:t xml:space="preserve"> A modern case on this is </w:t>
      </w:r>
      <w:proofErr w:type="spellStart"/>
      <w:r w:rsidR="00556B18" w:rsidRPr="00001F7B">
        <w:rPr>
          <w:rFonts w:cstheme="minorHAnsi"/>
          <w:i/>
          <w:iCs/>
        </w:rPr>
        <w:t>Trendtex</w:t>
      </w:r>
      <w:proofErr w:type="spellEnd"/>
      <w:r w:rsidR="00556B18" w:rsidRPr="00001F7B">
        <w:rPr>
          <w:rFonts w:cstheme="minorHAnsi"/>
          <w:i/>
          <w:iCs/>
        </w:rPr>
        <w:t xml:space="preserve"> Trading Corporation v Central Bank of Nigeria</w:t>
      </w:r>
      <w:r w:rsidR="00556B18" w:rsidRPr="00001F7B">
        <w:rPr>
          <w:rFonts w:cstheme="minorHAnsi"/>
        </w:rPr>
        <w:t xml:space="preserve"> [1977] QB 529 at </w:t>
      </w:r>
      <w:r w:rsidR="00CC048D" w:rsidRPr="00001F7B">
        <w:rPr>
          <w:rFonts w:cstheme="minorHAnsi"/>
        </w:rPr>
        <w:t xml:space="preserve">pp </w:t>
      </w:r>
      <w:r w:rsidR="00556B18" w:rsidRPr="00001F7B">
        <w:rPr>
          <w:rFonts w:cstheme="minorHAnsi"/>
        </w:rPr>
        <w:t>553-</w:t>
      </w:r>
      <w:r w:rsidR="00C92D0B" w:rsidRPr="00001F7B">
        <w:rPr>
          <w:rFonts w:cstheme="minorHAnsi"/>
        </w:rPr>
        <w:t>55</w:t>
      </w:r>
      <w:r w:rsidR="00556B18" w:rsidRPr="00001F7B">
        <w:rPr>
          <w:rFonts w:cstheme="minorHAnsi"/>
        </w:rPr>
        <w:t>4 per Lord Denning M.R. The point at issue was about Sovereign Immunity which was clearly a sensitive matter of international law, already recognised in English law, affecting the relationship between states so that it was important for the court to ensure that its decision was in accord with the current state of international law on the issue, hence the need for the court to recognise an incorporation rule for CIL (i.e. a rule allowing for direct effect), as opposed to a transformation rule (i.e. a rule requiring a process or criteria for incorporation), in order that changes in international law could be given effect in the decision.</w:t>
      </w:r>
    </w:p>
  </w:footnote>
  <w:footnote w:id="107">
    <w:p w14:paraId="0744722E" w14:textId="0B72B5A8" w:rsidR="00556B18" w:rsidRPr="00001F7B" w:rsidRDefault="00556B18">
      <w:pPr>
        <w:pStyle w:val="FootnoteText"/>
        <w:rPr>
          <w:rFonts w:cstheme="minorHAnsi"/>
        </w:rPr>
      </w:pPr>
      <w:r w:rsidRPr="00001F7B">
        <w:rPr>
          <w:rStyle w:val="FootnoteReference"/>
          <w:rFonts w:cstheme="minorHAnsi"/>
        </w:rPr>
        <w:footnoteRef/>
      </w:r>
      <w:r w:rsidRPr="00001F7B">
        <w:rPr>
          <w:rFonts w:cstheme="minorHAnsi"/>
        </w:rPr>
        <w:t xml:space="preserve"> Sales and Clement, </w:t>
      </w:r>
      <w:r w:rsidR="00CC048D" w:rsidRPr="00001F7B">
        <w:rPr>
          <w:rFonts w:cstheme="minorHAnsi"/>
          <w:i/>
          <w:iCs/>
        </w:rPr>
        <w:t xml:space="preserve">op </w:t>
      </w:r>
      <w:proofErr w:type="spellStart"/>
      <w:r w:rsidR="00CC048D" w:rsidRPr="00001F7B">
        <w:rPr>
          <w:rFonts w:cstheme="minorHAnsi"/>
          <w:i/>
          <w:iCs/>
        </w:rPr>
        <w:t>cit</w:t>
      </w:r>
      <w:proofErr w:type="spellEnd"/>
      <w:r w:rsidR="00CC048D" w:rsidRPr="00001F7B">
        <w:rPr>
          <w:rFonts w:cstheme="minorHAnsi"/>
        </w:rPr>
        <w:t xml:space="preserve">, </w:t>
      </w:r>
      <w:r w:rsidRPr="00001F7B">
        <w:rPr>
          <w:rFonts w:cstheme="minorHAnsi"/>
        </w:rPr>
        <w:t>p.414.</w:t>
      </w:r>
      <w:r w:rsidR="00E00118" w:rsidRPr="00001F7B">
        <w:rPr>
          <w:rFonts w:cstheme="minorHAnsi"/>
        </w:rPr>
        <w:t xml:space="preserve"> </w:t>
      </w:r>
      <w:r w:rsidR="00CC5267" w:rsidRPr="00001F7B">
        <w:rPr>
          <w:rFonts w:cstheme="minorHAnsi"/>
        </w:rPr>
        <w:t xml:space="preserve">Halsbury’ Laws </w:t>
      </w:r>
      <w:r w:rsidR="00155F07" w:rsidRPr="00001F7B">
        <w:rPr>
          <w:rFonts w:cstheme="minorHAnsi"/>
        </w:rPr>
        <w:t xml:space="preserve">of England, </w:t>
      </w:r>
      <w:r w:rsidR="00D45ED6" w:rsidRPr="00001F7B">
        <w:rPr>
          <w:rFonts w:cstheme="minorHAnsi"/>
        </w:rPr>
        <w:t xml:space="preserve">Vol 61 (2018) para 16 </w:t>
      </w:r>
      <w:r w:rsidR="00CC5267" w:rsidRPr="00001F7B">
        <w:rPr>
          <w:rFonts w:cstheme="minorHAnsi"/>
        </w:rPr>
        <w:t>state</w:t>
      </w:r>
      <w:r w:rsidR="00D45ED6" w:rsidRPr="00001F7B">
        <w:rPr>
          <w:rFonts w:cstheme="minorHAnsi"/>
        </w:rPr>
        <w:t>s</w:t>
      </w:r>
      <w:r w:rsidR="00CC5267" w:rsidRPr="00001F7B">
        <w:rPr>
          <w:rFonts w:cstheme="minorHAnsi"/>
        </w:rPr>
        <w:t xml:space="preserve"> that</w:t>
      </w:r>
      <w:r w:rsidR="00E00118" w:rsidRPr="00001F7B">
        <w:rPr>
          <w:rFonts w:cstheme="minorHAnsi"/>
        </w:rPr>
        <w:t xml:space="preserve"> CIL cannot create new crimes not recognised at common law, it cannot contradict the plain words of a statute and most importantly for our purposes </w:t>
      </w:r>
      <w:r w:rsidR="00E00118" w:rsidRPr="00001F7B">
        <w:rPr>
          <w:rFonts w:eastAsia="Times New Roman" w:cstheme="minorHAnsi"/>
          <w:color w:val="000000"/>
          <w:lang w:eastAsia="en-GB"/>
        </w:rPr>
        <w:t>CIL is not incorporated into the common law if the resultant rule would be contrary to a rule or principle of the common law itself</w:t>
      </w:r>
      <w:r w:rsidR="00CC5267" w:rsidRPr="00001F7B">
        <w:rPr>
          <w:rFonts w:eastAsia="Times New Roman" w:cstheme="minorHAnsi"/>
          <w:color w:val="000000"/>
          <w:lang w:eastAsia="en-GB"/>
        </w:rPr>
        <w:t xml:space="preserve">, citing for this last point, </w:t>
      </w:r>
      <w:r w:rsidR="00CC5267" w:rsidRPr="00001F7B">
        <w:rPr>
          <w:rFonts w:eastAsia="Times New Roman" w:cstheme="minorHAnsi"/>
          <w:i/>
          <w:iCs/>
          <w:color w:val="000000"/>
          <w:bdr w:val="none" w:sz="0" w:space="0" w:color="auto" w:frame="1"/>
          <w:lang w:eastAsia="en-GB"/>
        </w:rPr>
        <w:t>R (on the application o</w:t>
      </w:r>
      <w:r w:rsidR="00E25F47" w:rsidRPr="00001F7B">
        <w:rPr>
          <w:rFonts w:eastAsia="Times New Roman" w:cstheme="minorHAnsi"/>
          <w:i/>
          <w:iCs/>
          <w:color w:val="000000"/>
          <w:bdr w:val="none" w:sz="0" w:space="0" w:color="auto" w:frame="1"/>
          <w:lang w:eastAsia="en-GB"/>
        </w:rPr>
        <w:t xml:space="preserve">f </w:t>
      </w:r>
      <w:proofErr w:type="spellStart"/>
      <w:r w:rsidR="00CC5267" w:rsidRPr="00001F7B">
        <w:rPr>
          <w:rFonts w:eastAsia="Times New Roman" w:cstheme="minorHAnsi"/>
          <w:i/>
          <w:iCs/>
          <w:color w:val="000000"/>
          <w:bdr w:val="none" w:sz="0" w:space="0" w:color="auto" w:frame="1"/>
          <w:lang w:eastAsia="en-GB"/>
        </w:rPr>
        <w:t>Marchiori</w:t>
      </w:r>
      <w:proofErr w:type="spellEnd"/>
      <w:r w:rsidR="00CC5267" w:rsidRPr="00001F7B">
        <w:rPr>
          <w:rFonts w:eastAsia="Times New Roman" w:cstheme="minorHAnsi"/>
          <w:i/>
          <w:iCs/>
          <w:color w:val="000000"/>
          <w:bdr w:val="none" w:sz="0" w:space="0" w:color="auto" w:frame="1"/>
          <w:lang w:eastAsia="en-GB"/>
        </w:rPr>
        <w:t>) v Environment Agency</w:t>
      </w:r>
      <w:r w:rsidR="00CC5267" w:rsidRPr="00001F7B">
        <w:rPr>
          <w:rFonts w:eastAsia="Times New Roman" w:cstheme="minorHAnsi"/>
          <w:color w:val="000000"/>
          <w:lang w:eastAsia="en-GB"/>
        </w:rPr>
        <w:t xml:space="preserve"> [2002] EWCA </w:t>
      </w:r>
      <w:proofErr w:type="spellStart"/>
      <w:r w:rsidR="00CC5267" w:rsidRPr="00001F7B">
        <w:rPr>
          <w:rFonts w:eastAsia="Times New Roman" w:cstheme="minorHAnsi"/>
          <w:color w:val="000000"/>
          <w:lang w:eastAsia="en-GB"/>
        </w:rPr>
        <w:t>Civ</w:t>
      </w:r>
      <w:proofErr w:type="spellEnd"/>
      <w:r w:rsidR="00CC5267" w:rsidRPr="00001F7B">
        <w:rPr>
          <w:rFonts w:eastAsia="Times New Roman" w:cstheme="minorHAnsi"/>
          <w:color w:val="000000"/>
          <w:lang w:eastAsia="en-GB"/>
        </w:rPr>
        <w:t xml:space="preserve"> 3 at para 48, per Laws LJ. </w:t>
      </w:r>
      <w:r w:rsidR="00A33845" w:rsidRPr="00001F7B">
        <w:rPr>
          <w:rFonts w:eastAsia="Times New Roman" w:cstheme="minorHAnsi"/>
          <w:color w:val="000000"/>
          <w:lang w:eastAsia="en-GB"/>
        </w:rPr>
        <w:t>Consequently,</w:t>
      </w:r>
      <w:r w:rsidR="002B0F8F" w:rsidRPr="00001F7B">
        <w:rPr>
          <w:rFonts w:eastAsia="Times New Roman" w:cstheme="minorHAnsi"/>
          <w:color w:val="000000"/>
          <w:lang w:eastAsia="en-GB"/>
        </w:rPr>
        <w:t xml:space="preserve"> a difficulty for English law might well be how far the courts are bound by the doctrine of precedent to follow established rules as to the interpretation of treaties which do not reflect the Vienna Rules.</w:t>
      </w:r>
    </w:p>
  </w:footnote>
  <w:footnote w:id="108">
    <w:p w14:paraId="67DD1345" w14:textId="536F13E1" w:rsidR="008F282E" w:rsidRPr="00001F7B" w:rsidRDefault="008F282E" w:rsidP="008F282E">
      <w:pPr>
        <w:pStyle w:val="FootnoteText"/>
        <w:rPr>
          <w:rFonts w:cstheme="minorHAnsi"/>
        </w:rPr>
      </w:pPr>
      <w:r w:rsidRPr="00001F7B">
        <w:rPr>
          <w:rStyle w:val="FootnoteReference"/>
          <w:rFonts w:cstheme="minorHAnsi"/>
        </w:rPr>
        <w:footnoteRef/>
      </w:r>
      <w:r w:rsidRPr="00001F7B">
        <w:rPr>
          <w:rFonts w:cstheme="minorHAnsi"/>
        </w:rPr>
        <w:t xml:space="preserve"> Collier, ‘Is International Law really part of the law of England’ (1989) 38 ICLQ 924, 935, </w:t>
      </w:r>
      <w:r w:rsidR="00E00118" w:rsidRPr="00001F7B">
        <w:rPr>
          <w:rFonts w:cstheme="minorHAnsi"/>
        </w:rPr>
        <w:t xml:space="preserve">O’Keefe, </w:t>
      </w:r>
      <w:r w:rsidR="00C81503" w:rsidRPr="00001F7B">
        <w:rPr>
          <w:rFonts w:cstheme="minorHAnsi"/>
        </w:rPr>
        <w:t>‘</w:t>
      </w:r>
      <w:r w:rsidR="00E00118" w:rsidRPr="00001F7B">
        <w:rPr>
          <w:rFonts w:cstheme="minorHAnsi"/>
        </w:rPr>
        <w:t>The doctrine of incorporation revisited</w:t>
      </w:r>
      <w:r w:rsidR="00C81503" w:rsidRPr="00001F7B">
        <w:rPr>
          <w:rFonts w:cstheme="minorHAnsi"/>
        </w:rPr>
        <w:t xml:space="preserve">’ </w:t>
      </w:r>
      <w:r w:rsidR="00872A52" w:rsidRPr="00001F7B">
        <w:rPr>
          <w:rFonts w:cstheme="minorHAnsi"/>
        </w:rPr>
        <w:t xml:space="preserve">(2008)79 BYIL </w:t>
      </w:r>
      <w:r w:rsidR="00E00118" w:rsidRPr="00001F7B">
        <w:rPr>
          <w:rFonts w:cstheme="minorHAnsi"/>
        </w:rPr>
        <w:t>7,</w:t>
      </w:r>
      <w:r w:rsidR="00872A52" w:rsidRPr="00001F7B">
        <w:rPr>
          <w:rFonts w:cstheme="minorHAnsi"/>
        </w:rPr>
        <w:t>at p</w:t>
      </w:r>
      <w:r w:rsidR="00E00118" w:rsidRPr="00001F7B">
        <w:rPr>
          <w:rFonts w:cstheme="minorHAnsi"/>
        </w:rPr>
        <w:t xml:space="preserve"> 85.</w:t>
      </w:r>
    </w:p>
  </w:footnote>
  <w:footnote w:id="109">
    <w:p w14:paraId="09D21C87" w14:textId="79622D89" w:rsidR="00B67869" w:rsidRPr="00001F7B" w:rsidRDefault="00B67869">
      <w:pPr>
        <w:pStyle w:val="FootnoteText"/>
        <w:rPr>
          <w:rFonts w:cstheme="minorHAnsi"/>
        </w:rPr>
      </w:pPr>
      <w:r w:rsidRPr="00001F7B">
        <w:rPr>
          <w:rStyle w:val="FootnoteReference"/>
          <w:rFonts w:cstheme="minorHAnsi"/>
        </w:rPr>
        <w:footnoteRef/>
      </w:r>
      <w:r w:rsidRPr="00001F7B">
        <w:rPr>
          <w:rFonts w:cstheme="minorHAnsi"/>
        </w:rPr>
        <w:t xml:space="preserve"> See e.g. Simon J in </w:t>
      </w:r>
      <w:r w:rsidRPr="00001F7B">
        <w:rPr>
          <w:rFonts w:cstheme="minorHAnsi"/>
          <w:i/>
          <w:iCs/>
        </w:rPr>
        <w:t xml:space="preserve">Czech Republic v </w:t>
      </w:r>
      <w:r w:rsidR="00D72FD3" w:rsidRPr="00001F7B">
        <w:rPr>
          <w:rFonts w:cstheme="minorHAnsi"/>
          <w:i/>
          <w:iCs/>
        </w:rPr>
        <w:t xml:space="preserve">European Media Ventures </w:t>
      </w:r>
      <w:r w:rsidR="00D72FD3" w:rsidRPr="00001F7B">
        <w:rPr>
          <w:rFonts w:eastAsiaTheme="minorEastAsia" w:cstheme="minorHAnsi"/>
          <w:color w:val="000000"/>
          <w:lang w:eastAsia="en-GB"/>
        </w:rPr>
        <w:t>[2007] EWHC 2851 (Comm), [2007] 2 C.L.C. 908, at para 15. See further Review of UK Law in the Annex folder.</w:t>
      </w:r>
    </w:p>
  </w:footnote>
  <w:footnote w:id="110">
    <w:p w14:paraId="3F03F6AD" w14:textId="7ED2B78C" w:rsidR="0001657C" w:rsidRPr="00001F7B" w:rsidRDefault="0001657C">
      <w:pPr>
        <w:pStyle w:val="FootnoteText"/>
        <w:rPr>
          <w:rFonts w:cstheme="minorHAnsi"/>
        </w:rPr>
      </w:pPr>
      <w:r w:rsidRPr="00001F7B">
        <w:rPr>
          <w:rStyle w:val="FootnoteReference"/>
          <w:rFonts w:cstheme="minorHAnsi"/>
        </w:rPr>
        <w:footnoteRef/>
      </w:r>
      <w:r w:rsidRPr="00001F7B">
        <w:rPr>
          <w:rFonts w:cstheme="minorHAnsi"/>
        </w:rPr>
        <w:t xml:space="preserve"> 1966 </w:t>
      </w:r>
      <w:r w:rsidR="00E13E51" w:rsidRPr="00001F7B">
        <w:rPr>
          <w:rFonts w:cstheme="minorHAnsi"/>
        </w:rPr>
        <w:t>Commentary</w:t>
      </w:r>
      <w:r w:rsidR="00872A52" w:rsidRPr="00001F7B">
        <w:rPr>
          <w:rFonts w:cstheme="minorHAnsi"/>
        </w:rPr>
        <w:t>,</w:t>
      </w:r>
      <w:r w:rsidRPr="00001F7B">
        <w:rPr>
          <w:rFonts w:cstheme="minorHAnsi"/>
        </w:rPr>
        <w:t xml:space="preserve"> </w:t>
      </w:r>
      <w:r w:rsidR="002E2F67" w:rsidRPr="00001F7B">
        <w:rPr>
          <w:rFonts w:cstheme="minorHAnsi"/>
        </w:rPr>
        <w:t xml:space="preserve">above, </w:t>
      </w:r>
      <w:proofErr w:type="spellStart"/>
      <w:r w:rsidR="002E2F67" w:rsidRPr="00001F7B">
        <w:rPr>
          <w:rFonts w:cstheme="minorHAnsi"/>
        </w:rPr>
        <w:t>fn</w:t>
      </w:r>
      <w:proofErr w:type="spellEnd"/>
      <w:r w:rsidR="002E2F67" w:rsidRPr="00001F7B">
        <w:rPr>
          <w:rFonts w:cstheme="minorHAnsi"/>
        </w:rPr>
        <w:t xml:space="preserve"> 38, </w:t>
      </w:r>
      <w:r w:rsidRPr="00001F7B">
        <w:rPr>
          <w:rFonts w:cstheme="minorHAnsi"/>
        </w:rPr>
        <w:t xml:space="preserve">p </w:t>
      </w:r>
      <w:r w:rsidR="00146EB0" w:rsidRPr="00001F7B">
        <w:rPr>
          <w:rFonts w:cstheme="minorHAnsi"/>
        </w:rPr>
        <w:t>220</w:t>
      </w:r>
      <w:r w:rsidR="00872A52" w:rsidRPr="00001F7B">
        <w:rPr>
          <w:rFonts w:cstheme="minorHAnsi"/>
        </w:rPr>
        <w:t>,</w:t>
      </w:r>
      <w:r w:rsidR="00146EB0" w:rsidRPr="00001F7B">
        <w:rPr>
          <w:rFonts w:cstheme="minorHAnsi"/>
        </w:rPr>
        <w:t xml:space="preserve"> para</w:t>
      </w:r>
      <w:r w:rsidR="00E13E51" w:rsidRPr="00001F7B">
        <w:rPr>
          <w:rFonts w:cstheme="minorHAnsi"/>
        </w:rPr>
        <w:t xml:space="preserve"> </w:t>
      </w:r>
      <w:r w:rsidR="00146EB0" w:rsidRPr="00001F7B">
        <w:rPr>
          <w:rFonts w:cstheme="minorHAnsi"/>
        </w:rPr>
        <w:t>11</w:t>
      </w:r>
    </w:p>
  </w:footnote>
  <w:footnote w:id="111">
    <w:p w14:paraId="55125F68" w14:textId="2A2A8FA2" w:rsidR="001976B0" w:rsidRPr="00001F7B" w:rsidRDefault="001976B0">
      <w:pPr>
        <w:pStyle w:val="FootnoteText"/>
        <w:rPr>
          <w:rFonts w:cstheme="minorHAnsi"/>
        </w:rPr>
      </w:pPr>
      <w:r w:rsidRPr="00001F7B">
        <w:rPr>
          <w:rStyle w:val="FootnoteReference"/>
          <w:rFonts w:cstheme="minorHAnsi"/>
        </w:rPr>
        <w:footnoteRef/>
      </w:r>
      <w:r w:rsidRPr="00001F7B">
        <w:rPr>
          <w:rFonts w:cstheme="minorHAnsi"/>
        </w:rPr>
        <w:t xml:space="preserve"> </w:t>
      </w:r>
      <w:r w:rsidR="005E6B65" w:rsidRPr="00001F7B">
        <w:rPr>
          <w:rFonts w:cstheme="minorHAnsi"/>
        </w:rPr>
        <w:t>UN C</w:t>
      </w:r>
      <w:r w:rsidRPr="00001F7B">
        <w:rPr>
          <w:rFonts w:cstheme="minorHAnsi"/>
        </w:rPr>
        <w:t xml:space="preserve">onference </w:t>
      </w:r>
      <w:r w:rsidR="005E6B65" w:rsidRPr="00001F7B">
        <w:rPr>
          <w:rFonts w:cstheme="minorHAnsi"/>
        </w:rPr>
        <w:t xml:space="preserve">on the Law of Treaties 1969 </w:t>
      </w:r>
      <w:r w:rsidRPr="00001F7B">
        <w:rPr>
          <w:rFonts w:cstheme="minorHAnsi"/>
        </w:rPr>
        <w:t>Vol 1</w:t>
      </w:r>
      <w:r w:rsidR="00611520" w:rsidRPr="00001F7B">
        <w:rPr>
          <w:rFonts w:cstheme="minorHAnsi"/>
        </w:rPr>
        <w:t>,</w:t>
      </w:r>
      <w:r w:rsidRPr="00001F7B">
        <w:rPr>
          <w:rFonts w:cstheme="minorHAnsi"/>
        </w:rPr>
        <w:t xml:space="preserve"> </w:t>
      </w:r>
      <w:r w:rsidR="001E7BA0" w:rsidRPr="00001F7B">
        <w:rPr>
          <w:rFonts w:cstheme="minorHAnsi"/>
        </w:rPr>
        <w:t xml:space="preserve">33rd </w:t>
      </w:r>
      <w:r w:rsidR="00611520" w:rsidRPr="00001F7B">
        <w:rPr>
          <w:rFonts w:cstheme="minorHAnsi"/>
        </w:rPr>
        <w:t>M</w:t>
      </w:r>
      <w:r w:rsidR="001E7BA0" w:rsidRPr="00001F7B">
        <w:rPr>
          <w:rFonts w:cstheme="minorHAnsi"/>
        </w:rPr>
        <w:t xml:space="preserve">eeting of the Committee of the </w:t>
      </w:r>
      <w:r w:rsidR="00CA2010" w:rsidRPr="00001F7B">
        <w:rPr>
          <w:rFonts w:cstheme="minorHAnsi"/>
        </w:rPr>
        <w:t xml:space="preserve">Whole, Doc </w:t>
      </w:r>
      <w:r w:rsidRPr="00001F7B">
        <w:rPr>
          <w:rFonts w:cstheme="minorHAnsi"/>
        </w:rPr>
        <w:t xml:space="preserve"> </w:t>
      </w:r>
      <w:r w:rsidR="00CA2010" w:rsidRPr="00001F7B">
        <w:rPr>
          <w:rFonts w:cstheme="minorHAnsi"/>
        </w:rPr>
        <w:t xml:space="preserve">A/CONF.39/C.1/SR.33, p </w:t>
      </w:r>
      <w:r w:rsidRPr="00001F7B">
        <w:rPr>
          <w:rFonts w:cstheme="minorHAnsi"/>
        </w:rPr>
        <w:t>178 para 12</w:t>
      </w:r>
      <w:r w:rsidR="0015341F" w:rsidRPr="00001F7B">
        <w:rPr>
          <w:rFonts w:cstheme="minorHAnsi"/>
        </w:rPr>
        <w:t>.</w:t>
      </w:r>
      <w:r w:rsidR="005E6B65" w:rsidRPr="00001F7B">
        <w:rPr>
          <w:rFonts w:cstheme="minorHAnsi"/>
        </w:rPr>
        <w:t xml:space="preserve"> </w:t>
      </w:r>
    </w:p>
  </w:footnote>
  <w:footnote w:id="112">
    <w:p w14:paraId="0D1C01BB" w14:textId="2D224D90" w:rsidR="008B12DB" w:rsidRPr="00001F7B" w:rsidRDefault="008B12DB">
      <w:pPr>
        <w:pStyle w:val="FootnoteText"/>
        <w:rPr>
          <w:rFonts w:cstheme="minorHAnsi"/>
        </w:rPr>
      </w:pPr>
      <w:r w:rsidRPr="00001F7B">
        <w:rPr>
          <w:rStyle w:val="FootnoteReference"/>
          <w:rFonts w:cstheme="minorHAnsi"/>
        </w:rPr>
        <w:footnoteRef/>
      </w:r>
      <w:r w:rsidRPr="00001F7B">
        <w:rPr>
          <w:rFonts w:cstheme="minorHAnsi"/>
        </w:rPr>
        <w:t xml:space="preserve"> Sinclair </w:t>
      </w:r>
      <w:r w:rsidR="008E0947" w:rsidRPr="00001F7B">
        <w:rPr>
          <w:rFonts w:cstheme="minorHAnsi"/>
        </w:rPr>
        <w:t xml:space="preserve">(UK delegation) </w:t>
      </w:r>
      <w:r w:rsidRPr="00001F7B">
        <w:rPr>
          <w:rFonts w:cstheme="minorHAnsi"/>
        </w:rPr>
        <w:t>noted, at p177</w:t>
      </w:r>
      <w:r w:rsidR="002E2F67" w:rsidRPr="00001F7B">
        <w:rPr>
          <w:rFonts w:cstheme="minorHAnsi"/>
        </w:rPr>
        <w:t>,</w:t>
      </w:r>
      <w:r w:rsidRPr="00001F7B">
        <w:rPr>
          <w:rFonts w:cstheme="minorHAnsi"/>
        </w:rPr>
        <w:t xml:space="preserve"> para </w:t>
      </w:r>
      <w:r w:rsidR="008E0947" w:rsidRPr="00001F7B">
        <w:rPr>
          <w:rFonts w:cstheme="minorHAnsi"/>
        </w:rPr>
        <w:t>4</w:t>
      </w:r>
      <w:r w:rsidR="002E2F67" w:rsidRPr="00001F7B">
        <w:rPr>
          <w:rFonts w:cstheme="minorHAnsi"/>
        </w:rPr>
        <w:t>,</w:t>
      </w:r>
      <w:r w:rsidRPr="00001F7B">
        <w:rPr>
          <w:rFonts w:cstheme="minorHAnsi"/>
        </w:rPr>
        <w:t xml:space="preserve"> that the most important issue was the primary aim of </w:t>
      </w:r>
      <w:r w:rsidR="008E0947" w:rsidRPr="00001F7B">
        <w:rPr>
          <w:rFonts w:cstheme="minorHAnsi"/>
        </w:rPr>
        <w:t>treaty interpretation and that: “It was often asserted that it was to ascertain the common intention of the parties, independently of the text. That view had been subjected to fierce criticism in the debate on treaty interpretation in the Institute of International Law in the early 1950s and had ultimately been decisively rejected by the Institute.” He noted that parts of the United States representative's statement had seemed to be directed towards reviving the doctrine thus rejected. In para 4 he states: “The United Kingdom delegation did not consider that there was any undue rigidity in ascribing paramount importance to the principle of textuality in treaty interpretation.”  He continued “</w:t>
      </w:r>
      <w:r w:rsidR="005955BD" w:rsidRPr="00001F7B">
        <w:rPr>
          <w:rFonts w:cstheme="minorHAnsi"/>
        </w:rPr>
        <w:t>As a matter of experience it often occurred that the difference between the parties to the treaties arose out of something which the parties had never thought of when the treaty was concluded and that, therefore, they had had absolutely no common intention with regard to it. In other cases the parties might all along have had divergent intentions with regard to the actual question which was in dispute; each party had deliberately refrained from raising the matter, possibly hoping that that point would not arise in practice, or possibly expecting that if it did, the text which was agreed would produce the result which it desired.”</w:t>
      </w:r>
    </w:p>
  </w:footnote>
  <w:footnote w:id="113">
    <w:p w14:paraId="739D8367" w14:textId="459806AB" w:rsidR="0087365B" w:rsidRPr="00001F7B" w:rsidRDefault="0087365B">
      <w:pPr>
        <w:pStyle w:val="FootnoteText"/>
        <w:rPr>
          <w:rFonts w:cstheme="minorHAnsi"/>
        </w:rPr>
      </w:pPr>
      <w:r w:rsidRPr="00001F7B">
        <w:rPr>
          <w:rStyle w:val="FootnoteReference"/>
          <w:rFonts w:cstheme="minorHAnsi"/>
        </w:rPr>
        <w:footnoteRef/>
      </w:r>
      <w:r w:rsidRPr="00001F7B">
        <w:rPr>
          <w:rFonts w:cstheme="minorHAnsi"/>
        </w:rPr>
        <w:t xml:space="preserve"> </w:t>
      </w:r>
      <w:r w:rsidR="005C06E9" w:rsidRPr="00001F7B">
        <w:rPr>
          <w:rFonts w:cstheme="minorHAnsi"/>
        </w:rPr>
        <w:t>1966 Commentary,</w:t>
      </w:r>
      <w:r w:rsidRPr="00001F7B">
        <w:rPr>
          <w:rFonts w:cstheme="minorHAnsi"/>
        </w:rPr>
        <w:t xml:space="preserve"> </w:t>
      </w:r>
      <w:r w:rsidR="002E2F67" w:rsidRPr="00001F7B">
        <w:rPr>
          <w:rFonts w:cstheme="minorHAnsi"/>
        </w:rPr>
        <w:t xml:space="preserve">above, </w:t>
      </w:r>
      <w:proofErr w:type="spellStart"/>
      <w:r w:rsidR="002E2F67" w:rsidRPr="00001F7B">
        <w:rPr>
          <w:rFonts w:cstheme="minorHAnsi"/>
        </w:rPr>
        <w:t>fn</w:t>
      </w:r>
      <w:proofErr w:type="spellEnd"/>
      <w:r w:rsidR="002E2F67" w:rsidRPr="00001F7B">
        <w:rPr>
          <w:rFonts w:cstheme="minorHAnsi"/>
        </w:rPr>
        <w:t xml:space="preserve"> 38, </w:t>
      </w:r>
      <w:r w:rsidRPr="00001F7B">
        <w:rPr>
          <w:rFonts w:cstheme="minorHAnsi"/>
        </w:rPr>
        <w:t>page 220</w:t>
      </w:r>
      <w:r w:rsidR="009B2D54" w:rsidRPr="00001F7B">
        <w:rPr>
          <w:rFonts w:cstheme="minorHAnsi"/>
        </w:rPr>
        <w:t>, para 8</w:t>
      </w:r>
      <w:r w:rsidRPr="00001F7B">
        <w:rPr>
          <w:rFonts w:cstheme="minorHAnsi"/>
        </w:rPr>
        <w:t>.</w:t>
      </w:r>
      <w:r w:rsidR="009B2D54" w:rsidRPr="00001F7B">
        <w:rPr>
          <w:rFonts w:cstheme="minorHAnsi"/>
        </w:rPr>
        <w:t xml:space="preserve"> Art</w:t>
      </w:r>
      <w:r w:rsidR="002E2F67" w:rsidRPr="00001F7B">
        <w:rPr>
          <w:rFonts w:cstheme="minorHAnsi"/>
        </w:rPr>
        <w:t xml:space="preserve"> </w:t>
      </w:r>
      <w:r w:rsidR="009B2D54" w:rsidRPr="00001F7B">
        <w:rPr>
          <w:rFonts w:cstheme="minorHAnsi"/>
        </w:rPr>
        <w:t xml:space="preserve">27 </w:t>
      </w:r>
      <w:r w:rsidR="00F40630" w:rsidRPr="00001F7B">
        <w:rPr>
          <w:rFonts w:cstheme="minorHAnsi"/>
        </w:rPr>
        <w:t>at that time.</w:t>
      </w:r>
    </w:p>
  </w:footnote>
  <w:footnote w:id="114">
    <w:p w14:paraId="76B931B8" w14:textId="7444A7E2" w:rsidR="00E05B2C" w:rsidRPr="00001F7B" w:rsidRDefault="00E05B2C" w:rsidP="00010559">
      <w:pPr>
        <w:pStyle w:val="FootnoteText"/>
        <w:rPr>
          <w:rFonts w:cstheme="minorHAnsi"/>
        </w:rPr>
      </w:pPr>
      <w:r w:rsidRPr="00001F7B">
        <w:rPr>
          <w:rStyle w:val="FootnoteReference"/>
          <w:rFonts w:cstheme="minorHAnsi"/>
        </w:rPr>
        <w:footnoteRef/>
      </w:r>
      <w:r w:rsidRPr="00001F7B">
        <w:rPr>
          <w:rFonts w:cstheme="minorHAnsi"/>
        </w:rPr>
        <w:t xml:space="preserve"> </w:t>
      </w:r>
      <w:r w:rsidR="005C06E9" w:rsidRPr="00001F7B">
        <w:rPr>
          <w:rFonts w:cstheme="minorHAnsi"/>
        </w:rPr>
        <w:t xml:space="preserve">At </w:t>
      </w:r>
      <w:r w:rsidRPr="00001F7B">
        <w:rPr>
          <w:rFonts w:cstheme="minorHAnsi"/>
        </w:rPr>
        <w:t>para</w:t>
      </w:r>
      <w:r w:rsidR="005C06E9" w:rsidRPr="00001F7B">
        <w:rPr>
          <w:rFonts w:cstheme="minorHAnsi"/>
        </w:rPr>
        <w:t xml:space="preserve"> </w:t>
      </w:r>
      <w:r w:rsidRPr="00001F7B">
        <w:rPr>
          <w:rFonts w:cstheme="minorHAnsi"/>
        </w:rPr>
        <w:t>9.</w:t>
      </w:r>
      <w:r w:rsidR="00642B96" w:rsidRPr="00001F7B">
        <w:rPr>
          <w:rFonts w:cstheme="minorHAnsi"/>
        </w:rPr>
        <w:t xml:space="preserve"> They are an accumulation of elements rather than a succession (Gardiner,</w:t>
      </w:r>
      <w:r w:rsidR="0076431E" w:rsidRPr="00001F7B">
        <w:rPr>
          <w:rFonts w:cstheme="minorHAnsi"/>
        </w:rPr>
        <w:t xml:space="preserve"> </w:t>
      </w:r>
      <w:r w:rsidR="005C06E9" w:rsidRPr="00001F7B">
        <w:rPr>
          <w:rFonts w:cstheme="minorHAnsi"/>
        </w:rPr>
        <w:t>above</w:t>
      </w:r>
      <w:r w:rsidR="0076431E" w:rsidRPr="00001F7B">
        <w:rPr>
          <w:rFonts w:cstheme="minorHAnsi"/>
        </w:rPr>
        <w:t xml:space="preserve">, </w:t>
      </w:r>
      <w:proofErr w:type="spellStart"/>
      <w:r w:rsidR="005C06E9" w:rsidRPr="00001F7B">
        <w:rPr>
          <w:rFonts w:cstheme="minorHAnsi"/>
        </w:rPr>
        <w:t>fn</w:t>
      </w:r>
      <w:proofErr w:type="spellEnd"/>
      <w:r w:rsidR="005C06E9" w:rsidRPr="00001F7B">
        <w:rPr>
          <w:rFonts w:cstheme="minorHAnsi"/>
        </w:rPr>
        <w:t xml:space="preserve"> </w:t>
      </w:r>
      <w:r w:rsidR="002E2F67" w:rsidRPr="00001F7B">
        <w:rPr>
          <w:rFonts w:cstheme="minorHAnsi"/>
        </w:rPr>
        <w:t>5</w:t>
      </w:r>
      <w:r w:rsidR="005C06E9" w:rsidRPr="00001F7B">
        <w:rPr>
          <w:rFonts w:cstheme="minorHAnsi"/>
        </w:rPr>
        <w:t>,</w:t>
      </w:r>
      <w:r w:rsidR="00642B96" w:rsidRPr="00001F7B">
        <w:rPr>
          <w:rFonts w:cstheme="minorHAnsi"/>
        </w:rPr>
        <w:t xml:space="preserve"> p</w:t>
      </w:r>
      <w:r w:rsidR="005C06E9" w:rsidRPr="00001F7B">
        <w:rPr>
          <w:rFonts w:cstheme="minorHAnsi"/>
        </w:rPr>
        <w:t xml:space="preserve"> </w:t>
      </w:r>
      <w:r w:rsidR="00642B96" w:rsidRPr="00001F7B">
        <w:rPr>
          <w:rFonts w:cstheme="minorHAnsi"/>
        </w:rPr>
        <w:t>172)</w:t>
      </w:r>
      <w:r w:rsidR="001A7994" w:rsidRPr="00001F7B">
        <w:rPr>
          <w:rFonts w:cstheme="minorHAnsi"/>
        </w:rPr>
        <w:t xml:space="preserve">.  </w:t>
      </w:r>
      <w:r w:rsidR="00010559" w:rsidRPr="00001F7B">
        <w:rPr>
          <w:rFonts w:cstheme="minorHAnsi"/>
        </w:rPr>
        <w:t xml:space="preserve">The ILC state that: </w:t>
      </w:r>
      <w:r w:rsidR="00B22742" w:rsidRPr="00001F7B">
        <w:rPr>
          <w:rFonts w:cstheme="minorHAnsi"/>
        </w:rPr>
        <w:t>“</w:t>
      </w:r>
      <w:r w:rsidR="00010559" w:rsidRPr="00001F7B">
        <w:rPr>
          <w:rFonts w:cstheme="minorHAnsi"/>
        </w:rPr>
        <w:t>The elements of interpretation in the article have in the nature of things to be arranged in some order. But it was considerations of logic, not any obligatory legal hierarchy, which guided the Commission in arriving at the arrangement proposed in the article. Once it is established—and on this point the Commission was unanimous—that the starting point of interpretation is the meaning of the text, logic indicates that "the ordinary meaning to be given to the terms of the treaty in their context and in the light of its object and purpose" should be the first element to be mentioned. Similarly, logic suggests that the elements comprised in the "context" should be the next to be mentioned since they form part of or are intimately related to the text. Again, it is only logic which suggests that the elements in paragraph 3—a subsequent agreement regarding the interpretation, subsequent practice establishing the understanding of the parties regarding the interpretation and relevant rules of international law applicable in the relations between the parties—should follow and not precede the elements in the previous paragraphs. The logical consideration which suggests this is that these elements are extrinsic</w:t>
      </w:r>
      <w:r w:rsidR="00185880" w:rsidRPr="00001F7B">
        <w:rPr>
          <w:rFonts w:cstheme="minorHAnsi"/>
        </w:rPr>
        <w:t xml:space="preserve"> </w:t>
      </w:r>
      <w:r w:rsidR="00010559" w:rsidRPr="00001F7B">
        <w:rPr>
          <w:rFonts w:cstheme="minorHAnsi"/>
        </w:rPr>
        <w:t>to the text. But these three elements are all of an obligatory character and by their very nature could not be considered to be norms of interpretation in any way inferior</w:t>
      </w:r>
      <w:r w:rsidR="00B22742" w:rsidRPr="00001F7B">
        <w:rPr>
          <w:rFonts w:cstheme="minorHAnsi"/>
        </w:rPr>
        <w:t xml:space="preserve"> </w:t>
      </w:r>
      <w:r w:rsidR="00010559" w:rsidRPr="00001F7B">
        <w:rPr>
          <w:rFonts w:cstheme="minorHAnsi"/>
        </w:rPr>
        <w:t>to those which precede them.</w:t>
      </w:r>
      <w:r w:rsidR="00B22742" w:rsidRPr="00001F7B">
        <w:rPr>
          <w:rFonts w:cstheme="minorHAnsi"/>
        </w:rPr>
        <w:t>”</w:t>
      </w:r>
    </w:p>
  </w:footnote>
  <w:footnote w:id="115">
    <w:p w14:paraId="2259EB84" w14:textId="130D82C8" w:rsidR="009023B7" w:rsidRPr="00001F7B" w:rsidRDefault="009023B7">
      <w:pPr>
        <w:pStyle w:val="FootnoteText"/>
        <w:rPr>
          <w:rFonts w:cstheme="minorHAnsi"/>
        </w:rPr>
      </w:pPr>
      <w:r w:rsidRPr="00001F7B">
        <w:rPr>
          <w:rStyle w:val="FootnoteReference"/>
          <w:rFonts w:cstheme="minorHAnsi"/>
        </w:rPr>
        <w:footnoteRef/>
      </w:r>
      <w:r w:rsidRPr="00001F7B">
        <w:rPr>
          <w:rFonts w:cstheme="minorHAnsi"/>
        </w:rPr>
        <w:t xml:space="preserve"> </w:t>
      </w:r>
      <w:r w:rsidR="009F7C12" w:rsidRPr="00001F7B">
        <w:rPr>
          <w:rFonts w:cstheme="minorHAnsi"/>
        </w:rPr>
        <w:t>See</w:t>
      </w:r>
      <w:r w:rsidR="005C06E9" w:rsidRPr="00001F7B">
        <w:rPr>
          <w:rFonts w:cstheme="minorHAnsi"/>
        </w:rPr>
        <w:t xml:space="preserve"> </w:t>
      </w:r>
      <w:r w:rsidRPr="00001F7B">
        <w:rPr>
          <w:rFonts w:cstheme="minorHAnsi"/>
        </w:rPr>
        <w:t>pp</w:t>
      </w:r>
      <w:r w:rsidR="009F7C12" w:rsidRPr="00001F7B">
        <w:rPr>
          <w:rFonts w:cstheme="minorHAnsi"/>
        </w:rPr>
        <w:t xml:space="preserve"> </w:t>
      </w:r>
      <w:r w:rsidRPr="00001F7B">
        <w:rPr>
          <w:rFonts w:cstheme="minorHAnsi"/>
        </w:rPr>
        <w:t>219-220, para</w:t>
      </w:r>
      <w:r w:rsidR="009F7C12" w:rsidRPr="00001F7B">
        <w:rPr>
          <w:rFonts w:cstheme="minorHAnsi"/>
        </w:rPr>
        <w:t xml:space="preserve"> </w:t>
      </w:r>
      <w:r w:rsidRPr="00001F7B">
        <w:rPr>
          <w:rFonts w:cstheme="minorHAnsi"/>
        </w:rPr>
        <w:t>8.</w:t>
      </w:r>
    </w:p>
  </w:footnote>
  <w:footnote w:id="116">
    <w:p w14:paraId="2D2EB597" w14:textId="0FD11E27" w:rsidR="00742F2A" w:rsidRPr="00001F7B" w:rsidRDefault="00742F2A">
      <w:pPr>
        <w:pStyle w:val="FootnoteText"/>
        <w:rPr>
          <w:rFonts w:cstheme="minorHAnsi"/>
        </w:rPr>
      </w:pPr>
      <w:r w:rsidRPr="00001F7B">
        <w:rPr>
          <w:rStyle w:val="FootnoteReference"/>
          <w:rFonts w:cstheme="minorHAnsi"/>
        </w:rPr>
        <w:footnoteRef/>
      </w:r>
      <w:r w:rsidRPr="00001F7B">
        <w:rPr>
          <w:rFonts w:cstheme="minorHAnsi"/>
        </w:rPr>
        <w:t xml:space="preserve"> </w:t>
      </w:r>
      <w:r w:rsidR="009F7C12" w:rsidRPr="00001F7B">
        <w:rPr>
          <w:rFonts w:cstheme="minorHAnsi"/>
        </w:rPr>
        <w:t xml:space="preserve">See </w:t>
      </w:r>
      <w:r w:rsidRPr="00001F7B">
        <w:rPr>
          <w:rFonts w:cstheme="minorHAnsi"/>
        </w:rPr>
        <w:t>para</w:t>
      </w:r>
      <w:r w:rsidR="009F7C12" w:rsidRPr="00001F7B">
        <w:rPr>
          <w:rFonts w:cstheme="minorHAnsi"/>
        </w:rPr>
        <w:t xml:space="preserve"> </w:t>
      </w:r>
      <w:r w:rsidRPr="00001F7B">
        <w:rPr>
          <w:rFonts w:cstheme="minorHAnsi"/>
        </w:rPr>
        <w:t>11.</w:t>
      </w:r>
    </w:p>
  </w:footnote>
  <w:footnote w:id="117">
    <w:p w14:paraId="5F1022FA" w14:textId="52BE809A" w:rsidR="009B73DB" w:rsidRPr="00001F7B" w:rsidRDefault="009B73DB">
      <w:pPr>
        <w:pStyle w:val="FootnoteText"/>
        <w:rPr>
          <w:rFonts w:cstheme="minorHAnsi"/>
        </w:rPr>
      </w:pPr>
      <w:r w:rsidRPr="00001F7B">
        <w:rPr>
          <w:rStyle w:val="FootnoteReference"/>
          <w:rFonts w:cstheme="minorHAnsi"/>
        </w:rPr>
        <w:footnoteRef/>
      </w:r>
      <w:r w:rsidRPr="00001F7B">
        <w:rPr>
          <w:rFonts w:cstheme="minorHAnsi"/>
        </w:rPr>
        <w:t xml:space="preserve"> </w:t>
      </w:r>
      <w:r w:rsidR="009F7C12" w:rsidRPr="00001F7B">
        <w:rPr>
          <w:rFonts w:cstheme="minorHAnsi"/>
        </w:rPr>
        <w:t xml:space="preserve">See </w:t>
      </w:r>
      <w:r w:rsidRPr="00001F7B">
        <w:rPr>
          <w:rFonts w:cstheme="minorHAnsi"/>
        </w:rPr>
        <w:t>p</w:t>
      </w:r>
      <w:r w:rsidR="009F7C12" w:rsidRPr="00001F7B">
        <w:rPr>
          <w:rFonts w:cstheme="minorHAnsi"/>
        </w:rPr>
        <w:t xml:space="preserve"> </w:t>
      </w:r>
      <w:r w:rsidRPr="00001F7B">
        <w:rPr>
          <w:rFonts w:cstheme="minorHAnsi"/>
        </w:rPr>
        <w:t>221, para</w:t>
      </w:r>
      <w:r w:rsidR="009F7C12" w:rsidRPr="00001F7B">
        <w:rPr>
          <w:rFonts w:cstheme="minorHAnsi"/>
        </w:rPr>
        <w:t xml:space="preserve"> </w:t>
      </w:r>
      <w:r w:rsidRPr="00001F7B">
        <w:rPr>
          <w:rFonts w:cstheme="minorHAnsi"/>
        </w:rPr>
        <w:t>12.</w:t>
      </w:r>
      <w:r w:rsidR="00130F14" w:rsidRPr="00001F7B">
        <w:rPr>
          <w:rFonts w:cstheme="minorHAnsi"/>
        </w:rPr>
        <w:t xml:space="preserve"> </w:t>
      </w:r>
      <w:r w:rsidR="00F2169C" w:rsidRPr="00001F7B">
        <w:rPr>
          <w:rFonts w:cstheme="minorHAnsi"/>
        </w:rPr>
        <w:t xml:space="preserve">In the 1964 </w:t>
      </w:r>
      <w:r w:rsidR="005C398B" w:rsidRPr="00001F7B">
        <w:rPr>
          <w:rFonts w:cstheme="minorHAnsi"/>
        </w:rPr>
        <w:t>report</w:t>
      </w:r>
      <w:r w:rsidR="00F2169C" w:rsidRPr="00001F7B">
        <w:rPr>
          <w:rFonts w:cstheme="minorHAnsi"/>
        </w:rPr>
        <w:t xml:space="preserve"> </w:t>
      </w:r>
      <w:r w:rsidR="009F7C12" w:rsidRPr="00001F7B">
        <w:rPr>
          <w:rFonts w:cstheme="minorHAnsi"/>
        </w:rPr>
        <w:t>(above</w:t>
      </w:r>
      <w:r w:rsidR="005C398B" w:rsidRPr="00001F7B">
        <w:rPr>
          <w:rFonts w:cstheme="minorHAnsi"/>
        </w:rPr>
        <w:t>,</w:t>
      </w:r>
      <w:r w:rsidR="009F7C12" w:rsidRPr="00001F7B">
        <w:rPr>
          <w:rFonts w:cstheme="minorHAnsi"/>
        </w:rPr>
        <w:t xml:space="preserve"> </w:t>
      </w:r>
      <w:proofErr w:type="spellStart"/>
      <w:r w:rsidR="009F7C12" w:rsidRPr="00001F7B">
        <w:rPr>
          <w:rFonts w:cstheme="minorHAnsi"/>
        </w:rPr>
        <w:t>fn</w:t>
      </w:r>
      <w:proofErr w:type="spellEnd"/>
      <w:r w:rsidR="009F7C12" w:rsidRPr="00001F7B">
        <w:rPr>
          <w:rFonts w:cstheme="minorHAnsi"/>
        </w:rPr>
        <w:t xml:space="preserve"> </w:t>
      </w:r>
      <w:r w:rsidR="005C398B" w:rsidRPr="00001F7B">
        <w:rPr>
          <w:rFonts w:cstheme="minorHAnsi"/>
        </w:rPr>
        <w:t>39</w:t>
      </w:r>
      <w:r w:rsidR="009F7C12" w:rsidRPr="00001F7B">
        <w:rPr>
          <w:rFonts w:cstheme="minorHAnsi"/>
        </w:rPr>
        <w:t xml:space="preserve">) </w:t>
      </w:r>
      <w:r w:rsidR="00F2169C" w:rsidRPr="00001F7B">
        <w:rPr>
          <w:rFonts w:cstheme="minorHAnsi"/>
        </w:rPr>
        <w:t>dealing with application of treaties (art 55) good faith was expressed to be a requirement for</w:t>
      </w:r>
      <w:r w:rsidR="00130F14" w:rsidRPr="00001F7B">
        <w:rPr>
          <w:rFonts w:cstheme="minorHAnsi"/>
        </w:rPr>
        <w:t xml:space="preserve"> parties to a</w:t>
      </w:r>
      <w:r w:rsidR="00F2169C" w:rsidRPr="00001F7B">
        <w:rPr>
          <w:rFonts w:cstheme="minorHAnsi"/>
        </w:rPr>
        <w:t xml:space="preserve"> treaty</w:t>
      </w:r>
      <w:r w:rsidR="00130F14" w:rsidRPr="00001F7B">
        <w:rPr>
          <w:rFonts w:cstheme="minorHAnsi"/>
        </w:rPr>
        <w:t xml:space="preserve"> not to do anything calculated to prevent the due execution of the treaty or frustrate its objects.</w:t>
      </w:r>
      <w:r w:rsidR="00F2169C" w:rsidRPr="00001F7B">
        <w:rPr>
          <w:rFonts w:cstheme="minorHAnsi"/>
        </w:rPr>
        <w:t xml:space="preserve"> This does not appear in the equivalent part of the adopted text (art</w:t>
      </w:r>
      <w:r w:rsidR="009F7C12" w:rsidRPr="00001F7B">
        <w:rPr>
          <w:rFonts w:cstheme="minorHAnsi"/>
        </w:rPr>
        <w:t xml:space="preserve"> </w:t>
      </w:r>
      <w:r w:rsidR="00F2169C" w:rsidRPr="00001F7B">
        <w:rPr>
          <w:rFonts w:cstheme="minorHAnsi"/>
        </w:rPr>
        <w:t>26).</w:t>
      </w:r>
      <w:r w:rsidR="006930E5" w:rsidRPr="00001F7B">
        <w:rPr>
          <w:rFonts w:cstheme="minorHAnsi"/>
        </w:rPr>
        <w:t xml:space="preserve"> Article 18 prohibits </w:t>
      </w:r>
      <w:r w:rsidR="00C12DBF" w:rsidRPr="00001F7B">
        <w:rPr>
          <w:rFonts w:cstheme="minorHAnsi"/>
        </w:rPr>
        <w:t xml:space="preserve">acts defeating the object and purpose of a treaty prior to its coming into force and the 1966 </w:t>
      </w:r>
      <w:r w:rsidR="0053000D" w:rsidRPr="00001F7B">
        <w:rPr>
          <w:rFonts w:cstheme="minorHAnsi"/>
        </w:rPr>
        <w:t>C</w:t>
      </w:r>
      <w:r w:rsidR="00C12DBF" w:rsidRPr="00001F7B">
        <w:rPr>
          <w:rFonts w:cstheme="minorHAnsi"/>
        </w:rPr>
        <w:t>ommentary</w:t>
      </w:r>
      <w:r w:rsidR="005C398B" w:rsidRPr="00001F7B">
        <w:rPr>
          <w:rFonts w:cstheme="minorHAnsi"/>
        </w:rPr>
        <w:t xml:space="preserve"> (above, </w:t>
      </w:r>
      <w:proofErr w:type="spellStart"/>
      <w:r w:rsidR="005C398B" w:rsidRPr="00001F7B">
        <w:rPr>
          <w:rFonts w:cstheme="minorHAnsi"/>
        </w:rPr>
        <w:t>fn</w:t>
      </w:r>
      <w:proofErr w:type="spellEnd"/>
      <w:r w:rsidR="005C398B" w:rsidRPr="00001F7B">
        <w:rPr>
          <w:rFonts w:cstheme="minorHAnsi"/>
        </w:rPr>
        <w:t xml:space="preserve"> 38)</w:t>
      </w:r>
      <w:r w:rsidR="00C12DBF" w:rsidRPr="00001F7B">
        <w:rPr>
          <w:rFonts w:cstheme="minorHAnsi"/>
        </w:rPr>
        <w:t xml:space="preserve"> </w:t>
      </w:r>
      <w:r w:rsidR="002A5299" w:rsidRPr="00001F7B">
        <w:rPr>
          <w:rFonts w:cstheme="minorHAnsi"/>
        </w:rPr>
        <w:t xml:space="preserve">indicates </w:t>
      </w:r>
      <w:r w:rsidR="00C12DBF" w:rsidRPr="00001F7B">
        <w:rPr>
          <w:rFonts w:cstheme="minorHAnsi"/>
        </w:rPr>
        <w:t xml:space="preserve">that not doing anything to frustrate its object and purpose is implicit, the ILC wishing to state the principle of </w:t>
      </w:r>
      <w:r w:rsidR="00C12DBF" w:rsidRPr="00001F7B">
        <w:rPr>
          <w:rFonts w:cstheme="minorHAnsi"/>
          <w:i/>
          <w:iCs/>
        </w:rPr>
        <w:t xml:space="preserve">pacta sunt </w:t>
      </w:r>
      <w:proofErr w:type="spellStart"/>
      <w:r w:rsidR="00C12DBF" w:rsidRPr="00001F7B">
        <w:rPr>
          <w:rFonts w:cstheme="minorHAnsi"/>
          <w:i/>
          <w:iCs/>
        </w:rPr>
        <w:t>servanda</w:t>
      </w:r>
      <w:proofErr w:type="spellEnd"/>
      <w:r w:rsidR="00C12DBF" w:rsidRPr="00001F7B">
        <w:rPr>
          <w:rFonts w:cstheme="minorHAnsi"/>
        </w:rPr>
        <w:t xml:space="preserve"> in as simple a form as possible.</w:t>
      </w:r>
    </w:p>
  </w:footnote>
  <w:footnote w:id="118">
    <w:p w14:paraId="73DA187E" w14:textId="1B2FDEC0" w:rsidR="00C12DBF" w:rsidRPr="00001F7B" w:rsidRDefault="00C12DBF" w:rsidP="005D0CE2">
      <w:pPr>
        <w:pStyle w:val="FootnoteText"/>
        <w:rPr>
          <w:rFonts w:cstheme="minorHAnsi"/>
        </w:rPr>
      </w:pPr>
      <w:r w:rsidRPr="00001F7B">
        <w:rPr>
          <w:rStyle w:val="FootnoteReference"/>
          <w:rFonts w:cstheme="minorHAnsi"/>
        </w:rPr>
        <w:footnoteRef/>
      </w:r>
      <w:r w:rsidRPr="00001F7B">
        <w:rPr>
          <w:rFonts w:cstheme="minorHAnsi"/>
        </w:rPr>
        <w:t xml:space="preserve"> Gardiner, </w:t>
      </w:r>
      <w:r w:rsidR="009F7C12" w:rsidRPr="00001F7B">
        <w:rPr>
          <w:rFonts w:cstheme="minorHAnsi"/>
        </w:rPr>
        <w:t>above</w:t>
      </w:r>
      <w:r w:rsidR="005C398B" w:rsidRPr="00001F7B">
        <w:rPr>
          <w:rFonts w:cstheme="minorHAnsi"/>
        </w:rPr>
        <w:t>,</w:t>
      </w:r>
      <w:r w:rsidR="009F7C12" w:rsidRPr="00001F7B">
        <w:rPr>
          <w:rFonts w:cstheme="minorHAnsi"/>
        </w:rPr>
        <w:t xml:space="preserve"> </w:t>
      </w:r>
      <w:proofErr w:type="spellStart"/>
      <w:r w:rsidR="009F7C12" w:rsidRPr="00001F7B">
        <w:rPr>
          <w:rFonts w:cstheme="minorHAnsi"/>
        </w:rPr>
        <w:t>f</w:t>
      </w:r>
      <w:r w:rsidRPr="00001F7B">
        <w:rPr>
          <w:rFonts w:cstheme="minorHAnsi"/>
        </w:rPr>
        <w:t>n</w:t>
      </w:r>
      <w:proofErr w:type="spellEnd"/>
      <w:r w:rsidR="009F7C12" w:rsidRPr="00001F7B">
        <w:rPr>
          <w:rFonts w:cstheme="minorHAnsi"/>
        </w:rPr>
        <w:t xml:space="preserve"> </w:t>
      </w:r>
      <w:r w:rsidR="005C398B" w:rsidRPr="00001F7B">
        <w:rPr>
          <w:rFonts w:cstheme="minorHAnsi"/>
        </w:rPr>
        <w:t>5</w:t>
      </w:r>
      <w:r w:rsidR="00CA1283" w:rsidRPr="00001F7B">
        <w:rPr>
          <w:rFonts w:cstheme="minorHAnsi"/>
        </w:rPr>
        <w:t>, p</w:t>
      </w:r>
      <w:r w:rsidR="009F7C12" w:rsidRPr="00001F7B">
        <w:rPr>
          <w:rFonts w:cstheme="minorHAnsi"/>
        </w:rPr>
        <w:t xml:space="preserve"> </w:t>
      </w:r>
      <w:r w:rsidR="00CA1283" w:rsidRPr="00001F7B">
        <w:rPr>
          <w:rFonts w:cstheme="minorHAnsi"/>
        </w:rPr>
        <w:t>168.</w:t>
      </w:r>
      <w:r w:rsidR="00A66163" w:rsidRPr="00001F7B">
        <w:rPr>
          <w:rFonts w:cstheme="minorHAnsi"/>
        </w:rPr>
        <w:t xml:space="preserve"> </w:t>
      </w:r>
      <w:r w:rsidR="002A5299" w:rsidRPr="00001F7B">
        <w:rPr>
          <w:rFonts w:cstheme="minorHAnsi"/>
        </w:rPr>
        <w:t>Cf.,</w:t>
      </w:r>
      <w:r w:rsidR="00A66163" w:rsidRPr="00001F7B">
        <w:rPr>
          <w:rFonts w:cstheme="minorHAnsi"/>
        </w:rPr>
        <w:t xml:space="preserve"> Villager</w:t>
      </w:r>
      <w:r w:rsidR="002A5299" w:rsidRPr="00001F7B">
        <w:rPr>
          <w:rFonts w:cstheme="minorHAnsi"/>
        </w:rPr>
        <w:t xml:space="preserve">, </w:t>
      </w:r>
      <w:r w:rsidR="009F7C12" w:rsidRPr="00001F7B">
        <w:rPr>
          <w:rFonts w:cstheme="minorHAnsi"/>
        </w:rPr>
        <w:t>above</w:t>
      </w:r>
      <w:r w:rsidR="005C398B" w:rsidRPr="00001F7B">
        <w:rPr>
          <w:rFonts w:cstheme="minorHAnsi"/>
        </w:rPr>
        <w:t>,</w:t>
      </w:r>
      <w:r w:rsidR="009F7C12" w:rsidRPr="00001F7B">
        <w:rPr>
          <w:rFonts w:cstheme="minorHAnsi"/>
        </w:rPr>
        <w:t xml:space="preserve"> </w:t>
      </w:r>
      <w:proofErr w:type="spellStart"/>
      <w:r w:rsidR="009F7C12" w:rsidRPr="00001F7B">
        <w:rPr>
          <w:rFonts w:cstheme="minorHAnsi"/>
        </w:rPr>
        <w:t>f</w:t>
      </w:r>
      <w:r w:rsidR="002A5299" w:rsidRPr="00001F7B">
        <w:rPr>
          <w:rFonts w:cstheme="minorHAnsi"/>
        </w:rPr>
        <w:t>n</w:t>
      </w:r>
      <w:proofErr w:type="spellEnd"/>
      <w:r w:rsidR="009C05E6" w:rsidRPr="00001F7B">
        <w:rPr>
          <w:rFonts w:cstheme="minorHAnsi"/>
        </w:rPr>
        <w:t xml:space="preserve"> </w:t>
      </w:r>
      <w:r w:rsidR="005C398B" w:rsidRPr="00001F7B">
        <w:rPr>
          <w:rFonts w:cstheme="minorHAnsi"/>
        </w:rPr>
        <w:t>47</w:t>
      </w:r>
      <w:r w:rsidR="005D0CE2" w:rsidRPr="00001F7B">
        <w:rPr>
          <w:rFonts w:cstheme="minorHAnsi"/>
        </w:rPr>
        <w:t>, p</w:t>
      </w:r>
      <w:r w:rsidR="009F7C12" w:rsidRPr="00001F7B">
        <w:rPr>
          <w:rFonts w:cstheme="minorHAnsi"/>
        </w:rPr>
        <w:t xml:space="preserve"> </w:t>
      </w:r>
      <w:r w:rsidR="005D0CE2" w:rsidRPr="00001F7B">
        <w:rPr>
          <w:rFonts w:cstheme="minorHAnsi"/>
        </w:rPr>
        <w:t>108</w:t>
      </w:r>
      <w:r w:rsidR="009F7C12" w:rsidRPr="00001F7B">
        <w:rPr>
          <w:rFonts w:cstheme="minorHAnsi"/>
        </w:rPr>
        <w:t>:</w:t>
      </w:r>
      <w:r w:rsidR="005D0CE2" w:rsidRPr="00001F7B">
        <w:rPr>
          <w:rFonts w:cstheme="minorHAnsi"/>
        </w:rPr>
        <w:t xml:space="preserve"> “Good faith is given pride of place in the opening sentence of Article 31</w:t>
      </w:r>
      <w:r w:rsidR="009F7C12" w:rsidRPr="00001F7B">
        <w:rPr>
          <w:rFonts w:cstheme="minorHAnsi"/>
        </w:rPr>
        <w:t>.1</w:t>
      </w:r>
      <w:r w:rsidR="005D0CE2" w:rsidRPr="00001F7B">
        <w:rPr>
          <w:rFonts w:cstheme="minorHAnsi"/>
        </w:rPr>
        <w:t>, and indeed, it lies at the centre of the application of interpretation throughout which it prevails. Bona ﬁdes, which is also mentioned in the Preamble and in Article 26</w:t>
      </w:r>
      <w:r w:rsidR="00CC63A3" w:rsidRPr="00001F7B">
        <w:rPr>
          <w:rFonts w:cstheme="minorHAnsi"/>
        </w:rPr>
        <w:t xml:space="preserve"> </w:t>
      </w:r>
      <w:r w:rsidR="005D0CE2" w:rsidRPr="00001F7B">
        <w:rPr>
          <w:rFonts w:cstheme="minorHAnsi"/>
        </w:rPr>
        <w:t xml:space="preserve">on </w:t>
      </w:r>
      <w:r w:rsidR="005D0CE2" w:rsidRPr="00001F7B">
        <w:rPr>
          <w:rFonts w:cstheme="minorHAnsi"/>
          <w:i/>
          <w:iCs/>
        </w:rPr>
        <w:t xml:space="preserve">pacta sunt </w:t>
      </w:r>
      <w:proofErr w:type="spellStart"/>
      <w:r w:rsidR="005D0CE2" w:rsidRPr="00001F7B">
        <w:rPr>
          <w:rFonts w:cstheme="minorHAnsi"/>
          <w:i/>
          <w:iCs/>
        </w:rPr>
        <w:t>servanda</w:t>
      </w:r>
      <w:proofErr w:type="spellEnd"/>
      <w:r w:rsidR="005D0CE2" w:rsidRPr="00001F7B">
        <w:rPr>
          <w:rFonts w:cstheme="minorHAnsi"/>
        </w:rPr>
        <w:t>, prevents an excessively literal interpretation of a term, instead requiring consideration of its context and of other means of interpretation. Good faith implies consideration of the object and purpose of a treaty and plays a part in establishing the ‘acceptance’ in subparagraph 2(b) of Article 31</w:t>
      </w:r>
      <w:r w:rsidR="00CC63A3" w:rsidRPr="00001F7B">
        <w:rPr>
          <w:rFonts w:cstheme="minorHAnsi"/>
        </w:rPr>
        <w:t xml:space="preserve"> </w:t>
      </w:r>
      <w:r w:rsidR="005D0CE2" w:rsidRPr="00001F7B">
        <w:rPr>
          <w:rFonts w:cstheme="minorHAnsi"/>
        </w:rPr>
        <w:t>and in evaluating subsequent practice as in subparagraph 3(b). Finally, good faith assists in determining recourse to the supplementary means of interpretation as set forth in Article 32.</w:t>
      </w:r>
      <w:r w:rsidR="00B571A9" w:rsidRPr="00001F7B">
        <w:rPr>
          <w:rFonts w:cstheme="minorHAnsi"/>
        </w:rPr>
        <w:t xml:space="preserve"> </w:t>
      </w:r>
      <w:r w:rsidR="005D0CE2" w:rsidRPr="00001F7B">
        <w:rPr>
          <w:rFonts w:cstheme="minorHAnsi"/>
        </w:rPr>
        <w:t>When interpreting a treaty, good faith raises at the outset the presumption that the treaty terms were intended to mean something, rather than nothing. Furthermore, good faith requires the parties to a treaty to act honestly, fairly, and reasonably, and to refrain from taking unfair advantage. Legitimate expectations raised in other parties are to be honoured. A right which has been forfeited may no longer be claimed (</w:t>
      </w:r>
      <w:r w:rsidR="005D0CE2" w:rsidRPr="00001F7B">
        <w:rPr>
          <w:rFonts w:cstheme="minorHAnsi"/>
          <w:i/>
          <w:iCs/>
        </w:rPr>
        <w:t>venire contra factum proprium</w:t>
      </w:r>
      <w:r w:rsidR="005D0CE2" w:rsidRPr="00001F7B">
        <w:rPr>
          <w:rFonts w:cstheme="minorHAnsi"/>
        </w:rPr>
        <w:t>). The prohibition of the abuse of rights, ﬂowing from good faith, prevents a party from evading its obligations and from exercising its rights in such a way as to cause injury to the other party.”</w:t>
      </w:r>
      <w:r w:rsidR="00B571A9" w:rsidRPr="00001F7B">
        <w:rPr>
          <w:rFonts w:cstheme="minorHAnsi"/>
        </w:rPr>
        <w:t xml:space="preserve"> </w:t>
      </w:r>
    </w:p>
  </w:footnote>
  <w:footnote w:id="119">
    <w:p w14:paraId="2006FD22" w14:textId="27CC756F" w:rsidR="00CA1283" w:rsidRPr="00001F7B" w:rsidRDefault="00CA1283">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w:t>
      </w:r>
      <w:proofErr w:type="spellEnd"/>
      <w:r w:rsidR="00F06FFA" w:rsidRPr="00001F7B">
        <w:rPr>
          <w:rFonts w:cstheme="minorHAnsi"/>
          <w:i/>
          <w:iCs/>
        </w:rPr>
        <w:t xml:space="preserve"> </w:t>
      </w:r>
      <w:r w:rsidRPr="00001F7B">
        <w:rPr>
          <w:rFonts w:cstheme="minorHAnsi"/>
          <w:i/>
          <w:iCs/>
        </w:rPr>
        <w:t>cit.</w:t>
      </w:r>
    </w:p>
  </w:footnote>
  <w:footnote w:id="120">
    <w:p w14:paraId="32351C1F" w14:textId="4E0C549E" w:rsidR="000A571E" w:rsidRPr="00001F7B" w:rsidRDefault="000A571E">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w:t>
      </w:r>
      <w:proofErr w:type="spellEnd"/>
      <w:r w:rsidR="00F06FFA" w:rsidRPr="00001F7B">
        <w:rPr>
          <w:rFonts w:cstheme="minorHAnsi"/>
          <w:i/>
          <w:iCs/>
        </w:rPr>
        <w:t xml:space="preserve"> </w:t>
      </w:r>
      <w:r w:rsidRPr="00001F7B">
        <w:rPr>
          <w:rFonts w:cstheme="minorHAnsi"/>
          <w:i/>
          <w:iCs/>
        </w:rPr>
        <w:t>cit.</w:t>
      </w:r>
    </w:p>
  </w:footnote>
  <w:footnote w:id="121">
    <w:p w14:paraId="62F2A500" w14:textId="47BADD14" w:rsidR="007B3A96" w:rsidRPr="00001F7B" w:rsidRDefault="007B3A96" w:rsidP="00C71837">
      <w:pPr>
        <w:pStyle w:val="FootnoteText"/>
        <w:rPr>
          <w:rFonts w:cstheme="minorHAnsi"/>
        </w:rPr>
      </w:pPr>
      <w:r w:rsidRPr="00001F7B">
        <w:rPr>
          <w:rStyle w:val="FootnoteReference"/>
          <w:rFonts w:cstheme="minorHAnsi"/>
        </w:rPr>
        <w:footnoteRef/>
      </w:r>
      <w:r w:rsidRPr="00001F7B">
        <w:rPr>
          <w:rFonts w:cstheme="minorHAnsi"/>
        </w:rPr>
        <w:t xml:space="preserve"> </w:t>
      </w:r>
      <w:r w:rsidR="00CB4268" w:rsidRPr="00001F7B">
        <w:rPr>
          <w:rFonts w:cstheme="minorHAnsi"/>
        </w:rPr>
        <w:t xml:space="preserve">The rule </w:t>
      </w:r>
      <w:proofErr w:type="spellStart"/>
      <w:r w:rsidR="00CB4268" w:rsidRPr="00001F7B">
        <w:rPr>
          <w:rFonts w:cstheme="minorHAnsi"/>
        </w:rPr>
        <w:t>u</w:t>
      </w:r>
      <w:r w:rsidRPr="00001F7B">
        <w:rPr>
          <w:rFonts w:cstheme="minorHAnsi"/>
          <w:i/>
          <w:iCs/>
        </w:rPr>
        <w:t>t</w:t>
      </w:r>
      <w:proofErr w:type="spellEnd"/>
      <w:r w:rsidRPr="00001F7B">
        <w:rPr>
          <w:rFonts w:cstheme="minorHAnsi"/>
          <w:i/>
          <w:iCs/>
        </w:rPr>
        <w:t xml:space="preserve"> res </w:t>
      </w:r>
      <w:proofErr w:type="spellStart"/>
      <w:r w:rsidRPr="00001F7B">
        <w:rPr>
          <w:rFonts w:cstheme="minorHAnsi"/>
          <w:i/>
          <w:iCs/>
        </w:rPr>
        <w:t>magis</w:t>
      </w:r>
      <w:proofErr w:type="spellEnd"/>
      <w:r w:rsidRPr="00001F7B">
        <w:rPr>
          <w:rFonts w:cstheme="minorHAnsi"/>
          <w:i/>
          <w:iCs/>
        </w:rPr>
        <w:t xml:space="preserve"> valeat </w:t>
      </w:r>
      <w:proofErr w:type="spellStart"/>
      <w:r w:rsidRPr="00001F7B">
        <w:rPr>
          <w:rFonts w:cstheme="minorHAnsi"/>
          <w:i/>
          <w:iCs/>
        </w:rPr>
        <w:t>quam</w:t>
      </w:r>
      <w:proofErr w:type="spellEnd"/>
      <w:r w:rsidRPr="00001F7B">
        <w:rPr>
          <w:rFonts w:cstheme="minorHAnsi"/>
          <w:i/>
          <w:iCs/>
        </w:rPr>
        <w:t xml:space="preserve"> </w:t>
      </w:r>
      <w:proofErr w:type="spellStart"/>
      <w:r w:rsidRPr="00001F7B">
        <w:rPr>
          <w:rFonts w:cstheme="minorHAnsi"/>
          <w:i/>
          <w:iCs/>
        </w:rPr>
        <w:t>pereat</w:t>
      </w:r>
      <w:proofErr w:type="spellEnd"/>
      <w:r w:rsidRPr="00001F7B">
        <w:rPr>
          <w:rFonts w:cstheme="minorHAnsi"/>
        </w:rPr>
        <w:t>, which Gardiner identifies as the more specific limb of the principle of effectiveness, see p</w:t>
      </w:r>
      <w:r w:rsidR="00CC63A3" w:rsidRPr="00001F7B">
        <w:rPr>
          <w:rFonts w:cstheme="minorHAnsi"/>
        </w:rPr>
        <w:t xml:space="preserve"> </w:t>
      </w:r>
      <w:r w:rsidRPr="00001F7B">
        <w:rPr>
          <w:rFonts w:cstheme="minorHAnsi"/>
        </w:rPr>
        <w:t xml:space="preserve">179. He notes that the other limb guides the interpreter towards an interpretation which realises the aims of the treaty and notes further that the ILC took the view that </w:t>
      </w:r>
      <w:r w:rsidR="000E4F1E" w:rsidRPr="00001F7B">
        <w:rPr>
          <w:rFonts w:cstheme="minorHAnsi"/>
        </w:rPr>
        <w:t xml:space="preserve">insofar as the maxim amounts to a true general rule of interpretation, it is embodied in art 31.1 quoting the ILC’s statement </w:t>
      </w:r>
      <w:r w:rsidR="00CC63A3" w:rsidRPr="00001F7B">
        <w:rPr>
          <w:rFonts w:cstheme="minorHAnsi"/>
        </w:rPr>
        <w:t>in the</w:t>
      </w:r>
      <w:r w:rsidR="000E4F1E" w:rsidRPr="00001F7B">
        <w:rPr>
          <w:rFonts w:cstheme="minorHAnsi"/>
        </w:rPr>
        <w:t xml:space="preserve"> 1966 </w:t>
      </w:r>
      <w:r w:rsidR="00CC63A3" w:rsidRPr="00001F7B">
        <w:rPr>
          <w:rFonts w:cstheme="minorHAnsi"/>
        </w:rPr>
        <w:t>Commentary</w:t>
      </w:r>
      <w:r w:rsidR="0033032D" w:rsidRPr="00001F7B">
        <w:rPr>
          <w:rFonts w:cstheme="minorHAnsi"/>
        </w:rPr>
        <w:t xml:space="preserve"> (above, </w:t>
      </w:r>
      <w:proofErr w:type="spellStart"/>
      <w:r w:rsidR="0033032D" w:rsidRPr="00001F7B">
        <w:rPr>
          <w:rFonts w:cstheme="minorHAnsi"/>
        </w:rPr>
        <w:t>fn</w:t>
      </w:r>
      <w:proofErr w:type="spellEnd"/>
      <w:r w:rsidR="0033032D" w:rsidRPr="00001F7B">
        <w:rPr>
          <w:rFonts w:cstheme="minorHAnsi"/>
        </w:rPr>
        <w:t xml:space="preserve"> 38</w:t>
      </w:r>
      <w:r w:rsidR="00CC63A3" w:rsidRPr="00001F7B">
        <w:rPr>
          <w:rFonts w:cstheme="minorHAnsi"/>
        </w:rPr>
        <w:t xml:space="preserve"> </w:t>
      </w:r>
      <w:r w:rsidR="000E4F1E" w:rsidRPr="00001F7B">
        <w:rPr>
          <w:rFonts w:cstheme="minorHAnsi"/>
        </w:rPr>
        <w:t>p</w:t>
      </w:r>
      <w:r w:rsidR="00CC63A3" w:rsidRPr="00001F7B">
        <w:rPr>
          <w:rFonts w:cstheme="minorHAnsi"/>
        </w:rPr>
        <w:t xml:space="preserve"> </w:t>
      </w:r>
      <w:r w:rsidR="000E4F1E" w:rsidRPr="00001F7B">
        <w:rPr>
          <w:rFonts w:cstheme="minorHAnsi"/>
        </w:rPr>
        <w:t>219, para</w:t>
      </w:r>
      <w:r w:rsidR="00CC63A3" w:rsidRPr="00001F7B">
        <w:rPr>
          <w:rFonts w:cstheme="minorHAnsi"/>
        </w:rPr>
        <w:t xml:space="preserve"> </w:t>
      </w:r>
      <w:r w:rsidR="000E4F1E" w:rsidRPr="00001F7B">
        <w:rPr>
          <w:rFonts w:cstheme="minorHAnsi"/>
        </w:rPr>
        <w:t>6</w:t>
      </w:r>
      <w:r w:rsidR="0033032D" w:rsidRPr="00001F7B">
        <w:rPr>
          <w:rFonts w:cstheme="minorHAnsi"/>
        </w:rPr>
        <w:t>)</w:t>
      </w:r>
      <w:r w:rsidR="000E4F1E" w:rsidRPr="00001F7B">
        <w:rPr>
          <w:rFonts w:cstheme="minorHAnsi"/>
        </w:rPr>
        <w:t xml:space="preserve">: </w:t>
      </w:r>
      <w:r w:rsidR="00AE4905" w:rsidRPr="00001F7B">
        <w:rPr>
          <w:rFonts w:cstheme="minorHAnsi"/>
        </w:rPr>
        <w:t>“When a treaty is open to two interpretations one of which does and the other does not enable the treaty to have appropriate effects, good faith and the objects and purposes of the treaty demand that the former interpretation should be adopted.” Gardiner considers, however that for analytical purposes it is better to consider the maxim in the context of good faith and the realisation of the aims of the treaty as an aspect of object and purpose</w:t>
      </w:r>
      <w:r w:rsidR="000733A0" w:rsidRPr="00001F7B">
        <w:rPr>
          <w:rFonts w:cstheme="minorHAnsi"/>
        </w:rPr>
        <w:t xml:space="preserve"> (cf., Waibel, </w:t>
      </w:r>
      <w:r w:rsidR="00C71837" w:rsidRPr="00001F7B">
        <w:rPr>
          <w:rFonts w:cstheme="minorHAnsi"/>
        </w:rPr>
        <w:t>‘Uniformity versus Specialisation (2): A Uniform Regime of Treaty Interpretation?</w:t>
      </w:r>
      <w:r w:rsidR="00BF1147">
        <w:rPr>
          <w:rFonts w:cstheme="minorHAnsi"/>
        </w:rPr>
        <w:t>’</w:t>
      </w:r>
      <w:r w:rsidR="001A4E9F" w:rsidRPr="00001F7B">
        <w:rPr>
          <w:rFonts w:cstheme="minorHAnsi"/>
        </w:rPr>
        <w:t xml:space="preserve"> </w:t>
      </w:r>
      <w:proofErr w:type="spellStart"/>
      <w:r w:rsidR="001A4E9F" w:rsidRPr="00001F7B">
        <w:rPr>
          <w:rFonts w:cstheme="minorHAnsi"/>
        </w:rPr>
        <w:t>ch</w:t>
      </w:r>
      <w:proofErr w:type="spellEnd"/>
      <w:r w:rsidR="001A4E9F" w:rsidRPr="00001F7B">
        <w:rPr>
          <w:rFonts w:cstheme="minorHAnsi"/>
        </w:rPr>
        <w:t xml:space="preserve"> 13 in </w:t>
      </w:r>
      <w:r w:rsidR="001A4E9F" w:rsidRPr="00BF1147">
        <w:rPr>
          <w:rFonts w:cstheme="minorHAnsi"/>
          <w:i/>
          <w:iCs/>
        </w:rPr>
        <w:t>Research Handbook on the Law of Treaties,</w:t>
      </w:r>
      <w:r w:rsidR="001A4E9F" w:rsidRPr="00001F7B">
        <w:rPr>
          <w:rFonts w:cstheme="minorHAnsi"/>
        </w:rPr>
        <w:t xml:space="preserve"> Tams, </w:t>
      </w:r>
      <w:proofErr w:type="spellStart"/>
      <w:r w:rsidR="001A4E9F" w:rsidRPr="00001F7B">
        <w:rPr>
          <w:rFonts w:cstheme="minorHAnsi"/>
        </w:rPr>
        <w:t>Tzanakopoulos</w:t>
      </w:r>
      <w:proofErr w:type="spellEnd"/>
      <w:r w:rsidR="001A4E9F" w:rsidRPr="00001F7B">
        <w:rPr>
          <w:rFonts w:cstheme="minorHAnsi"/>
        </w:rPr>
        <w:t>, Zimmermann (eds), 2014, Elgar,</w:t>
      </w:r>
      <w:r w:rsidR="000733A0" w:rsidRPr="00001F7B">
        <w:rPr>
          <w:rFonts w:cstheme="minorHAnsi"/>
        </w:rPr>
        <w:t xml:space="preserve"> p.18)</w:t>
      </w:r>
      <w:r w:rsidR="00AE4905" w:rsidRPr="00001F7B">
        <w:rPr>
          <w:rFonts w:cstheme="minorHAnsi"/>
        </w:rPr>
        <w:t>.</w:t>
      </w:r>
      <w:r w:rsidR="00CB4268" w:rsidRPr="00001F7B">
        <w:rPr>
          <w:rFonts w:cstheme="minorHAnsi"/>
        </w:rPr>
        <w:t xml:space="preserve"> </w:t>
      </w:r>
      <w:r w:rsidR="00716A14" w:rsidRPr="00001F7B">
        <w:rPr>
          <w:rFonts w:cstheme="minorHAnsi"/>
        </w:rPr>
        <w:t xml:space="preserve">See also the 1964 </w:t>
      </w:r>
      <w:r w:rsidR="00C71837" w:rsidRPr="00001F7B">
        <w:rPr>
          <w:rFonts w:cstheme="minorHAnsi"/>
        </w:rPr>
        <w:t>Report</w:t>
      </w:r>
      <w:r w:rsidR="0033032D" w:rsidRPr="00001F7B">
        <w:rPr>
          <w:rFonts w:cstheme="minorHAnsi"/>
        </w:rPr>
        <w:t xml:space="preserve"> (above, </w:t>
      </w:r>
      <w:proofErr w:type="spellStart"/>
      <w:r w:rsidR="0033032D" w:rsidRPr="00001F7B">
        <w:rPr>
          <w:rFonts w:cstheme="minorHAnsi"/>
        </w:rPr>
        <w:t>fn</w:t>
      </w:r>
      <w:proofErr w:type="spellEnd"/>
      <w:r w:rsidR="0033032D" w:rsidRPr="00001F7B">
        <w:rPr>
          <w:rFonts w:cstheme="minorHAnsi"/>
        </w:rPr>
        <w:t xml:space="preserve"> 39, p 60, para 27)</w:t>
      </w:r>
      <w:r w:rsidR="00C71837" w:rsidRPr="00001F7B">
        <w:rPr>
          <w:rFonts w:cstheme="minorHAnsi"/>
        </w:rPr>
        <w:t xml:space="preserve"> </w:t>
      </w:r>
      <w:r w:rsidR="00716A14" w:rsidRPr="00001F7B">
        <w:rPr>
          <w:rFonts w:cstheme="minorHAnsi"/>
        </w:rPr>
        <w:t>where it was acknowledged that "effective" interpretation,</w:t>
      </w:r>
      <w:r w:rsidR="00B571A9" w:rsidRPr="00001F7B">
        <w:rPr>
          <w:rFonts w:cstheme="minorHAnsi"/>
        </w:rPr>
        <w:t xml:space="preserve"> </w:t>
      </w:r>
      <w:r w:rsidR="00716A14" w:rsidRPr="00001F7B">
        <w:rPr>
          <w:rFonts w:cstheme="minorHAnsi"/>
        </w:rPr>
        <w:t>correctly understood, may be said to be implied in interpretation made in good faith.</w:t>
      </w:r>
      <w:r w:rsidR="00607623" w:rsidRPr="00001F7B">
        <w:rPr>
          <w:rFonts w:cstheme="minorHAnsi"/>
        </w:rPr>
        <w:t xml:space="preserve"> See further in this context p</w:t>
      </w:r>
      <w:r w:rsidR="00C71837" w:rsidRPr="00001F7B">
        <w:rPr>
          <w:rFonts w:cstheme="minorHAnsi"/>
        </w:rPr>
        <w:t xml:space="preserve"> </w:t>
      </w:r>
      <w:r w:rsidR="00607623" w:rsidRPr="00001F7B">
        <w:rPr>
          <w:rFonts w:cstheme="minorHAnsi"/>
        </w:rPr>
        <w:t>61,</w:t>
      </w:r>
      <w:r w:rsidR="00363E4B" w:rsidRPr="00001F7B">
        <w:rPr>
          <w:rFonts w:cstheme="minorHAnsi"/>
        </w:rPr>
        <w:t xml:space="preserve"> </w:t>
      </w:r>
      <w:r w:rsidR="00607623" w:rsidRPr="00001F7B">
        <w:rPr>
          <w:rFonts w:cstheme="minorHAnsi"/>
        </w:rPr>
        <w:t>para</w:t>
      </w:r>
      <w:r w:rsidR="00C71837" w:rsidRPr="00001F7B">
        <w:rPr>
          <w:rFonts w:cstheme="minorHAnsi"/>
        </w:rPr>
        <w:t xml:space="preserve"> </w:t>
      </w:r>
      <w:r w:rsidR="00607623" w:rsidRPr="00001F7B">
        <w:rPr>
          <w:rFonts w:cstheme="minorHAnsi"/>
        </w:rPr>
        <w:t>72.</w:t>
      </w:r>
      <w:r w:rsidR="007C2343" w:rsidRPr="00001F7B">
        <w:rPr>
          <w:rFonts w:cstheme="minorHAnsi"/>
        </w:rPr>
        <w:t xml:space="preserve"> </w:t>
      </w:r>
      <w:r w:rsidR="00363E4B" w:rsidRPr="00001F7B">
        <w:rPr>
          <w:rFonts w:cstheme="minorHAnsi"/>
        </w:rPr>
        <w:t>Note</w:t>
      </w:r>
      <w:r w:rsidR="00C71837" w:rsidRPr="00001F7B">
        <w:rPr>
          <w:rFonts w:cstheme="minorHAnsi"/>
        </w:rPr>
        <w:t xml:space="preserve"> also in</w:t>
      </w:r>
      <w:r w:rsidR="00363E4B" w:rsidRPr="00001F7B">
        <w:rPr>
          <w:rFonts w:cstheme="minorHAnsi"/>
        </w:rPr>
        <w:t xml:space="preserve"> the </w:t>
      </w:r>
      <w:r w:rsidR="007C2343" w:rsidRPr="00001F7B">
        <w:rPr>
          <w:rFonts w:cstheme="minorHAnsi"/>
        </w:rPr>
        <w:t>1964</w:t>
      </w:r>
      <w:r w:rsidR="00C71837" w:rsidRPr="00001F7B">
        <w:rPr>
          <w:rFonts w:cstheme="minorHAnsi"/>
        </w:rPr>
        <w:t xml:space="preserve"> report</w:t>
      </w:r>
      <w:r w:rsidR="00363E4B" w:rsidRPr="00001F7B">
        <w:rPr>
          <w:rFonts w:cstheme="minorHAnsi"/>
        </w:rPr>
        <w:t>,</w:t>
      </w:r>
      <w:r w:rsidR="007C2343" w:rsidRPr="00001F7B">
        <w:rPr>
          <w:rFonts w:cstheme="minorHAnsi"/>
        </w:rPr>
        <w:t xml:space="preserve"> p</w:t>
      </w:r>
      <w:r w:rsidR="00C71837" w:rsidRPr="00001F7B">
        <w:rPr>
          <w:rFonts w:cstheme="minorHAnsi"/>
        </w:rPr>
        <w:t xml:space="preserve"> </w:t>
      </w:r>
      <w:r w:rsidR="007C2343" w:rsidRPr="00001F7B">
        <w:rPr>
          <w:rFonts w:cstheme="minorHAnsi"/>
        </w:rPr>
        <w:t xml:space="preserve">57 para 16: </w:t>
      </w:r>
      <w:r w:rsidR="00363E4B" w:rsidRPr="00001F7B">
        <w:rPr>
          <w:rFonts w:cstheme="minorHAnsi"/>
        </w:rPr>
        <w:t>“</w:t>
      </w:r>
      <w:r w:rsidR="007C2343" w:rsidRPr="00001F7B">
        <w:rPr>
          <w:rFonts w:cstheme="minorHAnsi"/>
        </w:rPr>
        <w:t>Similarly, the World</w:t>
      </w:r>
      <w:r w:rsidR="007F2641" w:rsidRPr="00001F7B">
        <w:rPr>
          <w:rFonts w:cstheme="minorHAnsi"/>
        </w:rPr>
        <w:t xml:space="preserve"> </w:t>
      </w:r>
      <w:r w:rsidR="00363E4B" w:rsidRPr="00001F7B">
        <w:rPr>
          <w:rFonts w:cstheme="minorHAnsi"/>
        </w:rPr>
        <w:t>Court</w:t>
      </w:r>
      <w:r w:rsidR="007C2343" w:rsidRPr="00001F7B">
        <w:rPr>
          <w:rFonts w:cstheme="minorHAnsi"/>
        </w:rPr>
        <w:t xml:space="preserve"> has refused to admit principles such as </w:t>
      </w:r>
      <w:proofErr w:type="spellStart"/>
      <w:r w:rsidR="007C2343" w:rsidRPr="00001F7B">
        <w:rPr>
          <w:rFonts w:cstheme="minorHAnsi"/>
          <w:i/>
          <w:iCs/>
        </w:rPr>
        <w:t>ut</w:t>
      </w:r>
      <w:proofErr w:type="spellEnd"/>
      <w:r w:rsidR="007C2343" w:rsidRPr="00001F7B">
        <w:rPr>
          <w:rFonts w:cstheme="minorHAnsi"/>
          <w:i/>
          <w:iCs/>
        </w:rPr>
        <w:t xml:space="preserve"> res </w:t>
      </w:r>
      <w:proofErr w:type="spellStart"/>
      <w:r w:rsidR="007C2343" w:rsidRPr="00001F7B">
        <w:rPr>
          <w:rFonts w:cstheme="minorHAnsi"/>
          <w:i/>
          <w:iCs/>
        </w:rPr>
        <w:t>magis</w:t>
      </w:r>
      <w:proofErr w:type="spellEnd"/>
      <w:r w:rsidR="007C2343" w:rsidRPr="00001F7B">
        <w:rPr>
          <w:rFonts w:cstheme="minorHAnsi"/>
          <w:i/>
          <w:iCs/>
        </w:rPr>
        <w:t xml:space="preserve"> valeat</w:t>
      </w:r>
      <w:r w:rsidR="007C2343" w:rsidRPr="00001F7B">
        <w:rPr>
          <w:rFonts w:cstheme="minorHAnsi"/>
        </w:rPr>
        <w:t xml:space="preserve"> and that favouring restrictive interpretation when to do so would run counter to the clear meaning of a text. On the other hand, it has recognized that the "clear meaning" rule is not applicable if an interpretation on the basis of the natural and ordinary meaning of the terms "would lead</w:t>
      </w:r>
      <w:r w:rsidR="00363E4B" w:rsidRPr="00001F7B">
        <w:rPr>
          <w:rFonts w:cstheme="minorHAnsi"/>
        </w:rPr>
        <w:t xml:space="preserve"> </w:t>
      </w:r>
      <w:r w:rsidR="007C2343" w:rsidRPr="00001F7B">
        <w:rPr>
          <w:rFonts w:cstheme="minorHAnsi"/>
        </w:rPr>
        <w:t>to something unreasonable or absurd". This exception to the clear meaning rule must, it is thought, be considered as strictly limited to cases where the natural and ordinary meaning gives a result which in the context is objectively and manifestly absurd or unreasonabl</w:t>
      </w:r>
      <w:r w:rsidR="00C71837" w:rsidRPr="00001F7B">
        <w:rPr>
          <w:rFonts w:cstheme="minorHAnsi"/>
        </w:rPr>
        <w:t>e</w:t>
      </w:r>
      <w:r w:rsidR="007C2343" w:rsidRPr="00001F7B">
        <w:rPr>
          <w:rFonts w:cstheme="minorHAnsi"/>
        </w:rPr>
        <w:t>; for otherwise it might unduly weaken the rule. The limited nature of this exception is confirmed by the rarity of the cases in which the Court has applied it.</w:t>
      </w:r>
      <w:r w:rsidR="00363E4B" w:rsidRPr="00001F7B">
        <w:rPr>
          <w:rFonts w:cstheme="minorHAnsi"/>
        </w:rPr>
        <w:t>”</w:t>
      </w:r>
    </w:p>
  </w:footnote>
  <w:footnote w:id="122">
    <w:p w14:paraId="6043CAA4" w14:textId="0D91B4AD" w:rsidR="00DE6626" w:rsidRPr="00001F7B" w:rsidRDefault="00DE6626">
      <w:pPr>
        <w:pStyle w:val="FootnoteText"/>
        <w:rPr>
          <w:rFonts w:cstheme="minorHAnsi"/>
        </w:rPr>
      </w:pPr>
      <w:r w:rsidRPr="00001F7B">
        <w:rPr>
          <w:rStyle w:val="FootnoteReference"/>
          <w:rFonts w:cstheme="minorHAnsi"/>
        </w:rPr>
        <w:footnoteRef/>
      </w:r>
      <w:r w:rsidRPr="00001F7B">
        <w:rPr>
          <w:rFonts w:cstheme="minorHAnsi"/>
        </w:rPr>
        <w:t xml:space="preserve"> </w:t>
      </w:r>
      <w:r w:rsidR="002C3671" w:rsidRPr="00001F7B">
        <w:rPr>
          <w:rFonts w:cstheme="minorHAnsi"/>
        </w:rPr>
        <w:t xml:space="preserve">Above, </w:t>
      </w:r>
      <w:proofErr w:type="spellStart"/>
      <w:r w:rsidR="002C3671" w:rsidRPr="00001F7B">
        <w:rPr>
          <w:rFonts w:cstheme="minorHAnsi"/>
        </w:rPr>
        <w:t>fn</w:t>
      </w:r>
      <w:proofErr w:type="spellEnd"/>
      <w:r w:rsidR="002C3671" w:rsidRPr="00001F7B">
        <w:rPr>
          <w:rFonts w:cstheme="minorHAnsi"/>
        </w:rPr>
        <w:t xml:space="preserve"> 5,</w:t>
      </w:r>
      <w:r w:rsidRPr="00001F7B">
        <w:rPr>
          <w:rFonts w:cstheme="minorHAnsi"/>
        </w:rPr>
        <w:t xml:space="preserve"> pp</w:t>
      </w:r>
      <w:r w:rsidR="00C71837" w:rsidRPr="00001F7B">
        <w:rPr>
          <w:rFonts w:cstheme="minorHAnsi"/>
        </w:rPr>
        <w:t xml:space="preserve"> </w:t>
      </w:r>
      <w:r w:rsidRPr="00001F7B">
        <w:rPr>
          <w:rFonts w:cstheme="minorHAnsi"/>
        </w:rPr>
        <w:t>171-179.</w:t>
      </w:r>
    </w:p>
  </w:footnote>
  <w:footnote w:id="123">
    <w:p w14:paraId="0EC1FD88" w14:textId="1589FAFA" w:rsidR="00AD4E10" w:rsidRPr="00001F7B" w:rsidRDefault="00AD4E10">
      <w:pPr>
        <w:pStyle w:val="FootnoteText"/>
        <w:rPr>
          <w:rFonts w:cstheme="minorHAnsi"/>
        </w:rPr>
      </w:pPr>
      <w:r w:rsidRPr="00001F7B">
        <w:rPr>
          <w:rStyle w:val="FootnoteReference"/>
          <w:rFonts w:cstheme="minorHAnsi"/>
        </w:rPr>
        <w:footnoteRef/>
      </w:r>
      <w:r w:rsidRPr="00001F7B">
        <w:rPr>
          <w:rFonts w:cstheme="minorHAnsi"/>
        </w:rPr>
        <w:t xml:space="preserve"> This is my gloss on what Gardiner says.</w:t>
      </w:r>
      <w:r w:rsidR="00363E4B" w:rsidRPr="00001F7B">
        <w:rPr>
          <w:rFonts w:cstheme="minorHAnsi"/>
        </w:rPr>
        <w:t xml:space="preserve"> Cf. Villager, above, </w:t>
      </w:r>
      <w:r w:rsidR="00C71837" w:rsidRPr="00001F7B">
        <w:rPr>
          <w:rFonts w:cstheme="minorHAnsi"/>
        </w:rPr>
        <w:t>f</w:t>
      </w:r>
      <w:r w:rsidR="00363E4B" w:rsidRPr="00001F7B">
        <w:rPr>
          <w:rFonts w:cstheme="minorHAnsi"/>
        </w:rPr>
        <w:t xml:space="preserve">n. </w:t>
      </w:r>
      <w:r w:rsidR="009C05E6" w:rsidRPr="00001F7B">
        <w:rPr>
          <w:rFonts w:cstheme="minorHAnsi"/>
        </w:rPr>
        <w:t>117</w:t>
      </w:r>
      <w:r w:rsidR="00363E4B" w:rsidRPr="00001F7B">
        <w:rPr>
          <w:rFonts w:cstheme="minorHAnsi"/>
        </w:rPr>
        <w:t>.</w:t>
      </w:r>
      <w:r w:rsidR="00903643" w:rsidRPr="00001F7B">
        <w:rPr>
          <w:rFonts w:cstheme="minorHAnsi"/>
        </w:rPr>
        <w:t xml:space="preserve"> See also Van der </w:t>
      </w:r>
      <w:proofErr w:type="spellStart"/>
      <w:r w:rsidR="00903643" w:rsidRPr="00001F7B">
        <w:rPr>
          <w:rFonts w:cstheme="minorHAnsi"/>
        </w:rPr>
        <w:t>Bruggen</w:t>
      </w:r>
      <w:proofErr w:type="spellEnd"/>
      <w:r w:rsidR="00903643" w:rsidRPr="00001F7B">
        <w:rPr>
          <w:rFonts w:cstheme="minorHAnsi"/>
        </w:rPr>
        <w:t xml:space="preserve"> ‘Good </w:t>
      </w:r>
      <w:r w:rsidR="00291B22" w:rsidRPr="00001F7B">
        <w:rPr>
          <w:rFonts w:cstheme="minorHAnsi"/>
        </w:rPr>
        <w:t>f</w:t>
      </w:r>
      <w:r w:rsidR="00903643" w:rsidRPr="00001F7B">
        <w:rPr>
          <w:rFonts w:cstheme="minorHAnsi"/>
        </w:rPr>
        <w:t xml:space="preserve">aith in the </w:t>
      </w:r>
      <w:r w:rsidR="00291B22" w:rsidRPr="00001F7B">
        <w:rPr>
          <w:rFonts w:cstheme="minorHAnsi"/>
        </w:rPr>
        <w:t>a</w:t>
      </w:r>
      <w:r w:rsidR="00903643" w:rsidRPr="00001F7B">
        <w:rPr>
          <w:rFonts w:cstheme="minorHAnsi"/>
        </w:rPr>
        <w:t xml:space="preserve">pplication and </w:t>
      </w:r>
      <w:r w:rsidR="00291B22" w:rsidRPr="00001F7B">
        <w:rPr>
          <w:rFonts w:cstheme="minorHAnsi"/>
        </w:rPr>
        <w:t>Interpretation</w:t>
      </w:r>
      <w:r w:rsidR="00903643" w:rsidRPr="00001F7B">
        <w:rPr>
          <w:rFonts w:cstheme="minorHAnsi"/>
        </w:rPr>
        <w:t xml:space="preserve"> of </w:t>
      </w:r>
      <w:r w:rsidR="00291B22" w:rsidRPr="00001F7B">
        <w:rPr>
          <w:rFonts w:cstheme="minorHAnsi"/>
        </w:rPr>
        <w:t>d</w:t>
      </w:r>
      <w:r w:rsidR="00903643" w:rsidRPr="00001F7B">
        <w:rPr>
          <w:rFonts w:cstheme="minorHAnsi"/>
        </w:rPr>
        <w:t xml:space="preserve">ouble </w:t>
      </w:r>
      <w:r w:rsidR="00291B22" w:rsidRPr="00001F7B">
        <w:rPr>
          <w:rFonts w:cstheme="minorHAnsi"/>
        </w:rPr>
        <w:t>t</w:t>
      </w:r>
      <w:r w:rsidR="00903643" w:rsidRPr="00001F7B">
        <w:rPr>
          <w:rFonts w:cstheme="minorHAnsi"/>
        </w:rPr>
        <w:t xml:space="preserve">ax conventions’ </w:t>
      </w:r>
      <w:r w:rsidR="00291B22" w:rsidRPr="00001F7B">
        <w:rPr>
          <w:rFonts w:cstheme="minorHAnsi"/>
        </w:rPr>
        <w:t>[2003] 1 British Tax Review 25, 37 “</w:t>
      </w:r>
      <w:r w:rsidR="00291B22" w:rsidRPr="00001F7B">
        <w:rPr>
          <w:rFonts w:cstheme="minorHAnsi"/>
          <w:color w:val="000000"/>
        </w:rPr>
        <w:t>It means that a literal application of the text of the treaty may not become a pretext for one of the contracting states to be unreasonable, unfair or dishonest.”</w:t>
      </w:r>
    </w:p>
  </w:footnote>
  <w:footnote w:id="124">
    <w:p w14:paraId="2EB8FA10" w14:textId="75FA0938" w:rsidR="00D61DEC" w:rsidRPr="00001F7B" w:rsidRDefault="00D61DEC">
      <w:pPr>
        <w:pStyle w:val="FootnoteText"/>
        <w:rPr>
          <w:rFonts w:cstheme="minorHAnsi"/>
        </w:rPr>
      </w:pPr>
      <w:r w:rsidRPr="00001F7B">
        <w:rPr>
          <w:rStyle w:val="FootnoteReference"/>
          <w:rFonts w:cstheme="minorHAnsi"/>
        </w:rPr>
        <w:footnoteRef/>
      </w:r>
      <w:r w:rsidRPr="00001F7B">
        <w:rPr>
          <w:rFonts w:cstheme="minorHAnsi"/>
        </w:rPr>
        <w:t xml:space="preserve"> Article 2 of </w:t>
      </w:r>
      <w:r w:rsidR="009C05E6" w:rsidRPr="00001F7B">
        <w:rPr>
          <w:rFonts w:cstheme="minorHAnsi"/>
        </w:rPr>
        <w:t xml:space="preserve">the </w:t>
      </w:r>
      <w:r w:rsidRPr="00001F7B">
        <w:rPr>
          <w:rFonts w:cstheme="minorHAnsi"/>
        </w:rPr>
        <w:t xml:space="preserve">VCLT provides definition of some terms which consist of a single word or a pair so that it seems possible that the meaning of a phrase (which forms </w:t>
      </w:r>
      <w:r w:rsidR="00363E4B" w:rsidRPr="00001F7B">
        <w:rPr>
          <w:rFonts w:cstheme="minorHAnsi"/>
        </w:rPr>
        <w:t>p</w:t>
      </w:r>
      <w:r w:rsidRPr="00001F7B">
        <w:rPr>
          <w:rFonts w:cstheme="minorHAnsi"/>
        </w:rPr>
        <w:t>art of the context</w:t>
      </w:r>
      <w:r w:rsidR="00623ADA" w:rsidRPr="00001F7B">
        <w:rPr>
          <w:rFonts w:cstheme="minorHAnsi"/>
        </w:rPr>
        <w:t xml:space="preserve"> of the individual words included in it</w:t>
      </w:r>
      <w:r w:rsidRPr="00001F7B">
        <w:rPr>
          <w:rFonts w:cstheme="minorHAnsi"/>
        </w:rPr>
        <w:t xml:space="preserve">) </w:t>
      </w:r>
      <w:r w:rsidR="00623ADA" w:rsidRPr="00001F7B">
        <w:rPr>
          <w:rFonts w:cstheme="minorHAnsi"/>
        </w:rPr>
        <w:t xml:space="preserve">can amount to a ‘term’, </w:t>
      </w:r>
      <w:proofErr w:type="spellStart"/>
      <w:r w:rsidR="00623ADA" w:rsidRPr="00001F7B">
        <w:rPr>
          <w:rFonts w:cstheme="minorHAnsi"/>
        </w:rPr>
        <w:t>cf</w:t>
      </w:r>
      <w:proofErr w:type="spellEnd"/>
      <w:r w:rsidR="00623ADA" w:rsidRPr="00001F7B">
        <w:rPr>
          <w:rFonts w:cstheme="minorHAnsi"/>
        </w:rPr>
        <w:t xml:space="preserve">, Gardiner, </w:t>
      </w:r>
      <w:r w:rsidR="00C71837" w:rsidRPr="00001F7B">
        <w:rPr>
          <w:rFonts w:cstheme="minorHAnsi"/>
        </w:rPr>
        <w:t xml:space="preserve">above </w:t>
      </w:r>
      <w:proofErr w:type="spellStart"/>
      <w:r w:rsidR="00C71837" w:rsidRPr="00001F7B">
        <w:rPr>
          <w:rFonts w:cstheme="minorHAnsi"/>
        </w:rPr>
        <w:t>fn</w:t>
      </w:r>
      <w:proofErr w:type="spellEnd"/>
      <w:r w:rsidR="001F120D" w:rsidRPr="00001F7B">
        <w:rPr>
          <w:rFonts w:cstheme="minorHAnsi"/>
        </w:rPr>
        <w:t xml:space="preserve"> 5</w:t>
      </w:r>
      <w:r w:rsidR="00C71837" w:rsidRPr="00001F7B">
        <w:rPr>
          <w:rFonts w:cstheme="minorHAnsi"/>
        </w:rPr>
        <w:t xml:space="preserve">, </w:t>
      </w:r>
      <w:r w:rsidR="00623ADA" w:rsidRPr="00001F7B">
        <w:rPr>
          <w:rFonts w:cstheme="minorHAnsi"/>
        </w:rPr>
        <w:t>p</w:t>
      </w:r>
      <w:r w:rsidR="00C71837" w:rsidRPr="00001F7B">
        <w:rPr>
          <w:rFonts w:cstheme="minorHAnsi"/>
        </w:rPr>
        <w:t xml:space="preserve"> </w:t>
      </w:r>
      <w:r w:rsidR="00623ADA" w:rsidRPr="00001F7B">
        <w:rPr>
          <w:rFonts w:cstheme="minorHAnsi"/>
        </w:rPr>
        <w:t>183</w:t>
      </w:r>
      <w:r w:rsidR="00AE1F89" w:rsidRPr="00001F7B">
        <w:rPr>
          <w:rFonts w:cstheme="minorHAnsi"/>
        </w:rPr>
        <w:t>, who goes on to indicate</w:t>
      </w:r>
      <w:r w:rsidR="00C71837" w:rsidRPr="00001F7B">
        <w:rPr>
          <w:rFonts w:cstheme="minorHAnsi"/>
        </w:rPr>
        <w:t>,</w:t>
      </w:r>
      <w:r w:rsidR="00AE1F89" w:rsidRPr="00001F7B">
        <w:rPr>
          <w:rFonts w:cstheme="minorHAnsi"/>
        </w:rPr>
        <w:t xml:space="preserve"> at p</w:t>
      </w:r>
      <w:r w:rsidR="00C71837" w:rsidRPr="00001F7B">
        <w:rPr>
          <w:rFonts w:cstheme="minorHAnsi"/>
        </w:rPr>
        <w:t xml:space="preserve"> </w:t>
      </w:r>
      <w:r w:rsidR="00AE1F89" w:rsidRPr="00001F7B">
        <w:rPr>
          <w:rFonts w:cstheme="minorHAnsi"/>
        </w:rPr>
        <w:t>197</w:t>
      </w:r>
      <w:r w:rsidR="00C71837" w:rsidRPr="00001F7B">
        <w:rPr>
          <w:rFonts w:cstheme="minorHAnsi"/>
        </w:rPr>
        <w:t>,</w:t>
      </w:r>
      <w:r w:rsidR="00AE1F89" w:rsidRPr="00001F7B">
        <w:rPr>
          <w:rFonts w:cstheme="minorHAnsi"/>
        </w:rPr>
        <w:t xml:space="preserve"> </w:t>
      </w:r>
      <w:r w:rsidR="00A92328" w:rsidRPr="00001F7B">
        <w:rPr>
          <w:rFonts w:cstheme="minorHAnsi"/>
        </w:rPr>
        <w:t>t</w:t>
      </w:r>
      <w:r w:rsidR="00AE1F89" w:rsidRPr="00001F7B">
        <w:rPr>
          <w:rFonts w:cstheme="minorHAnsi"/>
        </w:rPr>
        <w:t xml:space="preserve">hat if a word forms part of a phrase, that is the obvious initial contextual assessment that must be made. </w:t>
      </w:r>
      <w:r w:rsidR="00000B02" w:rsidRPr="00001F7B">
        <w:rPr>
          <w:rFonts w:cstheme="minorHAnsi"/>
        </w:rPr>
        <w:t xml:space="preserve">However, arguably the full meaning of a phrase may involve consideration of the ordinary meaning of the individual words in order to come to a complete view of the meaning of the phrase. </w:t>
      </w:r>
      <w:r w:rsidR="00C63D1F" w:rsidRPr="00001F7B">
        <w:rPr>
          <w:rFonts w:cstheme="minorHAnsi"/>
        </w:rPr>
        <w:t>Also,</w:t>
      </w:r>
      <w:r w:rsidR="00000B02" w:rsidRPr="00001F7B">
        <w:rPr>
          <w:rFonts w:cstheme="minorHAnsi"/>
        </w:rPr>
        <w:t xml:space="preserve"> the court must determine how many of the words form part of a complete phrase  </w:t>
      </w:r>
      <w:r w:rsidR="001F120D" w:rsidRPr="00001F7B">
        <w:rPr>
          <w:rFonts w:cstheme="minorHAnsi"/>
        </w:rPr>
        <w:t>e.g.,</w:t>
      </w:r>
      <w:r w:rsidR="00000B02" w:rsidRPr="00001F7B">
        <w:rPr>
          <w:rFonts w:cstheme="minorHAnsi"/>
        </w:rPr>
        <w:t xml:space="preserve"> in CMR is “International carriage of goods by road” one phrase with one meaning; two overlapping phrase</w:t>
      </w:r>
      <w:r w:rsidR="00FA2C93" w:rsidRPr="00001F7B">
        <w:rPr>
          <w:rFonts w:cstheme="minorHAnsi"/>
        </w:rPr>
        <w:t xml:space="preserve">s - international </w:t>
      </w:r>
      <w:r w:rsidR="00000B02" w:rsidRPr="00001F7B">
        <w:rPr>
          <w:rFonts w:cstheme="minorHAnsi"/>
        </w:rPr>
        <w:t xml:space="preserve"> contract of carriage and</w:t>
      </w:r>
      <w:r w:rsidR="00FA2C93" w:rsidRPr="00001F7B">
        <w:rPr>
          <w:rFonts w:cstheme="minorHAnsi"/>
        </w:rPr>
        <w:t xml:space="preserve"> international </w:t>
      </w:r>
      <w:r w:rsidR="00000B02" w:rsidRPr="00001F7B">
        <w:rPr>
          <w:rFonts w:cstheme="minorHAnsi"/>
        </w:rPr>
        <w:t xml:space="preserve"> contract of carriage </w:t>
      </w:r>
      <w:r w:rsidR="003F0F27" w:rsidRPr="00001F7B">
        <w:rPr>
          <w:rFonts w:cstheme="minorHAnsi"/>
        </w:rPr>
        <w:t xml:space="preserve">of goods </w:t>
      </w:r>
      <w:r w:rsidR="00000B02" w:rsidRPr="00001F7B">
        <w:rPr>
          <w:rFonts w:cstheme="minorHAnsi"/>
        </w:rPr>
        <w:t>by road</w:t>
      </w:r>
      <w:r w:rsidR="00A76A47" w:rsidRPr="00001F7B">
        <w:rPr>
          <w:rFonts w:cstheme="minorHAnsi"/>
        </w:rPr>
        <w:t xml:space="preserve"> -</w:t>
      </w:r>
      <w:r w:rsidR="00FA2C93" w:rsidRPr="00001F7B">
        <w:rPr>
          <w:rFonts w:cstheme="minorHAnsi"/>
        </w:rPr>
        <w:t xml:space="preserve"> and must the meaning of the single words </w:t>
      </w:r>
      <w:r w:rsidR="00A76A47" w:rsidRPr="00001F7B">
        <w:rPr>
          <w:rFonts w:cstheme="minorHAnsi"/>
        </w:rPr>
        <w:t>‘</w:t>
      </w:r>
      <w:r w:rsidR="00FA2C93" w:rsidRPr="00001F7B">
        <w:rPr>
          <w:rFonts w:cstheme="minorHAnsi"/>
        </w:rPr>
        <w:t>international</w:t>
      </w:r>
      <w:r w:rsidR="00A76A47" w:rsidRPr="00001F7B">
        <w:rPr>
          <w:rFonts w:cstheme="minorHAnsi"/>
        </w:rPr>
        <w:t>’</w:t>
      </w:r>
      <w:r w:rsidR="00FA2C93" w:rsidRPr="00001F7B">
        <w:rPr>
          <w:rFonts w:cstheme="minorHAnsi"/>
        </w:rPr>
        <w:t xml:space="preserve">, </w:t>
      </w:r>
      <w:r w:rsidR="00A76A47" w:rsidRPr="00001F7B">
        <w:rPr>
          <w:rFonts w:cstheme="minorHAnsi"/>
        </w:rPr>
        <w:t>‘</w:t>
      </w:r>
      <w:r w:rsidR="00FA2C93" w:rsidRPr="00001F7B">
        <w:rPr>
          <w:rFonts w:cstheme="minorHAnsi"/>
        </w:rPr>
        <w:t>contract</w:t>
      </w:r>
      <w:r w:rsidR="00A76A47" w:rsidRPr="00001F7B">
        <w:rPr>
          <w:rFonts w:cstheme="minorHAnsi"/>
        </w:rPr>
        <w:t>’</w:t>
      </w:r>
      <w:r w:rsidR="00FA2C93" w:rsidRPr="00001F7B">
        <w:rPr>
          <w:rFonts w:cstheme="minorHAnsi"/>
        </w:rPr>
        <w:t xml:space="preserve">, </w:t>
      </w:r>
      <w:r w:rsidR="00A76A47" w:rsidRPr="00001F7B">
        <w:rPr>
          <w:rFonts w:cstheme="minorHAnsi"/>
        </w:rPr>
        <w:t>‘</w:t>
      </w:r>
      <w:r w:rsidR="00FA2C93" w:rsidRPr="00001F7B">
        <w:rPr>
          <w:rFonts w:cstheme="minorHAnsi"/>
        </w:rPr>
        <w:t>carriage</w:t>
      </w:r>
      <w:r w:rsidR="00A76A47" w:rsidRPr="00001F7B">
        <w:rPr>
          <w:rFonts w:cstheme="minorHAnsi"/>
        </w:rPr>
        <w:t>’</w:t>
      </w:r>
      <w:r w:rsidR="00FA2C93" w:rsidRPr="00001F7B">
        <w:rPr>
          <w:rFonts w:cstheme="minorHAnsi"/>
        </w:rPr>
        <w:t xml:space="preserve">, </w:t>
      </w:r>
      <w:r w:rsidR="00A76A47" w:rsidRPr="00001F7B">
        <w:rPr>
          <w:rFonts w:cstheme="minorHAnsi"/>
        </w:rPr>
        <w:t>‘</w:t>
      </w:r>
      <w:r w:rsidR="00FA2C93" w:rsidRPr="00001F7B">
        <w:rPr>
          <w:rFonts w:cstheme="minorHAnsi"/>
        </w:rPr>
        <w:t>road</w:t>
      </w:r>
      <w:r w:rsidR="00A76A47" w:rsidRPr="00001F7B">
        <w:rPr>
          <w:rFonts w:cstheme="minorHAnsi"/>
        </w:rPr>
        <w:t>’</w:t>
      </w:r>
      <w:r w:rsidR="00FA2C93" w:rsidRPr="00001F7B">
        <w:rPr>
          <w:rFonts w:cstheme="minorHAnsi"/>
        </w:rPr>
        <w:t xml:space="preserve"> also be take</w:t>
      </w:r>
      <w:r w:rsidR="00A76A47" w:rsidRPr="00001F7B">
        <w:rPr>
          <w:rFonts w:cstheme="minorHAnsi"/>
        </w:rPr>
        <w:t>n</w:t>
      </w:r>
      <w:r w:rsidR="00FA2C93" w:rsidRPr="00001F7B">
        <w:rPr>
          <w:rFonts w:cstheme="minorHAnsi"/>
        </w:rPr>
        <w:t xml:space="preserve"> into account in determining e</w:t>
      </w:r>
      <w:r w:rsidR="00C63D1F" w:rsidRPr="00001F7B">
        <w:rPr>
          <w:rFonts w:cstheme="minorHAnsi"/>
        </w:rPr>
        <w:t>ither</w:t>
      </w:r>
      <w:r w:rsidR="00FA2C93" w:rsidRPr="00001F7B">
        <w:rPr>
          <w:rFonts w:cstheme="minorHAnsi"/>
        </w:rPr>
        <w:t xml:space="preserve"> phrase?</w:t>
      </w:r>
    </w:p>
  </w:footnote>
  <w:footnote w:id="125">
    <w:p w14:paraId="5F502295" w14:textId="42FF1480" w:rsidR="0060403F" w:rsidRPr="00001F7B" w:rsidRDefault="0060403F" w:rsidP="0060403F">
      <w:pPr>
        <w:pStyle w:val="FootnoteText"/>
        <w:rPr>
          <w:rFonts w:cstheme="minorHAnsi"/>
        </w:rPr>
      </w:pPr>
      <w:r w:rsidRPr="00001F7B">
        <w:rPr>
          <w:rStyle w:val="FootnoteReference"/>
          <w:rFonts w:cstheme="minorHAnsi"/>
        </w:rPr>
        <w:footnoteRef/>
      </w:r>
      <w:r w:rsidRPr="00001F7B">
        <w:rPr>
          <w:rFonts w:cstheme="minorHAnsi"/>
        </w:rPr>
        <w:t xml:space="preserve"> See also Village</w:t>
      </w:r>
      <w:r w:rsidR="001F120D" w:rsidRPr="00001F7B">
        <w:rPr>
          <w:rFonts w:cstheme="minorHAnsi"/>
        </w:rPr>
        <w:t xml:space="preserve">r, above, </w:t>
      </w:r>
      <w:proofErr w:type="spellStart"/>
      <w:r w:rsidR="001F120D" w:rsidRPr="00001F7B">
        <w:rPr>
          <w:rFonts w:cstheme="minorHAnsi"/>
        </w:rPr>
        <w:t>fn</w:t>
      </w:r>
      <w:proofErr w:type="spellEnd"/>
      <w:r w:rsidR="001F120D" w:rsidRPr="00001F7B">
        <w:rPr>
          <w:rFonts w:cstheme="minorHAnsi"/>
        </w:rPr>
        <w:t xml:space="preserve"> 47,</w:t>
      </w:r>
      <w:r w:rsidRPr="00001F7B">
        <w:rPr>
          <w:rFonts w:cstheme="minorHAnsi"/>
        </w:rPr>
        <w:t xml:space="preserve"> p 109</w:t>
      </w:r>
      <w:r w:rsidR="001F120D" w:rsidRPr="00001F7B">
        <w:rPr>
          <w:rFonts w:cstheme="minorHAnsi"/>
        </w:rPr>
        <w:t>: t</w:t>
      </w:r>
      <w:r w:rsidRPr="00001F7B">
        <w:rPr>
          <w:rFonts w:cstheme="minorHAnsi"/>
        </w:rPr>
        <w:t>he ordinary meaning “…is its current and normal, regular and usual meaning. A term may have a number of ordinary meanings, which may even change</w:t>
      </w:r>
      <w:r w:rsidR="00D35B9B" w:rsidRPr="00001F7B">
        <w:rPr>
          <w:rFonts w:cstheme="minorHAnsi"/>
        </w:rPr>
        <w:t xml:space="preserve"> </w:t>
      </w:r>
      <w:r w:rsidRPr="00001F7B">
        <w:rPr>
          <w:rFonts w:cstheme="minorHAnsi"/>
        </w:rPr>
        <w:t xml:space="preserve">over time. This relativist view of hermeneutics underlies Article 31, which </w:t>
      </w:r>
      <w:r w:rsidR="00D35B9B" w:rsidRPr="00001F7B">
        <w:rPr>
          <w:rFonts w:cstheme="minorHAnsi"/>
        </w:rPr>
        <w:t>in paragraph</w:t>
      </w:r>
      <w:r w:rsidRPr="00001F7B">
        <w:rPr>
          <w:rFonts w:cstheme="minorHAnsi"/>
        </w:rPr>
        <w:t xml:space="preserve"> 1 requires the </w:t>
      </w:r>
      <w:r w:rsidR="00D35B9B" w:rsidRPr="00001F7B">
        <w:rPr>
          <w:rFonts w:cstheme="minorHAnsi"/>
        </w:rPr>
        <w:t>ordinary meaning</w:t>
      </w:r>
      <w:r w:rsidRPr="00001F7B">
        <w:rPr>
          <w:rFonts w:cstheme="minorHAnsi"/>
        </w:rPr>
        <w:t xml:space="preserve"> ‘to be given’ by the interpreter in good</w:t>
      </w:r>
      <w:r w:rsidR="00D35B9B" w:rsidRPr="00001F7B">
        <w:rPr>
          <w:rFonts w:cstheme="minorHAnsi"/>
        </w:rPr>
        <w:t xml:space="preserve"> </w:t>
      </w:r>
      <w:r w:rsidRPr="00001F7B">
        <w:rPr>
          <w:rFonts w:cstheme="minorHAnsi"/>
        </w:rPr>
        <w:t>faith to the terms of the treaty. In other words, that particular ordinary meaning will be established which is the common intention of the parties.</w:t>
      </w:r>
      <w:r w:rsidR="00D35B9B" w:rsidRPr="00001F7B">
        <w:rPr>
          <w:rFonts w:cstheme="minorHAnsi"/>
        </w:rPr>
        <w:t xml:space="preserve"> </w:t>
      </w:r>
      <w:r w:rsidRPr="00001F7B">
        <w:rPr>
          <w:rFonts w:cstheme="minorHAnsi"/>
        </w:rPr>
        <w:t>The relativity of the meaning of a term is conﬁrmed by paragraph 4, which envisages the</w:t>
      </w:r>
      <w:r w:rsidR="00D35B9B" w:rsidRPr="00001F7B">
        <w:rPr>
          <w:rFonts w:cstheme="minorHAnsi"/>
        </w:rPr>
        <w:t xml:space="preserve"> </w:t>
      </w:r>
      <w:r w:rsidRPr="00001F7B">
        <w:rPr>
          <w:rFonts w:cstheme="minorHAnsi"/>
        </w:rPr>
        <w:t>possibility of a ‘special’ meaning going beyond the ordinary meaning of terms.</w:t>
      </w:r>
      <w:r w:rsidR="00D35B9B" w:rsidRPr="00001F7B">
        <w:rPr>
          <w:rFonts w:cstheme="minorHAnsi"/>
        </w:rPr>
        <w:t>”</w:t>
      </w:r>
    </w:p>
  </w:footnote>
  <w:footnote w:id="126">
    <w:p w14:paraId="71516630" w14:textId="7D3E4EAF" w:rsidR="00563975" w:rsidRPr="00001F7B" w:rsidRDefault="00563975">
      <w:pPr>
        <w:pStyle w:val="FootnoteText"/>
        <w:rPr>
          <w:rFonts w:cstheme="minorHAnsi"/>
        </w:rPr>
      </w:pPr>
      <w:r w:rsidRPr="00001F7B">
        <w:rPr>
          <w:rStyle w:val="FootnoteReference"/>
          <w:rFonts w:cstheme="minorHAnsi"/>
        </w:rPr>
        <w:footnoteRef/>
      </w:r>
      <w:r w:rsidRPr="00001F7B">
        <w:rPr>
          <w:rFonts w:cstheme="minorHAnsi"/>
        </w:rPr>
        <w:t xml:space="preserve"> Former Special Rapporteur Waldock, UN Conference on the Law of Treaties, 1</w:t>
      </w:r>
      <w:r w:rsidRPr="00001F7B">
        <w:rPr>
          <w:rFonts w:cstheme="minorHAnsi"/>
          <w:vertAlign w:val="superscript"/>
        </w:rPr>
        <w:t>st</w:t>
      </w:r>
      <w:r w:rsidRPr="00001F7B">
        <w:rPr>
          <w:rFonts w:cstheme="minorHAnsi"/>
        </w:rPr>
        <w:t xml:space="preserve"> Session (26 March-24 May, 1968), Vol</w:t>
      </w:r>
      <w:r w:rsidR="00142C90" w:rsidRPr="00001F7B">
        <w:rPr>
          <w:rFonts w:cstheme="minorHAnsi"/>
        </w:rPr>
        <w:t xml:space="preserve"> </w:t>
      </w:r>
      <w:r w:rsidRPr="00001F7B">
        <w:rPr>
          <w:rFonts w:cstheme="minorHAnsi"/>
        </w:rPr>
        <w:t>1</w:t>
      </w:r>
      <w:r w:rsidR="00142C90" w:rsidRPr="00001F7B">
        <w:rPr>
          <w:rFonts w:cstheme="minorHAnsi"/>
        </w:rPr>
        <w:t>,</w:t>
      </w:r>
      <w:r w:rsidRPr="00001F7B">
        <w:rPr>
          <w:rFonts w:cstheme="minorHAnsi"/>
        </w:rPr>
        <w:t xml:space="preserve"> p</w:t>
      </w:r>
      <w:r w:rsidR="00142C90" w:rsidRPr="00001F7B">
        <w:rPr>
          <w:rFonts w:cstheme="minorHAnsi"/>
        </w:rPr>
        <w:t xml:space="preserve"> </w:t>
      </w:r>
      <w:r w:rsidRPr="00001F7B">
        <w:rPr>
          <w:rFonts w:cstheme="minorHAnsi"/>
        </w:rPr>
        <w:t>184, para</w:t>
      </w:r>
      <w:r w:rsidR="00142C90" w:rsidRPr="00001F7B">
        <w:rPr>
          <w:rFonts w:cstheme="minorHAnsi"/>
        </w:rPr>
        <w:t xml:space="preserve">, </w:t>
      </w:r>
      <w:r w:rsidRPr="00001F7B">
        <w:rPr>
          <w:rFonts w:cstheme="minorHAnsi"/>
        </w:rPr>
        <w:t xml:space="preserve">70, quoted in full in Gardiner, </w:t>
      </w:r>
      <w:r w:rsidR="00142C90" w:rsidRPr="00001F7B">
        <w:rPr>
          <w:rFonts w:cstheme="minorHAnsi"/>
        </w:rPr>
        <w:t xml:space="preserve">above </w:t>
      </w:r>
      <w:proofErr w:type="spellStart"/>
      <w:r w:rsidR="00142C90" w:rsidRPr="00001F7B">
        <w:rPr>
          <w:rFonts w:cstheme="minorHAnsi"/>
        </w:rPr>
        <w:t>f</w:t>
      </w:r>
      <w:r w:rsidRPr="00001F7B">
        <w:rPr>
          <w:rFonts w:cstheme="minorHAnsi"/>
        </w:rPr>
        <w:t>n</w:t>
      </w:r>
      <w:proofErr w:type="spellEnd"/>
      <w:r w:rsidR="00AB1A2F" w:rsidRPr="00001F7B">
        <w:rPr>
          <w:rFonts w:cstheme="minorHAnsi"/>
        </w:rPr>
        <w:t xml:space="preserve"> 5</w:t>
      </w:r>
      <w:r w:rsidR="00142C90" w:rsidRPr="00001F7B">
        <w:rPr>
          <w:rFonts w:cstheme="minorHAnsi"/>
        </w:rPr>
        <w:t xml:space="preserve">, </w:t>
      </w:r>
      <w:r w:rsidRPr="00001F7B">
        <w:rPr>
          <w:rFonts w:cstheme="minorHAnsi"/>
        </w:rPr>
        <w:t>p</w:t>
      </w:r>
      <w:r w:rsidR="00142C90" w:rsidRPr="00001F7B">
        <w:rPr>
          <w:rFonts w:cstheme="minorHAnsi"/>
        </w:rPr>
        <w:t xml:space="preserve"> </w:t>
      </w:r>
      <w:r w:rsidRPr="00001F7B">
        <w:rPr>
          <w:rFonts w:cstheme="minorHAnsi"/>
        </w:rPr>
        <w:t>184.</w:t>
      </w:r>
      <w:r w:rsidR="00841BCF" w:rsidRPr="00001F7B">
        <w:rPr>
          <w:rFonts w:cstheme="minorHAnsi"/>
        </w:rPr>
        <w:t xml:space="preserve"> Waldock also said (as indicated by Gardiner</w:t>
      </w:r>
      <w:r w:rsidR="00AB1A2F" w:rsidRPr="00001F7B">
        <w:rPr>
          <w:rFonts w:cstheme="minorHAnsi"/>
        </w:rPr>
        <w:t>,</w:t>
      </w:r>
      <w:r w:rsidR="00841BCF" w:rsidRPr="00001F7B">
        <w:rPr>
          <w:rFonts w:cstheme="minorHAnsi"/>
        </w:rPr>
        <w:t xml:space="preserve"> p</w:t>
      </w:r>
      <w:r w:rsidR="00142C90" w:rsidRPr="00001F7B">
        <w:rPr>
          <w:rFonts w:cstheme="minorHAnsi"/>
        </w:rPr>
        <w:t xml:space="preserve"> </w:t>
      </w:r>
      <w:r w:rsidR="00841BCF" w:rsidRPr="00001F7B">
        <w:rPr>
          <w:rFonts w:cstheme="minorHAnsi"/>
        </w:rPr>
        <w:t xml:space="preserve">198) </w:t>
      </w:r>
      <w:r w:rsidR="00142C90" w:rsidRPr="00001F7B">
        <w:rPr>
          <w:rFonts w:cstheme="minorHAnsi"/>
        </w:rPr>
        <w:t xml:space="preserve">that </w:t>
      </w:r>
      <w:r w:rsidR="00841BCF" w:rsidRPr="00001F7B">
        <w:rPr>
          <w:rFonts w:cstheme="minorHAnsi"/>
        </w:rPr>
        <w:t>the natural and ordinary meaning of terms is not to be determined in the abstract but by reference to the context in which they occur (1964</w:t>
      </w:r>
      <w:r w:rsidR="00142C90" w:rsidRPr="00001F7B">
        <w:rPr>
          <w:rFonts w:cstheme="minorHAnsi"/>
        </w:rPr>
        <w:t xml:space="preserve"> </w:t>
      </w:r>
      <w:r w:rsidR="00AB1A2F" w:rsidRPr="00001F7B">
        <w:rPr>
          <w:rFonts w:cstheme="minorHAnsi"/>
        </w:rPr>
        <w:t>R</w:t>
      </w:r>
      <w:r w:rsidR="00142C90" w:rsidRPr="00001F7B">
        <w:rPr>
          <w:rFonts w:cstheme="minorHAnsi"/>
        </w:rPr>
        <w:t>eport</w:t>
      </w:r>
      <w:r w:rsidR="00841BCF" w:rsidRPr="00001F7B">
        <w:rPr>
          <w:rFonts w:cstheme="minorHAnsi"/>
        </w:rPr>
        <w:t xml:space="preserve">, </w:t>
      </w:r>
      <w:r w:rsidR="00AE6442" w:rsidRPr="00001F7B">
        <w:rPr>
          <w:rFonts w:cstheme="minorHAnsi"/>
        </w:rPr>
        <w:t>above</w:t>
      </w:r>
      <w:r w:rsidR="00AB1A2F" w:rsidRPr="00001F7B">
        <w:rPr>
          <w:rFonts w:cstheme="minorHAnsi"/>
        </w:rPr>
        <w:t>,</w:t>
      </w:r>
      <w:r w:rsidR="00AE6442" w:rsidRPr="00001F7B">
        <w:rPr>
          <w:rFonts w:cstheme="minorHAnsi"/>
        </w:rPr>
        <w:t xml:space="preserve"> </w:t>
      </w:r>
      <w:proofErr w:type="spellStart"/>
      <w:r w:rsidR="00AE6442" w:rsidRPr="00001F7B">
        <w:rPr>
          <w:rFonts w:cstheme="minorHAnsi"/>
        </w:rPr>
        <w:t>fn</w:t>
      </w:r>
      <w:proofErr w:type="spellEnd"/>
      <w:r w:rsidR="00AE6442" w:rsidRPr="00001F7B">
        <w:rPr>
          <w:rFonts w:cstheme="minorHAnsi"/>
        </w:rPr>
        <w:t xml:space="preserve"> </w:t>
      </w:r>
      <w:r w:rsidR="00AB1A2F" w:rsidRPr="00001F7B">
        <w:rPr>
          <w:rFonts w:cstheme="minorHAnsi"/>
        </w:rPr>
        <w:t>39</w:t>
      </w:r>
      <w:r w:rsidR="00AE6442" w:rsidRPr="00001F7B">
        <w:rPr>
          <w:rFonts w:cstheme="minorHAnsi"/>
        </w:rPr>
        <w:t>,</w:t>
      </w:r>
      <w:r w:rsidR="0097016A" w:rsidRPr="00001F7B">
        <w:rPr>
          <w:rFonts w:cstheme="minorHAnsi"/>
        </w:rPr>
        <w:t xml:space="preserve">  </w:t>
      </w:r>
      <w:r w:rsidR="00841BCF" w:rsidRPr="00001F7B">
        <w:rPr>
          <w:rFonts w:cstheme="minorHAnsi"/>
        </w:rPr>
        <w:t>p</w:t>
      </w:r>
      <w:r w:rsidR="00142C90" w:rsidRPr="00001F7B">
        <w:rPr>
          <w:rFonts w:cstheme="minorHAnsi"/>
        </w:rPr>
        <w:t xml:space="preserve"> </w:t>
      </w:r>
      <w:r w:rsidR="00841BCF" w:rsidRPr="00001F7B">
        <w:rPr>
          <w:rFonts w:cstheme="minorHAnsi"/>
        </w:rPr>
        <w:t>56).</w:t>
      </w:r>
      <w:r w:rsidR="00C63D1F" w:rsidRPr="00001F7B">
        <w:rPr>
          <w:rFonts w:cstheme="minorHAnsi"/>
        </w:rPr>
        <w:t xml:space="preserve"> See also</w:t>
      </w:r>
      <w:r w:rsidR="00142C90" w:rsidRPr="00001F7B">
        <w:rPr>
          <w:rFonts w:cstheme="minorHAnsi"/>
        </w:rPr>
        <w:t xml:space="preserve"> </w:t>
      </w:r>
      <w:r w:rsidR="00C63D1F" w:rsidRPr="00001F7B">
        <w:rPr>
          <w:rFonts w:cstheme="minorHAnsi"/>
        </w:rPr>
        <w:t>1966</w:t>
      </w:r>
      <w:r w:rsidR="00142C90" w:rsidRPr="00001F7B">
        <w:rPr>
          <w:rFonts w:cstheme="minorHAnsi"/>
        </w:rPr>
        <w:t xml:space="preserve"> </w:t>
      </w:r>
      <w:r w:rsidR="00533D7F" w:rsidRPr="00001F7B">
        <w:rPr>
          <w:rFonts w:cstheme="minorHAnsi"/>
        </w:rPr>
        <w:t>C</w:t>
      </w:r>
      <w:r w:rsidR="00142C90" w:rsidRPr="00001F7B">
        <w:rPr>
          <w:rFonts w:cstheme="minorHAnsi"/>
        </w:rPr>
        <w:t>ommentary</w:t>
      </w:r>
      <w:r w:rsidR="00C63D1F" w:rsidRPr="00001F7B">
        <w:rPr>
          <w:rFonts w:cstheme="minorHAnsi"/>
        </w:rPr>
        <w:t xml:space="preserve">, </w:t>
      </w:r>
      <w:r w:rsidR="00AE6442" w:rsidRPr="00001F7B">
        <w:rPr>
          <w:rFonts w:cstheme="minorHAnsi"/>
        </w:rPr>
        <w:t>above</w:t>
      </w:r>
      <w:r w:rsidR="00AB1A2F" w:rsidRPr="00001F7B">
        <w:rPr>
          <w:rFonts w:cstheme="minorHAnsi"/>
        </w:rPr>
        <w:t>,</w:t>
      </w:r>
      <w:r w:rsidR="00AE6442" w:rsidRPr="00001F7B">
        <w:rPr>
          <w:rFonts w:cstheme="minorHAnsi"/>
        </w:rPr>
        <w:t xml:space="preserve"> </w:t>
      </w:r>
      <w:proofErr w:type="spellStart"/>
      <w:r w:rsidR="00AE6442" w:rsidRPr="00001F7B">
        <w:rPr>
          <w:rFonts w:cstheme="minorHAnsi"/>
        </w:rPr>
        <w:t>fn</w:t>
      </w:r>
      <w:proofErr w:type="spellEnd"/>
      <w:r w:rsidR="00AE6442" w:rsidRPr="00001F7B">
        <w:rPr>
          <w:rFonts w:cstheme="minorHAnsi"/>
        </w:rPr>
        <w:t xml:space="preserve"> </w:t>
      </w:r>
      <w:r w:rsidR="00AB1A2F" w:rsidRPr="00001F7B">
        <w:rPr>
          <w:rFonts w:cstheme="minorHAnsi"/>
        </w:rPr>
        <w:t>38</w:t>
      </w:r>
      <w:r w:rsidR="00AE6442" w:rsidRPr="00001F7B">
        <w:rPr>
          <w:rFonts w:cstheme="minorHAnsi"/>
        </w:rPr>
        <w:t>,</w:t>
      </w:r>
      <w:r w:rsidR="0097016A" w:rsidRPr="00001F7B">
        <w:rPr>
          <w:rFonts w:cstheme="minorHAnsi"/>
        </w:rPr>
        <w:t xml:space="preserve"> </w:t>
      </w:r>
      <w:r w:rsidR="00C63D1F" w:rsidRPr="00001F7B">
        <w:rPr>
          <w:rFonts w:cstheme="minorHAnsi"/>
        </w:rPr>
        <w:t>p 221, para</w:t>
      </w:r>
      <w:r w:rsidR="00142C90" w:rsidRPr="00001F7B">
        <w:rPr>
          <w:rFonts w:cstheme="minorHAnsi"/>
        </w:rPr>
        <w:t xml:space="preserve"> </w:t>
      </w:r>
      <w:r w:rsidR="00C63D1F" w:rsidRPr="00001F7B">
        <w:rPr>
          <w:rFonts w:cstheme="minorHAnsi"/>
        </w:rPr>
        <w:t>12.</w:t>
      </w:r>
    </w:p>
  </w:footnote>
  <w:footnote w:id="127">
    <w:p w14:paraId="1004FE9D" w14:textId="76760843" w:rsidR="00D304BB" w:rsidRPr="00001F7B" w:rsidRDefault="00D304BB">
      <w:pPr>
        <w:pStyle w:val="FootnoteText"/>
        <w:rPr>
          <w:rFonts w:cstheme="minorHAnsi"/>
        </w:rPr>
      </w:pPr>
      <w:r w:rsidRPr="00001F7B">
        <w:rPr>
          <w:rStyle w:val="FootnoteReference"/>
          <w:rFonts w:cstheme="minorHAnsi"/>
        </w:rPr>
        <w:footnoteRef/>
      </w:r>
      <w:r w:rsidRPr="00001F7B">
        <w:rPr>
          <w:rFonts w:cstheme="minorHAnsi"/>
        </w:rPr>
        <w:t xml:space="preserve"> </w:t>
      </w:r>
      <w:r w:rsidR="0097016A" w:rsidRPr="00001F7B">
        <w:rPr>
          <w:rFonts w:cstheme="minorHAnsi"/>
        </w:rPr>
        <w:t>Above</w:t>
      </w:r>
      <w:r w:rsidR="004A5D49" w:rsidRPr="00001F7B">
        <w:rPr>
          <w:rFonts w:cstheme="minorHAnsi"/>
        </w:rPr>
        <w:t>,</w:t>
      </w:r>
      <w:r w:rsidR="0097016A" w:rsidRPr="00001F7B">
        <w:rPr>
          <w:rFonts w:cstheme="minorHAnsi"/>
        </w:rPr>
        <w:t xml:space="preserve"> </w:t>
      </w:r>
      <w:proofErr w:type="spellStart"/>
      <w:r w:rsidR="0097016A" w:rsidRPr="00001F7B">
        <w:rPr>
          <w:rFonts w:cstheme="minorHAnsi"/>
        </w:rPr>
        <w:t>fn</w:t>
      </w:r>
      <w:proofErr w:type="spellEnd"/>
      <w:r w:rsidR="0097016A" w:rsidRPr="00001F7B">
        <w:rPr>
          <w:rFonts w:cstheme="minorHAnsi"/>
        </w:rPr>
        <w:t xml:space="preserve"> </w:t>
      </w:r>
      <w:r w:rsidR="00AB1A2F" w:rsidRPr="00001F7B">
        <w:rPr>
          <w:rFonts w:cstheme="minorHAnsi"/>
        </w:rPr>
        <w:t>5</w:t>
      </w:r>
      <w:r w:rsidR="0097016A" w:rsidRPr="00001F7B">
        <w:rPr>
          <w:rFonts w:cstheme="minorHAnsi"/>
        </w:rPr>
        <w:t>,</w:t>
      </w:r>
      <w:r w:rsidRPr="00001F7B">
        <w:rPr>
          <w:rFonts w:cstheme="minorHAnsi"/>
        </w:rPr>
        <w:t xml:space="preserve"> p</w:t>
      </w:r>
      <w:r w:rsidR="0097016A" w:rsidRPr="00001F7B">
        <w:rPr>
          <w:rFonts w:cstheme="minorHAnsi"/>
        </w:rPr>
        <w:t xml:space="preserve"> </w:t>
      </w:r>
      <w:r w:rsidRPr="00001F7B">
        <w:rPr>
          <w:rFonts w:cstheme="minorHAnsi"/>
        </w:rPr>
        <w:t>197.</w:t>
      </w:r>
    </w:p>
  </w:footnote>
  <w:footnote w:id="128">
    <w:p w14:paraId="3F4F6FBA" w14:textId="15F4C89E" w:rsidR="00A24A4B" w:rsidRPr="00001F7B" w:rsidRDefault="00A24A4B">
      <w:pPr>
        <w:pStyle w:val="FootnoteText"/>
        <w:rPr>
          <w:rFonts w:cstheme="minorHAnsi"/>
        </w:rPr>
      </w:pPr>
      <w:r w:rsidRPr="00001F7B">
        <w:rPr>
          <w:rStyle w:val="FootnoteReference"/>
          <w:rFonts w:cstheme="minorHAnsi"/>
        </w:rPr>
        <w:footnoteRef/>
      </w:r>
      <w:r w:rsidRPr="00001F7B">
        <w:rPr>
          <w:rFonts w:cstheme="minorHAnsi"/>
        </w:rPr>
        <w:t xml:space="preserve"> See below</w:t>
      </w:r>
      <w:r w:rsidR="00AB1A2F" w:rsidRPr="00001F7B">
        <w:rPr>
          <w:rFonts w:cstheme="minorHAnsi"/>
        </w:rPr>
        <w:t xml:space="preserve"> </w:t>
      </w:r>
      <w:r w:rsidR="00AB1A2F" w:rsidRPr="00001F7B">
        <w:rPr>
          <w:rFonts w:cstheme="minorHAnsi"/>
          <w:b/>
          <w:bCs/>
        </w:rPr>
        <w:t>3.2.1.1</w:t>
      </w:r>
      <w:r w:rsidRPr="00001F7B">
        <w:rPr>
          <w:rFonts w:cstheme="minorHAnsi"/>
        </w:rPr>
        <w:t>.</w:t>
      </w:r>
    </w:p>
  </w:footnote>
  <w:footnote w:id="129">
    <w:p w14:paraId="2ECB30C7" w14:textId="733C96E7" w:rsidR="007526A8" w:rsidRPr="00001F7B" w:rsidRDefault="007526A8">
      <w:pPr>
        <w:pStyle w:val="FootnoteText"/>
        <w:rPr>
          <w:rFonts w:cstheme="minorHAnsi"/>
        </w:rPr>
      </w:pPr>
      <w:r w:rsidRPr="00001F7B">
        <w:rPr>
          <w:rStyle w:val="FootnoteReference"/>
          <w:rFonts w:cstheme="minorHAnsi"/>
        </w:rPr>
        <w:footnoteRef/>
      </w:r>
      <w:r w:rsidRPr="00001F7B">
        <w:rPr>
          <w:rFonts w:cstheme="minorHAnsi"/>
        </w:rPr>
        <w:t xml:space="preserve"> See generally, Gardiner,</w:t>
      </w:r>
      <w:r w:rsidR="0097016A" w:rsidRPr="00001F7B">
        <w:rPr>
          <w:rFonts w:cstheme="minorHAnsi"/>
        </w:rPr>
        <w:t xml:space="preserve"> above, </w:t>
      </w:r>
      <w:proofErr w:type="spellStart"/>
      <w:r w:rsidR="0097016A" w:rsidRPr="00001F7B">
        <w:rPr>
          <w:rFonts w:cstheme="minorHAnsi"/>
        </w:rPr>
        <w:t>fn</w:t>
      </w:r>
      <w:proofErr w:type="spellEnd"/>
      <w:r w:rsidR="0097016A" w:rsidRPr="00001F7B">
        <w:rPr>
          <w:rFonts w:cstheme="minorHAnsi"/>
        </w:rPr>
        <w:t xml:space="preserve"> </w:t>
      </w:r>
      <w:r w:rsidR="004A5D49" w:rsidRPr="00001F7B">
        <w:rPr>
          <w:rFonts w:cstheme="minorHAnsi"/>
        </w:rPr>
        <w:t>5</w:t>
      </w:r>
      <w:r w:rsidR="0097016A" w:rsidRPr="00001F7B">
        <w:rPr>
          <w:rFonts w:cstheme="minorHAnsi"/>
        </w:rPr>
        <w:t>,</w:t>
      </w:r>
      <w:r w:rsidRPr="00001F7B">
        <w:rPr>
          <w:rFonts w:cstheme="minorHAnsi"/>
        </w:rPr>
        <w:t xml:space="preserve"> p</w:t>
      </w:r>
      <w:r w:rsidR="0097016A" w:rsidRPr="00001F7B">
        <w:rPr>
          <w:rFonts w:cstheme="minorHAnsi"/>
        </w:rPr>
        <w:t xml:space="preserve"> </w:t>
      </w:r>
      <w:r w:rsidRPr="00001F7B">
        <w:rPr>
          <w:rFonts w:cstheme="minorHAnsi"/>
        </w:rPr>
        <w:t xml:space="preserve">184 </w:t>
      </w:r>
      <w:r w:rsidRPr="00001F7B">
        <w:rPr>
          <w:rFonts w:cstheme="minorHAnsi"/>
          <w:i/>
          <w:iCs/>
        </w:rPr>
        <w:t>et seq</w:t>
      </w:r>
      <w:r w:rsidRPr="00001F7B">
        <w:rPr>
          <w:rFonts w:cstheme="minorHAnsi"/>
        </w:rPr>
        <w:t>.</w:t>
      </w:r>
    </w:p>
  </w:footnote>
  <w:footnote w:id="130">
    <w:p w14:paraId="3C97F386" w14:textId="0D1A0809" w:rsidR="0000536B" w:rsidRPr="00001F7B" w:rsidRDefault="0000536B">
      <w:pPr>
        <w:pStyle w:val="FootnoteText"/>
        <w:rPr>
          <w:rFonts w:cstheme="minorHAnsi"/>
        </w:rPr>
      </w:pPr>
      <w:r w:rsidRPr="00001F7B">
        <w:rPr>
          <w:rStyle w:val="FootnoteReference"/>
          <w:rFonts w:cstheme="minorHAnsi"/>
        </w:rPr>
        <w:footnoteRef/>
      </w:r>
      <w:r w:rsidRPr="00001F7B">
        <w:rPr>
          <w:rFonts w:cstheme="minorHAnsi"/>
        </w:rPr>
        <w:t xml:space="preserve"> Gardiner, </w:t>
      </w:r>
      <w:proofErr w:type="spellStart"/>
      <w:r w:rsidRPr="00001F7B">
        <w:rPr>
          <w:rFonts w:cstheme="minorHAnsi"/>
          <w:i/>
          <w:iCs/>
        </w:rPr>
        <w:t>loc</w:t>
      </w:r>
      <w:proofErr w:type="spellEnd"/>
      <w:r w:rsidR="0097016A" w:rsidRPr="00001F7B">
        <w:rPr>
          <w:rFonts w:cstheme="minorHAnsi"/>
          <w:i/>
          <w:iCs/>
        </w:rPr>
        <w:t xml:space="preserve"> </w:t>
      </w:r>
      <w:proofErr w:type="spellStart"/>
      <w:r w:rsidRPr="00001F7B">
        <w:rPr>
          <w:rFonts w:cstheme="minorHAnsi"/>
          <w:i/>
          <w:iCs/>
        </w:rPr>
        <w:t>cit</w:t>
      </w:r>
      <w:proofErr w:type="spellEnd"/>
      <w:r w:rsidRPr="00001F7B">
        <w:rPr>
          <w:rFonts w:cstheme="minorHAnsi"/>
        </w:rPr>
        <w:t xml:space="preserve"> p</w:t>
      </w:r>
      <w:r w:rsidR="0097016A" w:rsidRPr="00001F7B">
        <w:rPr>
          <w:rFonts w:cstheme="minorHAnsi"/>
        </w:rPr>
        <w:t xml:space="preserve"> </w:t>
      </w:r>
      <w:r w:rsidRPr="00001F7B">
        <w:rPr>
          <w:rFonts w:cstheme="minorHAnsi"/>
        </w:rPr>
        <w:t>189.</w:t>
      </w:r>
      <w:r w:rsidR="000E49CE" w:rsidRPr="00001F7B">
        <w:rPr>
          <w:rFonts w:cstheme="minorHAnsi"/>
        </w:rPr>
        <w:t xml:space="preserve"> See also at pp 183-4.</w:t>
      </w:r>
    </w:p>
  </w:footnote>
  <w:footnote w:id="131">
    <w:p w14:paraId="17A8D0C5" w14:textId="60253E2E" w:rsidR="00B45C3D" w:rsidRPr="00001F7B" w:rsidRDefault="00B45C3D">
      <w:pPr>
        <w:pStyle w:val="FootnoteText"/>
        <w:rPr>
          <w:rFonts w:cstheme="minorHAnsi"/>
        </w:rPr>
      </w:pPr>
      <w:r w:rsidRPr="00001F7B">
        <w:rPr>
          <w:rStyle w:val="FootnoteReference"/>
          <w:rFonts w:cstheme="minorHAnsi"/>
        </w:rPr>
        <w:footnoteRef/>
      </w:r>
      <w:r w:rsidRPr="00001F7B">
        <w:rPr>
          <w:rFonts w:cstheme="minorHAnsi"/>
          <w:lang w:val="de-DE"/>
        </w:rPr>
        <w:t xml:space="preserve"> Van der </w:t>
      </w:r>
      <w:r w:rsidR="00A003E4" w:rsidRPr="00001F7B">
        <w:rPr>
          <w:rFonts w:cstheme="minorHAnsi"/>
          <w:lang w:val="de-DE"/>
        </w:rPr>
        <w:t>Bruggen</w:t>
      </w:r>
      <w:r w:rsidR="0097016A" w:rsidRPr="00001F7B">
        <w:rPr>
          <w:rFonts w:cstheme="minorHAnsi"/>
          <w:lang w:val="de-DE"/>
        </w:rPr>
        <w:t xml:space="preserve">, </w:t>
      </w:r>
      <w:proofErr w:type="spellStart"/>
      <w:r w:rsidR="00A003E4" w:rsidRPr="00001F7B">
        <w:rPr>
          <w:rFonts w:cstheme="minorHAnsi"/>
          <w:lang w:val="de-DE"/>
        </w:rPr>
        <w:t>above</w:t>
      </w:r>
      <w:proofErr w:type="spellEnd"/>
      <w:r w:rsidR="0001589A" w:rsidRPr="00001F7B">
        <w:rPr>
          <w:rFonts w:cstheme="minorHAnsi"/>
          <w:lang w:val="de-DE"/>
        </w:rPr>
        <w:t>,</w:t>
      </w:r>
      <w:r w:rsidR="00A003E4" w:rsidRPr="00001F7B">
        <w:rPr>
          <w:rFonts w:cstheme="minorHAnsi"/>
          <w:lang w:val="de-DE"/>
        </w:rPr>
        <w:t xml:space="preserve"> </w:t>
      </w:r>
      <w:proofErr w:type="spellStart"/>
      <w:r w:rsidR="00A003E4" w:rsidRPr="00001F7B">
        <w:rPr>
          <w:rFonts w:cstheme="minorHAnsi"/>
          <w:lang w:val="de-DE"/>
        </w:rPr>
        <w:t>fn</w:t>
      </w:r>
      <w:proofErr w:type="spellEnd"/>
      <w:r w:rsidR="004A5D49" w:rsidRPr="00001F7B">
        <w:rPr>
          <w:rFonts w:cstheme="minorHAnsi"/>
          <w:lang w:val="de-DE"/>
        </w:rPr>
        <w:t xml:space="preserve"> 122</w:t>
      </w:r>
      <w:r w:rsidR="0097016A" w:rsidRPr="00001F7B">
        <w:rPr>
          <w:rFonts w:cstheme="minorHAnsi"/>
          <w:lang w:val="de-DE"/>
        </w:rPr>
        <w:t xml:space="preserve">, </w:t>
      </w:r>
      <w:r w:rsidR="00A003E4" w:rsidRPr="00001F7B">
        <w:rPr>
          <w:rFonts w:cstheme="minorHAnsi"/>
          <w:lang w:val="de-DE"/>
        </w:rPr>
        <w:t>p 36.</w:t>
      </w:r>
      <w:r w:rsidR="000E49CE" w:rsidRPr="00001F7B">
        <w:rPr>
          <w:rFonts w:cstheme="minorHAnsi"/>
          <w:lang w:val="de-DE"/>
        </w:rPr>
        <w:t xml:space="preserve"> </w:t>
      </w:r>
      <w:r w:rsidR="000E49CE" w:rsidRPr="00001F7B">
        <w:rPr>
          <w:rFonts w:cstheme="minorHAnsi"/>
        </w:rPr>
        <w:t>See also Gardiner</w:t>
      </w:r>
      <w:r w:rsidR="0097016A" w:rsidRPr="00001F7B">
        <w:rPr>
          <w:rFonts w:cstheme="minorHAnsi"/>
        </w:rPr>
        <w:t>,</w:t>
      </w:r>
      <w:r w:rsidR="000E49CE" w:rsidRPr="00001F7B">
        <w:rPr>
          <w:rFonts w:cstheme="minorHAnsi"/>
        </w:rPr>
        <w:t xml:space="preserve"> p 184.</w:t>
      </w:r>
    </w:p>
  </w:footnote>
  <w:footnote w:id="132">
    <w:p w14:paraId="516D4B3B" w14:textId="29EB159D" w:rsidR="003C262B" w:rsidRPr="00001F7B" w:rsidRDefault="003C262B">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Loc.cit</w:t>
      </w:r>
      <w:proofErr w:type="spellEnd"/>
      <w:r w:rsidRPr="00001F7B">
        <w:rPr>
          <w:rFonts w:cstheme="minorHAnsi"/>
        </w:rPr>
        <w:t>, p.187.</w:t>
      </w:r>
    </w:p>
  </w:footnote>
  <w:footnote w:id="133">
    <w:p w14:paraId="111A4431" w14:textId="16781F99" w:rsidR="00C8372C" w:rsidRPr="00001F7B" w:rsidRDefault="00C8372C" w:rsidP="00110C97">
      <w:pPr>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r w:rsidR="0097016A" w:rsidRPr="00001F7B">
        <w:rPr>
          <w:rFonts w:cstheme="minorHAnsi"/>
          <w:sz w:val="20"/>
          <w:szCs w:val="20"/>
        </w:rPr>
        <w:t xml:space="preserve">1966 </w:t>
      </w:r>
      <w:r w:rsidRPr="00001F7B">
        <w:rPr>
          <w:rFonts w:cstheme="minorHAnsi"/>
          <w:sz w:val="20"/>
          <w:szCs w:val="20"/>
        </w:rPr>
        <w:t>Commentary,</w:t>
      </w:r>
      <w:r w:rsidR="004A5D49" w:rsidRPr="00001F7B">
        <w:rPr>
          <w:rFonts w:cstheme="minorHAnsi"/>
          <w:sz w:val="20"/>
          <w:szCs w:val="20"/>
        </w:rPr>
        <w:t xml:space="preserve"> above, </w:t>
      </w:r>
      <w:proofErr w:type="spellStart"/>
      <w:r w:rsidR="004A5D49" w:rsidRPr="00001F7B">
        <w:rPr>
          <w:rFonts w:cstheme="minorHAnsi"/>
          <w:sz w:val="20"/>
          <w:szCs w:val="20"/>
        </w:rPr>
        <w:t>fn</w:t>
      </w:r>
      <w:proofErr w:type="spellEnd"/>
      <w:r w:rsidR="004A5D49" w:rsidRPr="00001F7B">
        <w:rPr>
          <w:rFonts w:cstheme="minorHAnsi"/>
          <w:sz w:val="20"/>
          <w:szCs w:val="20"/>
        </w:rPr>
        <w:t xml:space="preserve"> 38,</w:t>
      </w:r>
      <w:r w:rsidRPr="00001F7B">
        <w:rPr>
          <w:rFonts w:cstheme="minorHAnsi"/>
          <w:sz w:val="20"/>
          <w:szCs w:val="20"/>
        </w:rPr>
        <w:t xml:space="preserve"> p</w:t>
      </w:r>
      <w:r w:rsidR="0097016A" w:rsidRPr="00001F7B">
        <w:rPr>
          <w:rFonts w:cstheme="minorHAnsi"/>
          <w:sz w:val="20"/>
          <w:szCs w:val="20"/>
        </w:rPr>
        <w:t xml:space="preserve"> </w:t>
      </w:r>
      <w:r w:rsidRPr="00001F7B">
        <w:rPr>
          <w:rFonts w:cstheme="minorHAnsi"/>
          <w:sz w:val="20"/>
          <w:szCs w:val="20"/>
        </w:rPr>
        <w:t>222, para</w:t>
      </w:r>
      <w:r w:rsidR="0097016A" w:rsidRPr="00001F7B">
        <w:rPr>
          <w:rFonts w:cstheme="minorHAnsi"/>
          <w:sz w:val="20"/>
          <w:szCs w:val="20"/>
        </w:rPr>
        <w:t xml:space="preserve"> </w:t>
      </w:r>
      <w:r w:rsidRPr="00001F7B">
        <w:rPr>
          <w:rFonts w:cstheme="minorHAnsi"/>
          <w:sz w:val="20"/>
          <w:szCs w:val="20"/>
        </w:rPr>
        <w:t>17.</w:t>
      </w:r>
      <w:r w:rsidR="00E3388F" w:rsidRPr="00001F7B">
        <w:rPr>
          <w:rFonts w:cstheme="minorHAnsi"/>
          <w:sz w:val="20"/>
          <w:szCs w:val="20"/>
        </w:rPr>
        <w:t xml:space="preserve"> Village</w:t>
      </w:r>
      <w:r w:rsidR="00110C97" w:rsidRPr="00001F7B">
        <w:rPr>
          <w:rFonts w:cstheme="minorHAnsi"/>
          <w:sz w:val="20"/>
          <w:szCs w:val="20"/>
        </w:rPr>
        <w:t>r</w:t>
      </w:r>
      <w:r w:rsidR="00E3388F" w:rsidRPr="00001F7B">
        <w:rPr>
          <w:rFonts w:cstheme="minorHAnsi"/>
          <w:sz w:val="20"/>
          <w:szCs w:val="20"/>
        </w:rPr>
        <w:t xml:space="preserve"> </w:t>
      </w:r>
      <w:r w:rsidR="00110C97" w:rsidRPr="00001F7B">
        <w:rPr>
          <w:rFonts w:cstheme="minorHAnsi"/>
          <w:sz w:val="20"/>
          <w:szCs w:val="20"/>
        </w:rPr>
        <w:t>states</w:t>
      </w:r>
      <w:r w:rsidR="00987A1A" w:rsidRPr="00001F7B">
        <w:rPr>
          <w:rFonts w:cstheme="minorHAnsi"/>
          <w:sz w:val="20"/>
          <w:szCs w:val="20"/>
        </w:rPr>
        <w:t xml:space="preserve"> (above</w:t>
      </w:r>
      <w:r w:rsidR="004A5D49" w:rsidRPr="00001F7B">
        <w:rPr>
          <w:rFonts w:cstheme="minorHAnsi"/>
          <w:sz w:val="20"/>
          <w:szCs w:val="20"/>
        </w:rPr>
        <w:t>,</w:t>
      </w:r>
      <w:r w:rsidR="00987A1A" w:rsidRPr="00001F7B">
        <w:rPr>
          <w:rFonts w:cstheme="minorHAnsi"/>
          <w:sz w:val="20"/>
          <w:szCs w:val="20"/>
        </w:rPr>
        <w:t xml:space="preserve"> </w:t>
      </w:r>
      <w:proofErr w:type="spellStart"/>
      <w:r w:rsidR="00987A1A" w:rsidRPr="00001F7B">
        <w:rPr>
          <w:rFonts w:cstheme="minorHAnsi"/>
          <w:sz w:val="20"/>
          <w:szCs w:val="20"/>
        </w:rPr>
        <w:t>fn</w:t>
      </w:r>
      <w:proofErr w:type="spellEnd"/>
      <w:r w:rsidR="00987A1A" w:rsidRPr="00001F7B">
        <w:rPr>
          <w:rFonts w:cstheme="minorHAnsi"/>
          <w:sz w:val="20"/>
          <w:szCs w:val="20"/>
        </w:rPr>
        <w:t xml:space="preserve"> </w:t>
      </w:r>
      <w:r w:rsidR="004A5D49" w:rsidRPr="00001F7B">
        <w:rPr>
          <w:rFonts w:cstheme="minorHAnsi"/>
          <w:sz w:val="20"/>
          <w:szCs w:val="20"/>
        </w:rPr>
        <w:t>47</w:t>
      </w:r>
      <w:r w:rsidR="00987A1A" w:rsidRPr="00001F7B">
        <w:rPr>
          <w:rFonts w:cstheme="minorHAnsi"/>
          <w:sz w:val="20"/>
          <w:szCs w:val="20"/>
        </w:rPr>
        <w:t>. p 109)</w:t>
      </w:r>
      <w:r w:rsidR="00110C97" w:rsidRPr="00001F7B">
        <w:rPr>
          <w:rFonts w:cstheme="minorHAnsi"/>
          <w:sz w:val="20"/>
          <w:szCs w:val="20"/>
        </w:rPr>
        <w:t>:</w:t>
      </w:r>
      <w:r w:rsidR="00E3388F" w:rsidRPr="00001F7B">
        <w:rPr>
          <w:rFonts w:cstheme="minorHAnsi"/>
          <w:sz w:val="20"/>
          <w:szCs w:val="20"/>
        </w:rPr>
        <w:t xml:space="preserve"> “</w:t>
      </w:r>
      <w:r w:rsidR="00110C97" w:rsidRPr="00001F7B">
        <w:rPr>
          <w:rFonts w:cstheme="minorHAnsi"/>
          <w:sz w:val="20"/>
          <w:szCs w:val="20"/>
        </w:rPr>
        <w:t>The ordinary meaning of a term, as in Article 31</w:t>
      </w:r>
      <w:r w:rsidR="00987A1A" w:rsidRPr="00001F7B">
        <w:rPr>
          <w:rFonts w:cstheme="minorHAnsi"/>
          <w:sz w:val="20"/>
          <w:szCs w:val="20"/>
        </w:rPr>
        <w:t>.</w:t>
      </w:r>
      <w:r w:rsidR="00110C97" w:rsidRPr="00001F7B">
        <w:rPr>
          <w:rFonts w:cstheme="minorHAnsi"/>
          <w:sz w:val="20"/>
          <w:szCs w:val="20"/>
        </w:rPr>
        <w:t xml:space="preserve">1, is the starting point of the process of interpretation. This is its current and normal, regular and usual meaning. </w:t>
      </w:r>
      <w:r w:rsidR="00E3388F" w:rsidRPr="00001F7B">
        <w:rPr>
          <w:rFonts w:cstheme="minorHAnsi"/>
          <w:sz w:val="20"/>
          <w:szCs w:val="20"/>
        </w:rPr>
        <w:t>A term may have a number of ordinary meanings, which may even change over time. This relativist view of hermeneutics underlies Article 31, which in paragraph 1 requires the ordinary meaning ‘to be given’ by the interpreter in good faith to the terms of the treaty. In other words, that particular ordinary meaning will be established which is the common intention of the parties. The relativity of the meaning of a term is confirmed by paragraph 4, which envisages the possibility of a ‘special’ meaning going beyond the ordinary meaning of terms.”</w:t>
      </w:r>
      <w:r w:rsidR="00110C97" w:rsidRPr="00001F7B">
        <w:rPr>
          <w:rFonts w:cstheme="minorHAnsi"/>
          <w:sz w:val="20"/>
          <w:szCs w:val="20"/>
        </w:rPr>
        <w:t xml:space="preserve"> </w:t>
      </w:r>
    </w:p>
  </w:footnote>
  <w:footnote w:id="134">
    <w:p w14:paraId="4184EC90" w14:textId="12C8C439" w:rsidR="000C407C" w:rsidRPr="00001F7B" w:rsidRDefault="000C407C">
      <w:pPr>
        <w:pStyle w:val="FootnoteText"/>
        <w:rPr>
          <w:rFonts w:cstheme="minorHAnsi"/>
        </w:rPr>
      </w:pPr>
      <w:r w:rsidRPr="00001F7B">
        <w:rPr>
          <w:rStyle w:val="FootnoteReference"/>
          <w:rFonts w:cstheme="minorHAnsi"/>
        </w:rPr>
        <w:footnoteRef/>
      </w:r>
      <w:r w:rsidRPr="00001F7B">
        <w:rPr>
          <w:rFonts w:cstheme="minorHAnsi"/>
        </w:rPr>
        <w:t xml:space="preserve"> Gardiner, </w:t>
      </w:r>
      <w:r w:rsidR="00987A1A" w:rsidRPr="00001F7B">
        <w:rPr>
          <w:rFonts w:cstheme="minorHAnsi"/>
        </w:rPr>
        <w:t xml:space="preserve">above, </w:t>
      </w:r>
      <w:proofErr w:type="spellStart"/>
      <w:r w:rsidR="00987A1A" w:rsidRPr="00001F7B">
        <w:rPr>
          <w:rFonts w:cstheme="minorHAnsi"/>
        </w:rPr>
        <w:t>fn</w:t>
      </w:r>
      <w:proofErr w:type="spellEnd"/>
      <w:r w:rsidR="00240F7B" w:rsidRPr="00001F7B">
        <w:rPr>
          <w:rFonts w:cstheme="minorHAnsi"/>
        </w:rPr>
        <w:t xml:space="preserve"> 5</w:t>
      </w:r>
      <w:r w:rsidR="00987A1A" w:rsidRPr="00001F7B">
        <w:rPr>
          <w:rFonts w:cstheme="minorHAnsi"/>
        </w:rPr>
        <w:t xml:space="preserve">, </w:t>
      </w:r>
      <w:r w:rsidRPr="00001F7B">
        <w:rPr>
          <w:rFonts w:cstheme="minorHAnsi"/>
        </w:rPr>
        <w:t>p</w:t>
      </w:r>
      <w:r w:rsidR="00987A1A" w:rsidRPr="00001F7B">
        <w:rPr>
          <w:rFonts w:cstheme="minorHAnsi"/>
        </w:rPr>
        <w:t xml:space="preserve"> </w:t>
      </w:r>
      <w:r w:rsidR="00841BCF" w:rsidRPr="00001F7B">
        <w:rPr>
          <w:rFonts w:cstheme="minorHAnsi"/>
        </w:rPr>
        <w:t>197.</w:t>
      </w:r>
    </w:p>
  </w:footnote>
  <w:footnote w:id="135">
    <w:p w14:paraId="44CF4564" w14:textId="39C69AFB" w:rsidR="000A163A" w:rsidRPr="00001F7B" w:rsidRDefault="000A163A">
      <w:pPr>
        <w:pStyle w:val="FootnoteText"/>
        <w:rPr>
          <w:rFonts w:cstheme="minorHAnsi"/>
        </w:rPr>
      </w:pPr>
      <w:r w:rsidRPr="00001F7B">
        <w:rPr>
          <w:rStyle w:val="FootnoteReference"/>
          <w:rFonts w:cstheme="minorHAnsi"/>
        </w:rPr>
        <w:footnoteRef/>
      </w:r>
      <w:r w:rsidRPr="00001F7B">
        <w:rPr>
          <w:rFonts w:cstheme="minorHAnsi"/>
        </w:rPr>
        <w:t xml:space="preserve"> 1966</w:t>
      </w:r>
      <w:r w:rsidR="0001589A" w:rsidRPr="00001F7B">
        <w:rPr>
          <w:rFonts w:cstheme="minorHAnsi"/>
        </w:rPr>
        <w:t xml:space="preserve"> Commentary</w:t>
      </w:r>
      <w:r w:rsidRPr="00001F7B">
        <w:rPr>
          <w:rFonts w:cstheme="minorHAnsi"/>
        </w:rPr>
        <w:t xml:space="preserve">, </w:t>
      </w:r>
      <w:r w:rsidR="00334811" w:rsidRPr="00001F7B">
        <w:rPr>
          <w:rFonts w:cstheme="minorHAnsi"/>
        </w:rPr>
        <w:t xml:space="preserve">above, </w:t>
      </w:r>
      <w:proofErr w:type="spellStart"/>
      <w:r w:rsidR="00334811" w:rsidRPr="00001F7B">
        <w:rPr>
          <w:rFonts w:cstheme="minorHAnsi"/>
        </w:rPr>
        <w:t>fn</w:t>
      </w:r>
      <w:proofErr w:type="spellEnd"/>
      <w:r w:rsidR="00334811" w:rsidRPr="00001F7B">
        <w:rPr>
          <w:rFonts w:cstheme="minorHAnsi"/>
        </w:rPr>
        <w:t xml:space="preserve"> 38, </w:t>
      </w:r>
      <w:r w:rsidRPr="00001F7B">
        <w:rPr>
          <w:rFonts w:cstheme="minorHAnsi"/>
        </w:rPr>
        <w:t>p</w:t>
      </w:r>
      <w:r w:rsidR="0001589A" w:rsidRPr="00001F7B">
        <w:rPr>
          <w:rFonts w:cstheme="minorHAnsi"/>
        </w:rPr>
        <w:t xml:space="preserve"> </w:t>
      </w:r>
      <w:r w:rsidRPr="00001F7B">
        <w:rPr>
          <w:rFonts w:cstheme="minorHAnsi"/>
        </w:rPr>
        <w:t>221, para</w:t>
      </w:r>
      <w:r w:rsidR="0001589A" w:rsidRPr="00001F7B">
        <w:rPr>
          <w:rFonts w:cstheme="minorHAnsi"/>
        </w:rPr>
        <w:t xml:space="preserve"> </w:t>
      </w:r>
      <w:r w:rsidRPr="00001F7B">
        <w:rPr>
          <w:rFonts w:cstheme="minorHAnsi"/>
        </w:rPr>
        <w:t xml:space="preserve">12. </w:t>
      </w:r>
    </w:p>
  </w:footnote>
  <w:footnote w:id="136">
    <w:p w14:paraId="774AC062" w14:textId="28FC4215" w:rsidR="003809D3" w:rsidRPr="00001F7B" w:rsidRDefault="003809D3">
      <w:pPr>
        <w:pStyle w:val="FootnoteText"/>
        <w:rPr>
          <w:rFonts w:cstheme="minorHAnsi"/>
        </w:rPr>
      </w:pPr>
      <w:r w:rsidRPr="00001F7B">
        <w:rPr>
          <w:rStyle w:val="FootnoteReference"/>
          <w:rFonts w:cstheme="minorHAnsi"/>
        </w:rPr>
        <w:footnoteRef/>
      </w:r>
      <w:r w:rsidRPr="00001F7B">
        <w:rPr>
          <w:rFonts w:cstheme="minorHAnsi"/>
        </w:rPr>
        <w:t xml:space="preserve"> Waldock, above</w:t>
      </w:r>
      <w:r w:rsidR="0001589A" w:rsidRPr="00001F7B">
        <w:rPr>
          <w:rFonts w:cstheme="minorHAnsi"/>
        </w:rPr>
        <w:t>,</w:t>
      </w:r>
      <w:r w:rsidRPr="00001F7B">
        <w:rPr>
          <w:rFonts w:cstheme="minorHAnsi"/>
        </w:rPr>
        <w:t xml:space="preserve"> </w:t>
      </w:r>
      <w:proofErr w:type="spellStart"/>
      <w:r w:rsidR="0001589A" w:rsidRPr="00001F7B">
        <w:rPr>
          <w:rFonts w:cstheme="minorHAnsi"/>
        </w:rPr>
        <w:t>f</w:t>
      </w:r>
      <w:r w:rsidRPr="00001F7B">
        <w:rPr>
          <w:rFonts w:cstheme="minorHAnsi"/>
        </w:rPr>
        <w:t>n</w:t>
      </w:r>
      <w:proofErr w:type="spellEnd"/>
      <w:r w:rsidRPr="00001F7B">
        <w:rPr>
          <w:rFonts w:cstheme="minorHAnsi"/>
        </w:rPr>
        <w:t xml:space="preserve"> </w:t>
      </w:r>
      <w:r w:rsidR="00334811" w:rsidRPr="00001F7B">
        <w:rPr>
          <w:rFonts w:cstheme="minorHAnsi"/>
        </w:rPr>
        <w:t>125</w:t>
      </w:r>
      <w:r w:rsidRPr="00001F7B">
        <w:rPr>
          <w:rFonts w:cstheme="minorHAnsi"/>
        </w:rPr>
        <w:t>, p</w:t>
      </w:r>
      <w:r w:rsidR="0001589A" w:rsidRPr="00001F7B">
        <w:rPr>
          <w:rFonts w:cstheme="minorHAnsi"/>
        </w:rPr>
        <w:t xml:space="preserve"> </w:t>
      </w:r>
      <w:r w:rsidR="005F5119" w:rsidRPr="00001F7B">
        <w:rPr>
          <w:rFonts w:cstheme="minorHAnsi"/>
        </w:rPr>
        <w:t>184, para</w:t>
      </w:r>
      <w:r w:rsidR="0001589A" w:rsidRPr="00001F7B">
        <w:rPr>
          <w:rFonts w:cstheme="minorHAnsi"/>
        </w:rPr>
        <w:t xml:space="preserve"> </w:t>
      </w:r>
      <w:r w:rsidR="005F5119" w:rsidRPr="00001F7B">
        <w:rPr>
          <w:rFonts w:cstheme="minorHAnsi"/>
        </w:rPr>
        <w:t>70.</w:t>
      </w:r>
    </w:p>
  </w:footnote>
  <w:footnote w:id="137">
    <w:p w14:paraId="2B2A4A05" w14:textId="4A2BC69A" w:rsidR="00BD2BD9" w:rsidRPr="00001F7B" w:rsidRDefault="00BD2BD9">
      <w:pPr>
        <w:pStyle w:val="FootnoteText"/>
        <w:rPr>
          <w:rFonts w:cstheme="minorHAnsi"/>
        </w:rPr>
      </w:pPr>
      <w:r w:rsidRPr="00001F7B">
        <w:rPr>
          <w:rStyle w:val="FootnoteReference"/>
          <w:rFonts w:cstheme="minorHAnsi"/>
        </w:rPr>
        <w:footnoteRef/>
      </w:r>
      <w:r w:rsidRPr="00001F7B">
        <w:rPr>
          <w:rFonts w:cstheme="minorHAnsi"/>
        </w:rPr>
        <w:t xml:space="preserve"> See Gardiner</w:t>
      </w:r>
      <w:r w:rsidR="0001589A" w:rsidRPr="00001F7B">
        <w:rPr>
          <w:rFonts w:cstheme="minorHAnsi"/>
        </w:rPr>
        <w:t xml:space="preserve">, above </w:t>
      </w:r>
      <w:proofErr w:type="spellStart"/>
      <w:r w:rsidR="0001589A" w:rsidRPr="00001F7B">
        <w:rPr>
          <w:rFonts w:cstheme="minorHAnsi"/>
        </w:rPr>
        <w:t>fn</w:t>
      </w:r>
      <w:proofErr w:type="spellEnd"/>
      <w:r w:rsidR="0001589A" w:rsidRPr="00001F7B">
        <w:rPr>
          <w:rFonts w:cstheme="minorHAnsi"/>
        </w:rPr>
        <w:t xml:space="preserve"> </w:t>
      </w:r>
      <w:r w:rsidR="00334811" w:rsidRPr="00001F7B">
        <w:rPr>
          <w:rFonts w:cstheme="minorHAnsi"/>
        </w:rPr>
        <w:t>5</w:t>
      </w:r>
      <w:r w:rsidR="0001589A" w:rsidRPr="00001F7B">
        <w:rPr>
          <w:rFonts w:cstheme="minorHAnsi"/>
        </w:rPr>
        <w:t>,</w:t>
      </w:r>
      <w:r w:rsidRPr="00001F7B">
        <w:rPr>
          <w:rFonts w:cstheme="minorHAnsi"/>
        </w:rPr>
        <w:t xml:space="preserve"> p </w:t>
      </w:r>
      <w:r w:rsidR="005F567A" w:rsidRPr="00001F7B">
        <w:rPr>
          <w:rFonts w:cstheme="minorHAnsi"/>
        </w:rPr>
        <w:t>202 and the example given.</w:t>
      </w:r>
      <w:r w:rsidR="00A66163" w:rsidRPr="00001F7B">
        <w:rPr>
          <w:rFonts w:cstheme="minorHAnsi"/>
        </w:rPr>
        <w:t xml:space="preserve"> Also Villager</w:t>
      </w:r>
      <w:r w:rsidR="0001589A" w:rsidRPr="00001F7B">
        <w:rPr>
          <w:rFonts w:cstheme="minorHAnsi"/>
        </w:rPr>
        <w:t xml:space="preserve"> (above, </w:t>
      </w:r>
      <w:proofErr w:type="spellStart"/>
      <w:r w:rsidR="0001589A" w:rsidRPr="00001F7B">
        <w:rPr>
          <w:rFonts w:cstheme="minorHAnsi"/>
        </w:rPr>
        <w:t>fn</w:t>
      </w:r>
      <w:proofErr w:type="spellEnd"/>
      <w:r w:rsidR="0001589A" w:rsidRPr="00001F7B">
        <w:rPr>
          <w:rFonts w:cstheme="minorHAnsi"/>
        </w:rPr>
        <w:t xml:space="preserve"> </w:t>
      </w:r>
      <w:r w:rsidR="00334811" w:rsidRPr="00001F7B">
        <w:rPr>
          <w:rFonts w:cstheme="minorHAnsi"/>
        </w:rPr>
        <w:t>47</w:t>
      </w:r>
      <w:r w:rsidR="0001589A" w:rsidRPr="00001F7B">
        <w:rPr>
          <w:rFonts w:cstheme="minorHAnsi"/>
        </w:rPr>
        <w:t>, pp 109-110)</w:t>
      </w:r>
      <w:r w:rsidR="00F85980" w:rsidRPr="00001F7B">
        <w:rPr>
          <w:rFonts w:cstheme="minorHAnsi"/>
        </w:rPr>
        <w:t>: “</w:t>
      </w:r>
      <w:r w:rsidR="00A66163" w:rsidRPr="00001F7B">
        <w:rPr>
          <w:rFonts w:cstheme="minorHAnsi"/>
        </w:rPr>
        <w:t>The context will include the</w:t>
      </w:r>
      <w:r w:rsidR="004B4FF9" w:rsidRPr="00001F7B">
        <w:rPr>
          <w:rFonts w:cstheme="minorHAnsi"/>
        </w:rPr>
        <w:t xml:space="preserve"> remaining terms of the sentence and of the paragraph; the entire article at issue; and the remainder of the treaty, </w:t>
      </w:r>
      <w:r w:rsidR="00F85980" w:rsidRPr="00001F7B">
        <w:rPr>
          <w:rFonts w:cstheme="minorHAnsi"/>
        </w:rPr>
        <w:t>i.e.</w:t>
      </w:r>
      <w:r w:rsidR="004B4FF9" w:rsidRPr="00001F7B">
        <w:rPr>
          <w:rFonts w:cstheme="minorHAnsi"/>
        </w:rPr>
        <w:t xml:space="preserve"> its text, including its preamble, and the other means mentioned in paragraphs 2 and 3 of Article 31 thus embody the contextual or systematic means of interpretation which aim to avoid inconsistencies between the individual term and its textual surroundings.</w:t>
      </w:r>
      <w:r w:rsidR="00F85980" w:rsidRPr="00001F7B">
        <w:rPr>
          <w:rFonts w:cstheme="minorHAnsi"/>
        </w:rPr>
        <w:t xml:space="preserve">” </w:t>
      </w:r>
    </w:p>
  </w:footnote>
  <w:footnote w:id="138">
    <w:p w14:paraId="471C3741" w14:textId="46027B92" w:rsidR="005F567A" w:rsidRPr="00001F7B" w:rsidRDefault="005F567A">
      <w:pPr>
        <w:pStyle w:val="FootnoteText"/>
        <w:rPr>
          <w:rFonts w:cstheme="minorHAnsi"/>
        </w:rPr>
      </w:pPr>
      <w:r w:rsidRPr="00001F7B">
        <w:rPr>
          <w:rStyle w:val="FootnoteReference"/>
          <w:rFonts w:cstheme="minorHAnsi"/>
        </w:rPr>
        <w:footnoteRef/>
      </w:r>
      <w:r w:rsidRPr="00001F7B">
        <w:rPr>
          <w:rFonts w:cstheme="minorHAnsi"/>
        </w:rPr>
        <w:t xml:space="preserve"> Gardiner</w:t>
      </w:r>
      <w:r w:rsidR="0001589A" w:rsidRPr="00001F7B">
        <w:rPr>
          <w:rFonts w:cstheme="minorHAnsi"/>
        </w:rPr>
        <w:t xml:space="preserve">, </w:t>
      </w:r>
      <w:r w:rsidR="0001589A" w:rsidRPr="00001F7B">
        <w:rPr>
          <w:rFonts w:cstheme="minorHAnsi"/>
          <w:i/>
          <w:iCs/>
        </w:rPr>
        <w:t xml:space="preserve">op </w:t>
      </w:r>
      <w:proofErr w:type="spellStart"/>
      <w:r w:rsidR="0001589A" w:rsidRPr="00001F7B">
        <w:rPr>
          <w:rFonts w:cstheme="minorHAnsi"/>
          <w:i/>
          <w:iCs/>
        </w:rPr>
        <w:t>cit</w:t>
      </w:r>
      <w:proofErr w:type="spellEnd"/>
      <w:r w:rsidR="0001589A" w:rsidRPr="00001F7B">
        <w:rPr>
          <w:rFonts w:cstheme="minorHAnsi"/>
        </w:rPr>
        <w:t>, p 209,</w:t>
      </w:r>
      <w:r w:rsidRPr="00001F7B">
        <w:rPr>
          <w:rFonts w:cstheme="minorHAnsi"/>
        </w:rPr>
        <w:t xml:space="preserve"> notes a general principle in the interpretation of a well-drafted document whereby the same term may be expected to have the same meaning </w:t>
      </w:r>
      <w:r w:rsidR="00C93086" w:rsidRPr="00001F7B">
        <w:rPr>
          <w:rFonts w:cstheme="minorHAnsi"/>
        </w:rPr>
        <w:t>throughout, whereas different terms can be expected to have different meanings</w:t>
      </w:r>
      <w:r w:rsidR="0001589A" w:rsidRPr="00001F7B">
        <w:rPr>
          <w:rFonts w:cstheme="minorHAnsi"/>
        </w:rPr>
        <w:t xml:space="preserve">. </w:t>
      </w:r>
      <w:r w:rsidR="00C93086" w:rsidRPr="00001F7B">
        <w:rPr>
          <w:rFonts w:cstheme="minorHAnsi"/>
        </w:rPr>
        <w:t>He indicates, however, that this is not an absolute rule especially in the case of treaties where there have been many negotiators sometimes with different groups working on different parts of the text</w:t>
      </w:r>
      <w:r w:rsidR="006A59B6" w:rsidRPr="00001F7B">
        <w:rPr>
          <w:rFonts w:cstheme="minorHAnsi"/>
        </w:rPr>
        <w:t>.</w:t>
      </w:r>
      <w:r w:rsidR="00C93086" w:rsidRPr="00001F7B">
        <w:rPr>
          <w:rFonts w:cstheme="minorHAnsi"/>
        </w:rPr>
        <w:t xml:space="preserve"> </w:t>
      </w:r>
      <w:r w:rsidR="00CE4EAB" w:rsidRPr="00001F7B">
        <w:rPr>
          <w:rFonts w:cstheme="minorHAnsi"/>
        </w:rPr>
        <w:t>Compare</w:t>
      </w:r>
      <w:r w:rsidR="00CD1798" w:rsidRPr="00001F7B">
        <w:rPr>
          <w:rFonts w:cstheme="minorHAnsi"/>
        </w:rPr>
        <w:t xml:space="preserve"> </w:t>
      </w:r>
      <w:r w:rsidR="006A59B6" w:rsidRPr="00001F7B">
        <w:rPr>
          <w:rFonts w:cstheme="minorHAnsi"/>
        </w:rPr>
        <w:t>Article 2</w:t>
      </w:r>
      <w:r w:rsidR="00CD1798" w:rsidRPr="00001F7B">
        <w:rPr>
          <w:rFonts w:cstheme="minorHAnsi"/>
        </w:rPr>
        <w:t xml:space="preserve"> of CMR</w:t>
      </w:r>
      <w:r w:rsidR="00D22261" w:rsidRPr="00001F7B">
        <w:rPr>
          <w:rFonts w:cstheme="minorHAnsi"/>
        </w:rPr>
        <w:t>.</w:t>
      </w:r>
      <w:r w:rsidR="00CD1798" w:rsidRPr="00001F7B">
        <w:rPr>
          <w:rFonts w:cstheme="minorHAnsi"/>
        </w:rPr>
        <w:t xml:space="preserve"> The BGH, in its decision of 15.12.2011, above, </w:t>
      </w:r>
      <w:proofErr w:type="spellStart"/>
      <w:r w:rsidR="00D22261" w:rsidRPr="00001F7B">
        <w:rPr>
          <w:rFonts w:cstheme="minorHAnsi"/>
        </w:rPr>
        <w:t>f</w:t>
      </w:r>
      <w:r w:rsidR="00CD1798" w:rsidRPr="00001F7B">
        <w:rPr>
          <w:rFonts w:cstheme="minorHAnsi"/>
        </w:rPr>
        <w:t>n</w:t>
      </w:r>
      <w:proofErr w:type="spellEnd"/>
      <w:r w:rsidR="00533695" w:rsidRPr="00001F7B">
        <w:rPr>
          <w:rFonts w:cstheme="minorHAnsi"/>
        </w:rPr>
        <w:t xml:space="preserve"> 84</w:t>
      </w:r>
      <w:r w:rsidR="00CD1798" w:rsidRPr="00001F7B">
        <w:rPr>
          <w:rFonts w:cstheme="minorHAnsi"/>
        </w:rPr>
        <w:t>, noted at para</w:t>
      </w:r>
      <w:r w:rsidR="00D22261" w:rsidRPr="00001F7B">
        <w:rPr>
          <w:rFonts w:cstheme="minorHAnsi"/>
        </w:rPr>
        <w:t xml:space="preserve"> </w:t>
      </w:r>
      <w:r w:rsidR="00CD1798" w:rsidRPr="00001F7B">
        <w:rPr>
          <w:rFonts w:cstheme="minorHAnsi"/>
        </w:rPr>
        <w:t>19: “</w:t>
      </w:r>
      <w:r w:rsidR="00CD1798" w:rsidRPr="00001F7B">
        <w:rPr>
          <w:rFonts w:eastAsia="Times New Roman" w:cstheme="minorHAnsi"/>
          <w:color w:val="000000"/>
          <w:lang w:eastAsia="en-GB"/>
        </w:rPr>
        <w:t>The provision of</w:t>
      </w:r>
      <w:r w:rsidR="00CD1798" w:rsidRPr="00001F7B">
        <w:rPr>
          <w:rFonts w:eastAsia="Times New Roman" w:cstheme="minorHAnsi"/>
          <w:lang w:eastAsia="en-GB"/>
        </w:rPr>
        <w:t> </w:t>
      </w:r>
      <w:hyperlink r:id="rId3" w:anchor="docid:138487,3" w:tooltip="Art. 2 CMR" w:history="1">
        <w:r w:rsidR="00D22261" w:rsidRPr="00001F7B">
          <w:rPr>
            <w:rFonts w:eastAsia="Times New Roman" w:cstheme="minorHAnsi"/>
            <w:lang w:eastAsia="en-GB"/>
          </w:rPr>
          <w:t>a</w:t>
        </w:r>
        <w:r w:rsidR="00CD1798" w:rsidRPr="00001F7B">
          <w:rPr>
            <w:rFonts w:eastAsia="Times New Roman" w:cstheme="minorHAnsi"/>
            <w:lang w:eastAsia="en-GB"/>
          </w:rPr>
          <w:t>rt 2 CMR</w:t>
        </w:r>
      </w:hyperlink>
      <w:r w:rsidR="00CD1798" w:rsidRPr="00001F7B">
        <w:rPr>
          <w:rFonts w:eastAsia="Times New Roman" w:cstheme="minorHAnsi"/>
          <w:color w:val="000000"/>
          <w:lang w:eastAsia="en-GB"/>
        </w:rPr>
        <w:t> was drafted and adopted in the second meeting of the special working group for the transport contract. The minutes of this meeting of the Inland Transport Committee on June 6, 1956 show that the text for </w:t>
      </w:r>
      <w:hyperlink r:id="rId4" w:anchor="docid:138487,3" w:tooltip="Art. 2 CMR" w:history="1">
        <w:r w:rsidR="00D22261" w:rsidRPr="00001F7B">
          <w:rPr>
            <w:rFonts w:eastAsia="Times New Roman" w:cstheme="minorHAnsi"/>
            <w:lang w:eastAsia="en-GB"/>
          </w:rPr>
          <w:t>a</w:t>
        </w:r>
        <w:r w:rsidR="00CD1798" w:rsidRPr="00001F7B">
          <w:rPr>
            <w:rFonts w:eastAsia="Times New Roman" w:cstheme="minorHAnsi"/>
            <w:lang w:eastAsia="en-GB"/>
          </w:rPr>
          <w:t>rticle 2 of the CMR was</w:t>
        </w:r>
      </w:hyperlink>
      <w:r w:rsidR="00CD1798" w:rsidRPr="00001F7B">
        <w:rPr>
          <w:rFonts w:eastAsia="Times New Roman" w:cstheme="minorHAnsi"/>
          <w:color w:val="000000"/>
          <w:lang w:eastAsia="en-GB"/>
        </w:rPr>
        <w:t xml:space="preserve"> drafted by the representative of Great Britain during this meeting. The legislative text proposed by Great Britain, which was aimed at exempting road hauliers from liability for damage caused by shipping during sea transport and leaving the liability regime to the law applicable to carrier transport, was rejected by the majority of the states involved. The British delegation then revised its proposal, which subsequently changed the content of the final </w:t>
      </w:r>
      <w:hyperlink r:id="rId5" w:anchor="docid:138487,3" w:tooltip="Art. 2 CMR" w:history="1">
        <w:r w:rsidR="00D22261" w:rsidRPr="00001F7B">
          <w:rPr>
            <w:rFonts w:eastAsia="Times New Roman" w:cstheme="minorHAnsi"/>
            <w:lang w:eastAsia="en-GB"/>
          </w:rPr>
          <w:t>a</w:t>
        </w:r>
        <w:r w:rsidR="00CD1798" w:rsidRPr="00001F7B">
          <w:rPr>
            <w:rFonts w:eastAsia="Times New Roman" w:cstheme="minorHAnsi"/>
            <w:lang w:eastAsia="en-GB"/>
          </w:rPr>
          <w:t>rt 2 CMR</w:t>
        </w:r>
      </w:hyperlink>
      <w:r w:rsidR="00CD1798" w:rsidRPr="00001F7B">
        <w:rPr>
          <w:rFonts w:eastAsia="Times New Roman" w:cstheme="minorHAnsi"/>
          <w:lang w:eastAsia="en-GB"/>
        </w:rPr>
        <w:t> </w:t>
      </w:r>
      <w:r w:rsidR="00CD1798" w:rsidRPr="00001F7B">
        <w:rPr>
          <w:rFonts w:eastAsia="Times New Roman" w:cstheme="minorHAnsi"/>
          <w:color w:val="000000"/>
          <w:lang w:eastAsia="en-GB"/>
        </w:rPr>
        <w:t>received and was accepted by the participants of the conference</w:t>
      </w:r>
      <w:r w:rsidR="00C93086" w:rsidRPr="00001F7B">
        <w:rPr>
          <w:rFonts w:cstheme="minorHAnsi"/>
        </w:rPr>
        <w:t>.</w:t>
      </w:r>
      <w:r w:rsidR="00531895">
        <w:rPr>
          <w:rFonts w:cstheme="minorHAnsi"/>
        </w:rPr>
        <w:t>”</w:t>
      </w:r>
    </w:p>
  </w:footnote>
  <w:footnote w:id="139">
    <w:p w14:paraId="76B65F7F" w14:textId="491E4292" w:rsidR="00661C6C" w:rsidRPr="00001F7B" w:rsidRDefault="00661C6C">
      <w:pPr>
        <w:pStyle w:val="FootnoteText"/>
        <w:rPr>
          <w:rFonts w:cstheme="minorHAnsi"/>
        </w:rPr>
      </w:pPr>
      <w:r w:rsidRPr="00001F7B">
        <w:rPr>
          <w:rStyle w:val="FootnoteReference"/>
          <w:rFonts w:cstheme="minorHAnsi"/>
        </w:rPr>
        <w:footnoteRef/>
      </w:r>
      <w:r w:rsidRPr="00001F7B">
        <w:rPr>
          <w:rFonts w:cstheme="minorHAnsi"/>
        </w:rPr>
        <w:t xml:space="preserve"> 1966</w:t>
      </w:r>
      <w:r w:rsidR="00EB16E4" w:rsidRPr="00001F7B">
        <w:rPr>
          <w:rFonts w:cstheme="minorHAnsi"/>
        </w:rPr>
        <w:t xml:space="preserve"> Commentary, above, </w:t>
      </w:r>
      <w:proofErr w:type="spellStart"/>
      <w:r w:rsidR="00EB16E4" w:rsidRPr="00001F7B">
        <w:rPr>
          <w:rFonts w:cstheme="minorHAnsi"/>
        </w:rPr>
        <w:t>fn</w:t>
      </w:r>
      <w:proofErr w:type="spellEnd"/>
      <w:r w:rsidR="00EB16E4" w:rsidRPr="00001F7B">
        <w:rPr>
          <w:rFonts w:cstheme="minorHAnsi"/>
        </w:rPr>
        <w:t xml:space="preserve"> </w:t>
      </w:r>
      <w:r w:rsidR="00755BAE" w:rsidRPr="00001F7B">
        <w:rPr>
          <w:rFonts w:cstheme="minorHAnsi"/>
        </w:rPr>
        <w:t>38</w:t>
      </w:r>
      <w:r w:rsidR="00EB16E4" w:rsidRPr="00001F7B">
        <w:rPr>
          <w:rFonts w:cstheme="minorHAnsi"/>
        </w:rPr>
        <w:t>,</w:t>
      </w:r>
      <w:r w:rsidRPr="00001F7B">
        <w:rPr>
          <w:rFonts w:cstheme="minorHAnsi"/>
        </w:rPr>
        <w:t xml:space="preserve"> p</w:t>
      </w:r>
      <w:r w:rsidR="00EB16E4" w:rsidRPr="00001F7B">
        <w:rPr>
          <w:rFonts w:cstheme="minorHAnsi"/>
        </w:rPr>
        <w:t xml:space="preserve"> </w:t>
      </w:r>
      <w:r w:rsidRPr="00001F7B">
        <w:rPr>
          <w:rFonts w:cstheme="minorHAnsi"/>
        </w:rPr>
        <w:t xml:space="preserve">221, para 13.  </w:t>
      </w:r>
    </w:p>
  </w:footnote>
  <w:footnote w:id="140">
    <w:p w14:paraId="136723FF" w14:textId="1AC75A37" w:rsidR="00C85A56" w:rsidRPr="00001F7B" w:rsidRDefault="00C85A56">
      <w:pPr>
        <w:pStyle w:val="FootnoteText"/>
        <w:rPr>
          <w:rFonts w:cstheme="minorHAnsi"/>
        </w:rPr>
      </w:pPr>
      <w:r w:rsidRPr="00001F7B">
        <w:rPr>
          <w:rStyle w:val="FootnoteReference"/>
          <w:rFonts w:cstheme="minorHAnsi"/>
        </w:rPr>
        <w:footnoteRef/>
      </w:r>
      <w:r w:rsidRPr="00001F7B">
        <w:rPr>
          <w:rFonts w:cstheme="minorHAnsi"/>
        </w:rPr>
        <w:t xml:space="preserve"> </w:t>
      </w:r>
      <w:r w:rsidR="0078632B" w:rsidRPr="00001F7B">
        <w:rPr>
          <w:rFonts w:cstheme="minorHAnsi"/>
        </w:rPr>
        <w:t xml:space="preserve">1966 </w:t>
      </w:r>
      <w:r w:rsidR="00EB16E4" w:rsidRPr="00001F7B">
        <w:rPr>
          <w:rFonts w:cstheme="minorHAnsi"/>
        </w:rPr>
        <w:t xml:space="preserve">Commentary, above, </w:t>
      </w:r>
      <w:proofErr w:type="spellStart"/>
      <w:r w:rsidR="00EB16E4" w:rsidRPr="00001F7B">
        <w:rPr>
          <w:rFonts w:cstheme="minorHAnsi"/>
        </w:rPr>
        <w:t>fn</w:t>
      </w:r>
      <w:proofErr w:type="spellEnd"/>
      <w:r w:rsidR="00EB16E4" w:rsidRPr="00001F7B">
        <w:rPr>
          <w:rFonts w:cstheme="minorHAnsi"/>
        </w:rPr>
        <w:t xml:space="preserve"> </w:t>
      </w:r>
      <w:r w:rsidR="00755BAE" w:rsidRPr="00001F7B">
        <w:rPr>
          <w:rFonts w:cstheme="minorHAnsi"/>
        </w:rPr>
        <w:t>38</w:t>
      </w:r>
      <w:r w:rsidR="00EB16E4" w:rsidRPr="00001F7B">
        <w:rPr>
          <w:rFonts w:cstheme="minorHAnsi"/>
        </w:rPr>
        <w:t xml:space="preserve">, </w:t>
      </w:r>
      <w:r w:rsidR="0078632B" w:rsidRPr="00001F7B">
        <w:rPr>
          <w:rFonts w:cstheme="minorHAnsi"/>
        </w:rPr>
        <w:t>p</w:t>
      </w:r>
      <w:r w:rsidR="00EB16E4" w:rsidRPr="00001F7B">
        <w:rPr>
          <w:rFonts w:cstheme="minorHAnsi"/>
        </w:rPr>
        <w:t xml:space="preserve"> </w:t>
      </w:r>
      <w:r w:rsidR="0078632B" w:rsidRPr="00001F7B">
        <w:rPr>
          <w:rFonts w:cstheme="minorHAnsi"/>
        </w:rPr>
        <w:t>2</w:t>
      </w:r>
      <w:r w:rsidR="00EB16E4" w:rsidRPr="00001F7B">
        <w:rPr>
          <w:rFonts w:cstheme="minorHAnsi"/>
        </w:rPr>
        <w:t>2</w:t>
      </w:r>
      <w:r w:rsidR="0078632B" w:rsidRPr="00001F7B">
        <w:rPr>
          <w:rFonts w:cstheme="minorHAnsi"/>
        </w:rPr>
        <w:t>2</w:t>
      </w:r>
      <w:r w:rsidR="00EB16E4" w:rsidRPr="00001F7B">
        <w:rPr>
          <w:rFonts w:cstheme="minorHAnsi"/>
        </w:rPr>
        <w:t>,</w:t>
      </w:r>
      <w:r w:rsidR="0078632B" w:rsidRPr="00001F7B">
        <w:rPr>
          <w:rFonts w:cstheme="minorHAnsi"/>
        </w:rPr>
        <w:t xml:space="preserve"> para</w:t>
      </w:r>
      <w:r w:rsidR="00EB16E4" w:rsidRPr="00001F7B">
        <w:rPr>
          <w:rFonts w:cstheme="minorHAnsi"/>
        </w:rPr>
        <w:t xml:space="preserve"> </w:t>
      </w:r>
      <w:r w:rsidR="0078632B" w:rsidRPr="00001F7B">
        <w:rPr>
          <w:rFonts w:cstheme="minorHAnsi"/>
        </w:rPr>
        <w:t>15</w:t>
      </w:r>
      <w:r w:rsidR="00EA2D1F" w:rsidRPr="00001F7B">
        <w:rPr>
          <w:rFonts w:cstheme="minorHAnsi"/>
        </w:rPr>
        <w:t xml:space="preserve"> The</w:t>
      </w:r>
      <w:r w:rsidR="00ED7263" w:rsidRPr="00001F7B">
        <w:rPr>
          <w:rFonts w:cstheme="minorHAnsi"/>
        </w:rPr>
        <w:t>y</w:t>
      </w:r>
      <w:r w:rsidR="00EA2D1F" w:rsidRPr="00001F7B">
        <w:rPr>
          <w:rFonts w:cstheme="minorHAnsi"/>
        </w:rPr>
        <w:t xml:space="preserve"> state anyhow that its value varies depending on how far it shows a common understanding of meaning.</w:t>
      </w:r>
    </w:p>
  </w:footnote>
  <w:footnote w:id="141">
    <w:p w14:paraId="2B43220F" w14:textId="03C3EE63" w:rsidR="00FC307F" w:rsidRPr="00001F7B" w:rsidRDefault="00FC307F">
      <w:pPr>
        <w:pStyle w:val="FootnoteText"/>
        <w:rPr>
          <w:rFonts w:cstheme="minorHAnsi"/>
        </w:rPr>
      </w:pPr>
      <w:r w:rsidRPr="00001F7B">
        <w:rPr>
          <w:rStyle w:val="FootnoteReference"/>
          <w:rFonts w:cstheme="minorHAnsi"/>
        </w:rPr>
        <w:footnoteRef/>
      </w:r>
      <w:r w:rsidRPr="00001F7B">
        <w:rPr>
          <w:rFonts w:cstheme="minorHAnsi"/>
          <w:lang w:val="fr-FR"/>
        </w:rPr>
        <w:t xml:space="preserve"> Nolte,</w:t>
      </w:r>
      <w:r w:rsidR="00E71460" w:rsidRPr="00001F7B">
        <w:rPr>
          <w:rFonts w:cstheme="minorHAnsi"/>
          <w:lang w:val="fr-FR"/>
        </w:rPr>
        <w:t xml:space="preserve"> </w:t>
      </w:r>
      <w:proofErr w:type="spellStart"/>
      <w:r w:rsidR="00A276B5" w:rsidRPr="00001F7B">
        <w:rPr>
          <w:rFonts w:cstheme="minorHAnsi"/>
          <w:lang w:val="fr-FR"/>
        </w:rPr>
        <w:t>above</w:t>
      </w:r>
      <w:proofErr w:type="spellEnd"/>
      <w:r w:rsidR="00A276B5" w:rsidRPr="00001F7B">
        <w:rPr>
          <w:rFonts w:cstheme="minorHAnsi"/>
          <w:lang w:val="fr-FR"/>
        </w:rPr>
        <w:t xml:space="preserve">, </w:t>
      </w:r>
      <w:proofErr w:type="spellStart"/>
      <w:r w:rsidR="00A276B5" w:rsidRPr="00001F7B">
        <w:rPr>
          <w:rFonts w:cstheme="minorHAnsi"/>
          <w:lang w:val="fr-FR"/>
        </w:rPr>
        <w:t>fn</w:t>
      </w:r>
      <w:proofErr w:type="spellEnd"/>
      <w:r w:rsidR="00A276B5" w:rsidRPr="00001F7B">
        <w:rPr>
          <w:rFonts w:cstheme="minorHAnsi"/>
          <w:lang w:val="fr-FR"/>
        </w:rPr>
        <w:t xml:space="preserve"> 6, </w:t>
      </w:r>
      <w:r w:rsidR="000E0E5E" w:rsidRPr="00001F7B">
        <w:rPr>
          <w:rFonts w:cstheme="minorHAnsi"/>
          <w:lang w:val="fr-FR"/>
        </w:rPr>
        <w:t xml:space="preserve">7.3.16, A/CN.4/694, </w:t>
      </w:r>
      <w:r w:rsidR="00603FC5" w:rsidRPr="00001F7B">
        <w:rPr>
          <w:rFonts w:cstheme="minorHAnsi"/>
          <w:lang w:val="fr-FR"/>
        </w:rPr>
        <w:t>part 3</w:t>
      </w:r>
      <w:r w:rsidR="000E0E5E" w:rsidRPr="00001F7B">
        <w:rPr>
          <w:rFonts w:cstheme="minorHAnsi"/>
          <w:lang w:val="fr-FR"/>
        </w:rPr>
        <w:t>,</w:t>
      </w:r>
      <w:r w:rsidR="00603FC5" w:rsidRPr="00001F7B">
        <w:rPr>
          <w:rFonts w:cstheme="minorHAnsi"/>
          <w:lang w:val="fr-FR"/>
        </w:rPr>
        <w:t xml:space="preserve"> para 95 </w:t>
      </w:r>
      <w:r w:rsidR="00603FC5" w:rsidRPr="00001F7B">
        <w:rPr>
          <w:rFonts w:cstheme="minorHAnsi"/>
          <w:i/>
          <w:iCs/>
          <w:lang w:val="fr-FR"/>
        </w:rPr>
        <w:t xml:space="preserve">et </w:t>
      </w:r>
      <w:proofErr w:type="spellStart"/>
      <w:r w:rsidR="00603FC5" w:rsidRPr="00001F7B">
        <w:rPr>
          <w:rFonts w:cstheme="minorHAnsi"/>
          <w:i/>
          <w:iCs/>
          <w:lang w:val="fr-FR"/>
        </w:rPr>
        <w:t>seq</w:t>
      </w:r>
      <w:proofErr w:type="spellEnd"/>
      <w:r w:rsidR="00603FC5" w:rsidRPr="00001F7B">
        <w:rPr>
          <w:rFonts w:cstheme="minorHAnsi"/>
          <w:lang w:val="fr-FR"/>
        </w:rPr>
        <w:t>.</w:t>
      </w:r>
      <w:r w:rsidR="007D2038" w:rsidRPr="00001F7B">
        <w:rPr>
          <w:rFonts w:cstheme="minorHAnsi"/>
          <w:lang w:val="fr-FR"/>
        </w:rPr>
        <w:t xml:space="preserve"> </w:t>
      </w:r>
      <w:r w:rsidR="00D111E4" w:rsidRPr="00001F7B">
        <w:rPr>
          <w:rFonts w:cstheme="minorHAnsi"/>
        </w:rPr>
        <w:t>N</w:t>
      </w:r>
      <w:r w:rsidR="00433945" w:rsidRPr="00001F7B">
        <w:rPr>
          <w:rFonts w:cstheme="minorHAnsi"/>
        </w:rPr>
        <w:t>ote para 104</w:t>
      </w:r>
      <w:r w:rsidR="009D204D" w:rsidRPr="00001F7B">
        <w:rPr>
          <w:rFonts w:cstheme="minorHAnsi"/>
        </w:rPr>
        <w:t>:</w:t>
      </w:r>
      <w:r w:rsidR="00433945" w:rsidRPr="00001F7B">
        <w:rPr>
          <w:rFonts w:cstheme="minorHAnsi"/>
        </w:rPr>
        <w:t xml:space="preserve"> </w:t>
      </w:r>
      <w:r w:rsidR="009D204D" w:rsidRPr="00001F7B">
        <w:rPr>
          <w:rFonts w:cstheme="minorHAnsi"/>
        </w:rPr>
        <w:t>“</w:t>
      </w:r>
      <w:r w:rsidR="00433945" w:rsidRPr="00001F7B">
        <w:rPr>
          <w:rFonts w:cstheme="minorHAnsi"/>
        </w:rPr>
        <w:t>It is a more serious concern that domestic courts often do not distinguish clearly between subsequent agreements and subsequent practice under article 31</w:t>
      </w:r>
      <w:r w:rsidR="00D111E4" w:rsidRPr="00001F7B">
        <w:rPr>
          <w:rFonts w:cstheme="minorHAnsi"/>
        </w:rPr>
        <w:t>.</w:t>
      </w:r>
      <w:r w:rsidR="00433945" w:rsidRPr="00001F7B">
        <w:rPr>
          <w:rFonts w:cstheme="minorHAnsi"/>
        </w:rPr>
        <w:t>3 (which requires agreement between the parties regarding the interpretation of a treaty), and other subsequent practice under article 32 (which does not require such agreement). The lack of distinction is not relevant when it only concerns the order in which a court considers different means of interpretation. It does matter, however, when courts invoke article 31</w:t>
      </w:r>
      <w:r w:rsidR="00AE74D0" w:rsidRPr="00001F7B">
        <w:rPr>
          <w:rFonts w:cstheme="minorHAnsi"/>
        </w:rPr>
        <w:t>.3</w:t>
      </w:r>
      <w:r w:rsidR="00433945" w:rsidRPr="00001F7B">
        <w:rPr>
          <w:rFonts w:cstheme="minorHAnsi"/>
        </w:rPr>
        <w:t xml:space="preserve"> (b) without ascertaining whether the parties are actually in agreement regarding a particular interpretation.</w:t>
      </w:r>
      <w:r w:rsidR="009D204D" w:rsidRPr="00001F7B">
        <w:rPr>
          <w:rFonts w:cstheme="minorHAnsi"/>
        </w:rPr>
        <w:t xml:space="preserve">” </w:t>
      </w:r>
      <w:r w:rsidR="00433945" w:rsidRPr="00001F7B">
        <w:rPr>
          <w:rFonts w:cstheme="minorHAnsi"/>
        </w:rPr>
        <w:t xml:space="preserve">See </w:t>
      </w:r>
      <w:r w:rsidR="00D96C31" w:rsidRPr="00001F7B">
        <w:rPr>
          <w:rFonts w:cstheme="minorHAnsi"/>
        </w:rPr>
        <w:t xml:space="preserve">also the </w:t>
      </w:r>
      <w:r w:rsidR="00433945" w:rsidRPr="00001F7B">
        <w:rPr>
          <w:rFonts w:cstheme="minorHAnsi"/>
        </w:rPr>
        <w:t xml:space="preserve">next paras up to </w:t>
      </w:r>
      <w:r w:rsidR="005F282B" w:rsidRPr="00001F7B">
        <w:rPr>
          <w:rFonts w:cstheme="minorHAnsi"/>
        </w:rPr>
        <w:t>1</w:t>
      </w:r>
      <w:r w:rsidR="00D96C31" w:rsidRPr="00001F7B">
        <w:rPr>
          <w:rFonts w:cstheme="minorHAnsi"/>
        </w:rPr>
        <w:t>09, especially paras 108-</w:t>
      </w:r>
      <w:r w:rsidR="00FD6FC1" w:rsidRPr="00001F7B">
        <w:rPr>
          <w:rFonts w:cstheme="minorHAnsi"/>
        </w:rPr>
        <w:t>10</w:t>
      </w:r>
      <w:r w:rsidR="00D96C31" w:rsidRPr="00001F7B">
        <w:rPr>
          <w:rFonts w:cstheme="minorHAnsi"/>
        </w:rPr>
        <w:t>9 which considers the appropriate use of foreign decisions</w:t>
      </w:r>
      <w:r w:rsidR="005F282B" w:rsidRPr="00001F7B">
        <w:rPr>
          <w:rFonts w:cstheme="minorHAnsi"/>
        </w:rPr>
        <w:t>.</w:t>
      </w:r>
      <w:r w:rsidR="00615E11" w:rsidRPr="00001F7B">
        <w:rPr>
          <w:rFonts w:cstheme="minorHAnsi"/>
        </w:rPr>
        <w:t xml:space="preserve"> This warns against being overly selective, disregarding countervailing practice or not being representative or </w:t>
      </w:r>
      <w:r w:rsidR="00A10A9F" w:rsidRPr="00001F7B">
        <w:rPr>
          <w:rFonts w:cstheme="minorHAnsi"/>
        </w:rPr>
        <w:t>selecting only the courts of an individual state or group of them.</w:t>
      </w:r>
      <w:r w:rsidR="00615E11" w:rsidRPr="00001F7B">
        <w:rPr>
          <w:rFonts w:cstheme="minorHAnsi"/>
        </w:rPr>
        <w:t xml:space="preserve"> </w:t>
      </w:r>
      <w:r w:rsidR="00A10A9F" w:rsidRPr="00001F7B">
        <w:rPr>
          <w:rFonts w:cstheme="minorHAnsi"/>
        </w:rPr>
        <w:t>More weight should be given to the decisions of higher courts.</w:t>
      </w:r>
    </w:p>
  </w:footnote>
  <w:footnote w:id="142">
    <w:p w14:paraId="427DD5F2" w14:textId="7F6EC948" w:rsidR="00766900" w:rsidRPr="00001F7B" w:rsidRDefault="00766900" w:rsidP="0071136A">
      <w:pPr>
        <w:pStyle w:val="NoSpacing"/>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Gardiner,</w:t>
      </w:r>
      <w:r w:rsidR="00FD6FC1" w:rsidRPr="00001F7B">
        <w:rPr>
          <w:rFonts w:cstheme="minorHAnsi"/>
          <w:sz w:val="20"/>
          <w:szCs w:val="20"/>
        </w:rPr>
        <w:t xml:space="preserve"> above, </w:t>
      </w:r>
      <w:proofErr w:type="spellStart"/>
      <w:r w:rsidR="00FD6FC1" w:rsidRPr="00001F7B">
        <w:rPr>
          <w:rFonts w:cstheme="minorHAnsi"/>
          <w:sz w:val="20"/>
          <w:szCs w:val="20"/>
        </w:rPr>
        <w:t>fn</w:t>
      </w:r>
      <w:proofErr w:type="spellEnd"/>
      <w:r w:rsidR="00FD6FC1" w:rsidRPr="00001F7B">
        <w:rPr>
          <w:rFonts w:cstheme="minorHAnsi"/>
          <w:sz w:val="20"/>
          <w:szCs w:val="20"/>
        </w:rPr>
        <w:t xml:space="preserve"> </w:t>
      </w:r>
      <w:r w:rsidR="00703197" w:rsidRPr="00001F7B">
        <w:rPr>
          <w:rFonts w:cstheme="minorHAnsi"/>
          <w:sz w:val="20"/>
          <w:szCs w:val="20"/>
        </w:rPr>
        <w:t>5</w:t>
      </w:r>
      <w:r w:rsidR="00FD6FC1" w:rsidRPr="00001F7B">
        <w:rPr>
          <w:rFonts w:cstheme="minorHAnsi"/>
          <w:sz w:val="20"/>
          <w:szCs w:val="20"/>
        </w:rPr>
        <w:t>,</w:t>
      </w:r>
      <w:r w:rsidRPr="00001F7B">
        <w:rPr>
          <w:rFonts w:cstheme="minorHAnsi"/>
          <w:sz w:val="20"/>
          <w:szCs w:val="20"/>
        </w:rPr>
        <w:t xml:space="preserve"> p</w:t>
      </w:r>
      <w:r w:rsidR="00FD6FC1" w:rsidRPr="00001F7B">
        <w:rPr>
          <w:rFonts w:cstheme="minorHAnsi"/>
          <w:sz w:val="20"/>
          <w:szCs w:val="20"/>
        </w:rPr>
        <w:t xml:space="preserve"> </w:t>
      </w:r>
      <w:r w:rsidR="0034779D" w:rsidRPr="00001F7B">
        <w:rPr>
          <w:rFonts w:cstheme="minorHAnsi"/>
          <w:sz w:val="20"/>
          <w:szCs w:val="20"/>
        </w:rPr>
        <w:t>258</w:t>
      </w:r>
      <w:r w:rsidR="000E4E9C" w:rsidRPr="00001F7B">
        <w:rPr>
          <w:rFonts w:cstheme="minorHAnsi"/>
          <w:sz w:val="20"/>
          <w:szCs w:val="20"/>
        </w:rPr>
        <w:t xml:space="preserve">, cf., the International Law Commission, Report of the Sixty-fifth session (2013), </w:t>
      </w:r>
      <w:r w:rsidR="00520637" w:rsidRPr="00001F7B">
        <w:rPr>
          <w:rFonts w:cstheme="minorHAnsi"/>
          <w:sz w:val="20"/>
          <w:szCs w:val="20"/>
        </w:rPr>
        <w:t>C</w:t>
      </w:r>
      <w:r w:rsidR="00703197" w:rsidRPr="00001F7B">
        <w:rPr>
          <w:rFonts w:cstheme="minorHAnsi"/>
          <w:sz w:val="20"/>
          <w:szCs w:val="20"/>
        </w:rPr>
        <w:t xml:space="preserve">h IV, </w:t>
      </w:r>
      <w:r w:rsidR="000E4E9C" w:rsidRPr="00001F7B">
        <w:rPr>
          <w:rFonts w:cstheme="minorHAnsi"/>
          <w:sz w:val="20"/>
          <w:szCs w:val="20"/>
        </w:rPr>
        <w:t>p</w:t>
      </w:r>
      <w:r w:rsidR="00FD6FC1" w:rsidRPr="00001F7B">
        <w:rPr>
          <w:rFonts w:cstheme="minorHAnsi"/>
          <w:sz w:val="20"/>
          <w:szCs w:val="20"/>
        </w:rPr>
        <w:t xml:space="preserve"> </w:t>
      </w:r>
      <w:r w:rsidR="007E6087" w:rsidRPr="00001F7B">
        <w:rPr>
          <w:rFonts w:cstheme="minorHAnsi"/>
          <w:sz w:val="20"/>
          <w:szCs w:val="20"/>
        </w:rPr>
        <w:t>31, para</w:t>
      </w:r>
      <w:r w:rsidR="00FD6FC1" w:rsidRPr="00001F7B">
        <w:rPr>
          <w:rFonts w:cstheme="minorHAnsi"/>
          <w:sz w:val="20"/>
          <w:szCs w:val="20"/>
        </w:rPr>
        <w:t xml:space="preserve"> </w:t>
      </w:r>
      <w:r w:rsidR="007E6087" w:rsidRPr="00001F7B">
        <w:rPr>
          <w:rFonts w:cstheme="minorHAnsi"/>
          <w:sz w:val="20"/>
          <w:szCs w:val="20"/>
        </w:rPr>
        <w:t>21.</w:t>
      </w:r>
    </w:p>
  </w:footnote>
  <w:footnote w:id="143">
    <w:p w14:paraId="2B096A6D" w14:textId="23CE8F41" w:rsidR="00FC307F" w:rsidRPr="00001F7B" w:rsidRDefault="00FC307F">
      <w:pPr>
        <w:pStyle w:val="FootnoteText"/>
        <w:rPr>
          <w:rFonts w:cstheme="minorHAnsi"/>
        </w:rPr>
      </w:pPr>
      <w:r w:rsidRPr="00001F7B">
        <w:rPr>
          <w:rStyle w:val="FootnoteReference"/>
          <w:rFonts w:cstheme="minorHAnsi"/>
        </w:rPr>
        <w:footnoteRef/>
      </w:r>
      <w:r w:rsidRPr="00001F7B">
        <w:rPr>
          <w:rFonts w:cstheme="minorHAnsi"/>
        </w:rPr>
        <w:t xml:space="preserve"> The ILC has recognised that decisions of domestic courts can count as conduct in the application of the treaty for this purpose, Report of the Sixty-fifth session</w:t>
      </w:r>
      <w:r w:rsidR="00703197" w:rsidRPr="00001F7B">
        <w:rPr>
          <w:rFonts w:cstheme="minorHAnsi"/>
        </w:rPr>
        <w:t xml:space="preserve">, </w:t>
      </w:r>
      <w:r w:rsidR="001868D0" w:rsidRPr="00001F7B">
        <w:rPr>
          <w:rFonts w:cstheme="minorHAnsi"/>
        </w:rPr>
        <w:t xml:space="preserve">above, </w:t>
      </w:r>
      <w:proofErr w:type="spellStart"/>
      <w:r w:rsidR="001868D0" w:rsidRPr="00001F7B">
        <w:rPr>
          <w:rFonts w:cstheme="minorHAnsi"/>
        </w:rPr>
        <w:t>fn</w:t>
      </w:r>
      <w:proofErr w:type="spellEnd"/>
      <w:r w:rsidR="001868D0" w:rsidRPr="00001F7B">
        <w:rPr>
          <w:rFonts w:cstheme="minorHAnsi"/>
        </w:rPr>
        <w:t xml:space="preserve"> 14</w:t>
      </w:r>
      <w:r w:rsidR="00520637" w:rsidRPr="00001F7B">
        <w:rPr>
          <w:rFonts w:cstheme="minorHAnsi"/>
        </w:rPr>
        <w:t>1</w:t>
      </w:r>
      <w:r w:rsidR="001868D0" w:rsidRPr="00001F7B">
        <w:rPr>
          <w:rFonts w:cstheme="minorHAnsi"/>
        </w:rPr>
        <w:t>,</w:t>
      </w:r>
      <w:r w:rsidRPr="00001F7B">
        <w:rPr>
          <w:rFonts w:cstheme="minorHAnsi"/>
        </w:rPr>
        <w:t xml:space="preserve"> p</w:t>
      </w:r>
      <w:r w:rsidR="0071136A" w:rsidRPr="00001F7B">
        <w:rPr>
          <w:rFonts w:cstheme="minorHAnsi"/>
        </w:rPr>
        <w:t xml:space="preserve"> </w:t>
      </w:r>
      <w:r w:rsidR="000E4E9C" w:rsidRPr="00001F7B">
        <w:rPr>
          <w:rFonts w:cstheme="minorHAnsi"/>
        </w:rPr>
        <w:t>30</w:t>
      </w:r>
      <w:r w:rsidRPr="00001F7B">
        <w:rPr>
          <w:rFonts w:cstheme="minorHAnsi"/>
        </w:rPr>
        <w:t>, para</w:t>
      </w:r>
      <w:r w:rsidR="00FD6FC1" w:rsidRPr="00001F7B">
        <w:rPr>
          <w:rFonts w:cstheme="minorHAnsi"/>
        </w:rPr>
        <w:t xml:space="preserve"> </w:t>
      </w:r>
      <w:r w:rsidRPr="00001F7B">
        <w:rPr>
          <w:rFonts w:cstheme="minorHAnsi"/>
        </w:rPr>
        <w:t>17.</w:t>
      </w:r>
    </w:p>
  </w:footnote>
  <w:footnote w:id="144">
    <w:p w14:paraId="0F0C6851" w14:textId="7B6AC5A4" w:rsidR="00985022" w:rsidRPr="00001F7B" w:rsidRDefault="00985022">
      <w:pPr>
        <w:pStyle w:val="FootnoteText"/>
        <w:rPr>
          <w:rFonts w:cstheme="minorHAnsi"/>
        </w:rPr>
      </w:pPr>
      <w:r w:rsidRPr="00001F7B">
        <w:rPr>
          <w:rStyle w:val="FootnoteReference"/>
          <w:rFonts w:cstheme="minorHAnsi"/>
        </w:rPr>
        <w:footnoteRef/>
      </w:r>
      <w:r w:rsidRPr="00001F7B">
        <w:rPr>
          <w:rFonts w:cstheme="minorHAnsi"/>
        </w:rPr>
        <w:t xml:space="preserve"> 1966 </w:t>
      </w:r>
      <w:r w:rsidR="0076431E" w:rsidRPr="00001F7B">
        <w:rPr>
          <w:rFonts w:cstheme="minorHAnsi"/>
        </w:rPr>
        <w:t>Commentary</w:t>
      </w:r>
      <w:r w:rsidR="001868D0" w:rsidRPr="00001F7B">
        <w:rPr>
          <w:rFonts w:cstheme="minorHAnsi"/>
        </w:rPr>
        <w:t xml:space="preserve">, above, </w:t>
      </w:r>
      <w:proofErr w:type="spellStart"/>
      <w:r w:rsidR="001868D0" w:rsidRPr="00001F7B">
        <w:rPr>
          <w:rFonts w:cstheme="minorHAnsi"/>
        </w:rPr>
        <w:t>fn</w:t>
      </w:r>
      <w:proofErr w:type="spellEnd"/>
      <w:r w:rsidR="001868D0" w:rsidRPr="00001F7B">
        <w:rPr>
          <w:rFonts w:cstheme="minorHAnsi"/>
        </w:rPr>
        <w:t xml:space="preserve"> 38,</w:t>
      </w:r>
      <w:r w:rsidR="0076431E" w:rsidRPr="00001F7B">
        <w:rPr>
          <w:rFonts w:cstheme="minorHAnsi"/>
        </w:rPr>
        <w:t xml:space="preserve"> </w:t>
      </w:r>
      <w:r w:rsidRPr="00001F7B">
        <w:rPr>
          <w:rFonts w:cstheme="minorHAnsi"/>
        </w:rPr>
        <w:t>p 222, para</w:t>
      </w:r>
      <w:r w:rsidR="0076431E" w:rsidRPr="00001F7B">
        <w:rPr>
          <w:rFonts w:cstheme="minorHAnsi"/>
        </w:rPr>
        <w:t xml:space="preserve"> </w:t>
      </w:r>
      <w:r w:rsidRPr="00001F7B">
        <w:rPr>
          <w:rFonts w:cstheme="minorHAnsi"/>
        </w:rPr>
        <w:t>15.</w:t>
      </w:r>
    </w:p>
  </w:footnote>
  <w:footnote w:id="145">
    <w:p w14:paraId="5ADD9302" w14:textId="06E2F4E3" w:rsidR="001B0FC2" w:rsidRPr="00001F7B" w:rsidRDefault="001B0FC2">
      <w:pPr>
        <w:pStyle w:val="FootnoteText"/>
        <w:rPr>
          <w:rFonts w:cstheme="minorHAnsi"/>
        </w:rPr>
      </w:pPr>
      <w:r w:rsidRPr="00001F7B">
        <w:rPr>
          <w:rStyle w:val="FootnoteReference"/>
          <w:rFonts w:cstheme="minorHAnsi"/>
        </w:rPr>
        <w:footnoteRef/>
      </w:r>
      <w:r w:rsidRPr="00001F7B">
        <w:rPr>
          <w:rFonts w:cstheme="minorHAnsi"/>
        </w:rPr>
        <w:t xml:space="preserve"> Given that until the same issue arises in a court it can hardly be said that it demonstrates assent to the relevant interpretation. </w:t>
      </w:r>
    </w:p>
  </w:footnote>
  <w:footnote w:id="146">
    <w:p w14:paraId="14790C0F" w14:textId="10703E39" w:rsidR="001B0FC2" w:rsidRPr="00001F7B" w:rsidRDefault="001B0FC2">
      <w:pPr>
        <w:pStyle w:val="FootnoteText"/>
        <w:rPr>
          <w:rFonts w:cstheme="minorHAnsi"/>
        </w:rPr>
      </w:pPr>
      <w:r w:rsidRPr="00001F7B">
        <w:rPr>
          <w:rStyle w:val="FootnoteReference"/>
          <w:rFonts w:cstheme="minorHAnsi"/>
        </w:rPr>
        <w:footnoteRef/>
      </w:r>
      <w:r w:rsidRPr="00001F7B">
        <w:rPr>
          <w:rFonts w:cstheme="minorHAnsi"/>
        </w:rPr>
        <w:t xml:space="preserve"> </w:t>
      </w:r>
      <w:r w:rsidR="00487D7D" w:rsidRPr="00001F7B">
        <w:rPr>
          <w:rFonts w:cstheme="minorHAnsi"/>
        </w:rPr>
        <w:t xml:space="preserve">Thus </w:t>
      </w:r>
      <w:r w:rsidR="00520637" w:rsidRPr="00001F7B">
        <w:rPr>
          <w:rFonts w:cstheme="minorHAnsi"/>
        </w:rPr>
        <w:t xml:space="preserve">qualifying the statement made by </w:t>
      </w:r>
      <w:r w:rsidR="00487D7D" w:rsidRPr="00001F7B">
        <w:rPr>
          <w:rFonts w:cstheme="minorHAnsi"/>
        </w:rPr>
        <w:t xml:space="preserve">Roth and </w:t>
      </w:r>
      <w:proofErr w:type="spellStart"/>
      <w:r w:rsidR="00487D7D" w:rsidRPr="00001F7B">
        <w:rPr>
          <w:rFonts w:cstheme="minorHAnsi"/>
        </w:rPr>
        <w:t>Happ</w:t>
      </w:r>
      <w:proofErr w:type="spellEnd"/>
      <w:r w:rsidR="00520637" w:rsidRPr="00001F7B">
        <w:rPr>
          <w:rFonts w:cstheme="minorHAnsi"/>
        </w:rPr>
        <w:t xml:space="preserve">, </w:t>
      </w:r>
      <w:r w:rsidR="007B6F82" w:rsidRPr="00001F7B">
        <w:rPr>
          <w:rFonts w:cstheme="minorHAnsi"/>
        </w:rPr>
        <w:t>see</w:t>
      </w:r>
      <w:r w:rsidR="00487D7D" w:rsidRPr="00001F7B">
        <w:rPr>
          <w:rFonts w:cstheme="minorHAnsi"/>
        </w:rPr>
        <w:t xml:space="preserve"> above</w:t>
      </w:r>
      <w:r w:rsidR="0076431E" w:rsidRPr="00001F7B">
        <w:rPr>
          <w:rFonts w:cstheme="minorHAnsi"/>
        </w:rPr>
        <w:t xml:space="preserve">, </w:t>
      </w:r>
      <w:r w:rsidR="007B6F82" w:rsidRPr="00001F7B">
        <w:rPr>
          <w:rFonts w:cstheme="minorHAnsi"/>
        </w:rPr>
        <w:t xml:space="preserve">text to </w:t>
      </w:r>
      <w:proofErr w:type="spellStart"/>
      <w:r w:rsidR="0076431E" w:rsidRPr="00001F7B">
        <w:rPr>
          <w:rFonts w:cstheme="minorHAnsi"/>
        </w:rPr>
        <w:t>fn</w:t>
      </w:r>
      <w:proofErr w:type="spellEnd"/>
      <w:r w:rsidR="0076431E" w:rsidRPr="00001F7B">
        <w:rPr>
          <w:rFonts w:cstheme="minorHAnsi"/>
        </w:rPr>
        <w:t xml:space="preserve"> </w:t>
      </w:r>
      <w:r w:rsidR="007B6F82" w:rsidRPr="00001F7B">
        <w:rPr>
          <w:rFonts w:cstheme="minorHAnsi"/>
        </w:rPr>
        <w:t>25</w:t>
      </w:r>
      <w:r w:rsidR="00487D7D" w:rsidRPr="00001F7B">
        <w:rPr>
          <w:rFonts w:cstheme="minorHAnsi"/>
        </w:rPr>
        <w:t>.</w:t>
      </w:r>
    </w:p>
  </w:footnote>
  <w:footnote w:id="147">
    <w:p w14:paraId="337E6180" w14:textId="15B2ED0A" w:rsidR="00C94BD0" w:rsidRPr="00001F7B" w:rsidRDefault="00C94BD0">
      <w:pPr>
        <w:pStyle w:val="FootnoteText"/>
        <w:rPr>
          <w:rFonts w:cstheme="minorHAnsi"/>
        </w:rPr>
      </w:pPr>
      <w:r w:rsidRPr="00001F7B">
        <w:rPr>
          <w:rStyle w:val="FootnoteReference"/>
          <w:rFonts w:cstheme="minorHAnsi"/>
        </w:rPr>
        <w:footnoteRef/>
      </w:r>
      <w:r w:rsidRPr="00001F7B">
        <w:rPr>
          <w:rFonts w:cstheme="minorHAnsi"/>
        </w:rPr>
        <w:t xml:space="preserve"> ILC, above </w:t>
      </w:r>
      <w:proofErr w:type="spellStart"/>
      <w:r w:rsidR="001868D0" w:rsidRPr="00001F7B">
        <w:rPr>
          <w:rFonts w:cstheme="minorHAnsi"/>
        </w:rPr>
        <w:t>f</w:t>
      </w:r>
      <w:r w:rsidRPr="00001F7B">
        <w:rPr>
          <w:rFonts w:cstheme="minorHAnsi"/>
        </w:rPr>
        <w:t>n</w:t>
      </w:r>
      <w:proofErr w:type="spellEnd"/>
      <w:r w:rsidR="001868D0" w:rsidRPr="00001F7B">
        <w:rPr>
          <w:rFonts w:cstheme="minorHAnsi"/>
        </w:rPr>
        <w:t xml:space="preserve"> 14</w:t>
      </w:r>
      <w:r w:rsidR="00520637" w:rsidRPr="00001F7B">
        <w:rPr>
          <w:rFonts w:cstheme="minorHAnsi"/>
        </w:rPr>
        <w:t>1</w:t>
      </w:r>
      <w:r w:rsidR="00947CE5" w:rsidRPr="00001F7B">
        <w:rPr>
          <w:rFonts w:cstheme="minorHAnsi"/>
        </w:rPr>
        <w:t>, p</w:t>
      </w:r>
      <w:r w:rsidR="00DF2DFA" w:rsidRPr="00001F7B">
        <w:rPr>
          <w:rFonts w:cstheme="minorHAnsi"/>
        </w:rPr>
        <w:t xml:space="preserve"> </w:t>
      </w:r>
      <w:r w:rsidR="00947CE5" w:rsidRPr="00001F7B">
        <w:rPr>
          <w:rFonts w:cstheme="minorHAnsi"/>
        </w:rPr>
        <w:t>33, paras</w:t>
      </w:r>
      <w:r w:rsidR="00DF2DFA" w:rsidRPr="00001F7B">
        <w:rPr>
          <w:rFonts w:cstheme="minorHAnsi"/>
        </w:rPr>
        <w:t xml:space="preserve"> </w:t>
      </w:r>
      <w:r w:rsidR="00947CE5" w:rsidRPr="00001F7B">
        <w:rPr>
          <w:rFonts w:cstheme="minorHAnsi"/>
        </w:rPr>
        <w:t>34-35</w:t>
      </w:r>
    </w:p>
  </w:footnote>
  <w:footnote w:id="148">
    <w:p w14:paraId="45A35172" w14:textId="7E328C00" w:rsidR="00DF2DFA" w:rsidRPr="00001F7B" w:rsidRDefault="00DF2DFA" w:rsidP="00460E72">
      <w:pPr>
        <w:pStyle w:val="FootnoteText"/>
        <w:rPr>
          <w:rFonts w:cstheme="minorHAnsi"/>
        </w:rPr>
      </w:pPr>
      <w:r w:rsidRPr="00001F7B">
        <w:rPr>
          <w:rStyle w:val="FootnoteReference"/>
          <w:rFonts w:cstheme="minorHAnsi"/>
        </w:rPr>
        <w:footnoteRef/>
      </w:r>
      <w:r w:rsidRPr="00001F7B">
        <w:rPr>
          <w:rFonts w:cstheme="minorHAnsi"/>
        </w:rPr>
        <w:t xml:space="preserve"> </w:t>
      </w:r>
      <w:r w:rsidR="000E06B0" w:rsidRPr="00001F7B">
        <w:rPr>
          <w:rFonts w:cstheme="minorHAnsi"/>
        </w:rPr>
        <w:t xml:space="preserve"> This invol</w:t>
      </w:r>
      <w:r w:rsidR="006347AF" w:rsidRPr="00001F7B">
        <w:rPr>
          <w:rFonts w:cstheme="minorHAnsi"/>
        </w:rPr>
        <w:t>ved the r</w:t>
      </w:r>
      <w:r w:rsidR="000E06B0" w:rsidRPr="00001F7B">
        <w:rPr>
          <w:rFonts w:cstheme="minorHAnsi"/>
        </w:rPr>
        <w:t>elationship between the intertemporal law and evolution of the law</w:t>
      </w:r>
      <w:r w:rsidR="006347AF" w:rsidRPr="00001F7B">
        <w:rPr>
          <w:rFonts w:cstheme="minorHAnsi"/>
        </w:rPr>
        <w:t>.</w:t>
      </w:r>
      <w:r w:rsidR="000E06B0" w:rsidRPr="00001F7B">
        <w:rPr>
          <w:rFonts w:cstheme="minorHAnsi"/>
        </w:rPr>
        <w:t xml:space="preserve"> </w:t>
      </w:r>
      <w:r w:rsidR="006347AF" w:rsidRPr="00001F7B">
        <w:rPr>
          <w:rFonts w:cstheme="minorHAnsi"/>
        </w:rPr>
        <w:t xml:space="preserve">The draft of 1964 </w:t>
      </w:r>
      <w:r w:rsidR="00520637" w:rsidRPr="00001F7B">
        <w:rPr>
          <w:rFonts w:cstheme="minorHAnsi"/>
        </w:rPr>
        <w:t xml:space="preserve">(see 1964 Report, above </w:t>
      </w:r>
      <w:proofErr w:type="spellStart"/>
      <w:r w:rsidR="00520637" w:rsidRPr="00001F7B">
        <w:rPr>
          <w:rFonts w:cstheme="minorHAnsi"/>
        </w:rPr>
        <w:t>fn</w:t>
      </w:r>
      <w:proofErr w:type="spellEnd"/>
      <w:r w:rsidR="00520637" w:rsidRPr="00001F7B">
        <w:rPr>
          <w:rFonts w:cstheme="minorHAnsi"/>
        </w:rPr>
        <w:t xml:space="preserve"> 39, </w:t>
      </w:r>
      <w:r w:rsidR="00E30726" w:rsidRPr="00001F7B">
        <w:rPr>
          <w:rFonts w:cstheme="minorHAnsi"/>
        </w:rPr>
        <w:t xml:space="preserve">pp 8-9), </w:t>
      </w:r>
      <w:r w:rsidR="006347AF" w:rsidRPr="00001F7B">
        <w:rPr>
          <w:rFonts w:cstheme="minorHAnsi"/>
        </w:rPr>
        <w:t xml:space="preserve">referred to the ordinary meaning being given in light of the general rules of international law  </w:t>
      </w:r>
      <w:r w:rsidR="000E06B0" w:rsidRPr="00001F7B">
        <w:rPr>
          <w:rFonts w:cstheme="minorHAnsi"/>
        </w:rPr>
        <w:t>“in force at the time of its conclusion” which appeared after the reference to international law</w:t>
      </w:r>
      <w:r w:rsidR="00630BEB" w:rsidRPr="00001F7B">
        <w:rPr>
          <w:rFonts w:cstheme="minorHAnsi"/>
        </w:rPr>
        <w:t>.</w:t>
      </w:r>
      <w:r w:rsidR="000E06B0" w:rsidRPr="00001F7B">
        <w:rPr>
          <w:rFonts w:cstheme="minorHAnsi"/>
        </w:rPr>
        <w:t xml:space="preserve"> </w:t>
      </w:r>
      <w:r w:rsidR="00630BEB" w:rsidRPr="00001F7B">
        <w:rPr>
          <w:rFonts w:cstheme="minorHAnsi"/>
        </w:rPr>
        <w:t xml:space="preserve">In the </w:t>
      </w:r>
      <w:r w:rsidRPr="00001F7B">
        <w:rPr>
          <w:rFonts w:cstheme="minorHAnsi"/>
        </w:rPr>
        <w:t>1966</w:t>
      </w:r>
      <w:r w:rsidR="0071136A" w:rsidRPr="00001F7B">
        <w:rPr>
          <w:rFonts w:cstheme="minorHAnsi"/>
        </w:rPr>
        <w:t xml:space="preserve"> Commentary</w:t>
      </w:r>
      <w:r w:rsidRPr="00001F7B">
        <w:rPr>
          <w:rFonts w:cstheme="minorHAnsi"/>
        </w:rPr>
        <w:t xml:space="preserve">, </w:t>
      </w:r>
      <w:r w:rsidR="00E30726" w:rsidRPr="00001F7B">
        <w:rPr>
          <w:rFonts w:cstheme="minorHAnsi"/>
        </w:rPr>
        <w:t xml:space="preserve">above, </w:t>
      </w:r>
      <w:proofErr w:type="spellStart"/>
      <w:r w:rsidR="00E30726" w:rsidRPr="00001F7B">
        <w:rPr>
          <w:rFonts w:cstheme="minorHAnsi"/>
        </w:rPr>
        <w:t>fn</w:t>
      </w:r>
      <w:proofErr w:type="spellEnd"/>
      <w:r w:rsidR="00E30726" w:rsidRPr="00001F7B">
        <w:rPr>
          <w:rFonts w:cstheme="minorHAnsi"/>
        </w:rPr>
        <w:t xml:space="preserve"> 38, </w:t>
      </w:r>
      <w:r w:rsidRPr="00001F7B">
        <w:rPr>
          <w:rFonts w:cstheme="minorHAnsi"/>
        </w:rPr>
        <w:t xml:space="preserve">p 222, para </w:t>
      </w:r>
      <w:r w:rsidR="00D133E9" w:rsidRPr="00001F7B">
        <w:rPr>
          <w:rFonts w:cstheme="minorHAnsi"/>
        </w:rPr>
        <w:t>16</w:t>
      </w:r>
      <w:r w:rsidR="00630BEB" w:rsidRPr="00001F7B">
        <w:rPr>
          <w:rFonts w:cstheme="minorHAnsi"/>
        </w:rPr>
        <w:t>, it was decided</w:t>
      </w:r>
      <w:r w:rsidR="00EE2879" w:rsidRPr="00001F7B">
        <w:rPr>
          <w:rFonts w:cstheme="minorHAnsi"/>
        </w:rPr>
        <w:t xml:space="preserve"> </w:t>
      </w:r>
      <w:r w:rsidR="00630BEB" w:rsidRPr="00001F7B">
        <w:rPr>
          <w:rFonts w:cstheme="minorHAnsi"/>
        </w:rPr>
        <w:t>to excise these words in quotes</w:t>
      </w:r>
      <w:r w:rsidR="00EE2879" w:rsidRPr="00001F7B">
        <w:rPr>
          <w:rFonts w:cstheme="minorHAnsi"/>
        </w:rPr>
        <w:t xml:space="preserve">, </w:t>
      </w:r>
      <w:r w:rsidR="00630BEB" w:rsidRPr="00001F7B">
        <w:rPr>
          <w:rFonts w:cstheme="minorHAnsi"/>
        </w:rPr>
        <w:t xml:space="preserve">since the provision only partially </w:t>
      </w:r>
      <w:r w:rsidR="00460E72" w:rsidRPr="00001F7B">
        <w:rPr>
          <w:rFonts w:cstheme="minorHAnsi"/>
        </w:rPr>
        <w:t xml:space="preserve">covered the intertemporal law and might be misunderstood. It </w:t>
      </w:r>
      <w:r w:rsidR="00C60356" w:rsidRPr="00001F7B">
        <w:rPr>
          <w:rFonts w:cstheme="minorHAnsi"/>
        </w:rPr>
        <w:t xml:space="preserve">was </w:t>
      </w:r>
      <w:r w:rsidR="00460E72" w:rsidRPr="00001F7B">
        <w:rPr>
          <w:rFonts w:cstheme="minorHAnsi"/>
        </w:rPr>
        <w:t>considered that the rules of international</w:t>
      </w:r>
      <w:r w:rsidR="00EE2879" w:rsidRPr="00001F7B">
        <w:rPr>
          <w:rFonts w:cstheme="minorHAnsi"/>
        </w:rPr>
        <w:t xml:space="preserve"> law for the interpretation of treaties</w:t>
      </w:r>
      <w:r w:rsidR="00460E72" w:rsidRPr="00001F7B">
        <w:rPr>
          <w:rFonts w:cstheme="minorHAnsi"/>
        </w:rPr>
        <w:t xml:space="preserve"> were dependent on the intentions of the parties and that to formulate a rule would  present difficulties and further that correct application of the temporal element would normally be indicated by interpretation of the term in</w:t>
      </w:r>
      <w:r w:rsidR="00EE2879" w:rsidRPr="00001F7B">
        <w:rPr>
          <w:rFonts w:cstheme="minorHAnsi"/>
        </w:rPr>
        <w:t xml:space="preserve"> </w:t>
      </w:r>
      <w:r w:rsidR="00460E72" w:rsidRPr="00001F7B">
        <w:rPr>
          <w:rFonts w:cstheme="minorHAnsi"/>
        </w:rPr>
        <w:t>good faith.</w:t>
      </w:r>
    </w:p>
  </w:footnote>
  <w:footnote w:id="149">
    <w:p w14:paraId="295E482E" w14:textId="54D35911" w:rsidR="007925BE" w:rsidRPr="00001F7B" w:rsidRDefault="007925BE">
      <w:pPr>
        <w:pStyle w:val="FootnoteText"/>
        <w:rPr>
          <w:rFonts w:cstheme="minorHAnsi"/>
        </w:rPr>
      </w:pPr>
      <w:r w:rsidRPr="00001F7B">
        <w:rPr>
          <w:rStyle w:val="FootnoteReference"/>
          <w:rFonts w:cstheme="minorHAnsi"/>
        </w:rPr>
        <w:footnoteRef/>
      </w:r>
      <w:r w:rsidRPr="00001F7B">
        <w:rPr>
          <w:rFonts w:cstheme="minorHAnsi"/>
        </w:rPr>
        <w:t xml:space="preserve"> In </w:t>
      </w:r>
      <w:r w:rsidRPr="00001F7B">
        <w:rPr>
          <w:rFonts w:cstheme="minorHAnsi"/>
          <w:i/>
          <w:iCs/>
        </w:rPr>
        <w:t>Island of Palmas (Netherlands v USA)</w:t>
      </w:r>
      <w:r w:rsidRPr="00001F7B">
        <w:rPr>
          <w:rFonts w:cstheme="minorHAnsi"/>
        </w:rPr>
        <w:t xml:space="preserve"> (1928) 2 RIAA 829, 845, see Gardiner</w:t>
      </w:r>
      <w:r w:rsidR="00012FD1" w:rsidRPr="00001F7B">
        <w:rPr>
          <w:rFonts w:cstheme="minorHAnsi"/>
        </w:rPr>
        <w:t xml:space="preserve">, above, </w:t>
      </w:r>
      <w:proofErr w:type="spellStart"/>
      <w:r w:rsidR="00012FD1" w:rsidRPr="00001F7B">
        <w:rPr>
          <w:rFonts w:cstheme="minorHAnsi"/>
        </w:rPr>
        <w:t>fn</w:t>
      </w:r>
      <w:proofErr w:type="spellEnd"/>
      <w:r w:rsidR="00012FD1" w:rsidRPr="00001F7B">
        <w:rPr>
          <w:rFonts w:cstheme="minorHAnsi"/>
        </w:rPr>
        <w:t xml:space="preserve"> 5,</w:t>
      </w:r>
      <w:r w:rsidR="000A743E" w:rsidRPr="00001F7B">
        <w:rPr>
          <w:rFonts w:cstheme="minorHAnsi"/>
        </w:rPr>
        <w:t xml:space="preserve"> </w:t>
      </w:r>
      <w:r w:rsidRPr="00001F7B">
        <w:rPr>
          <w:rFonts w:cstheme="minorHAnsi"/>
        </w:rPr>
        <w:t>pp 291-</w:t>
      </w:r>
      <w:r w:rsidR="00012FD1" w:rsidRPr="00001F7B">
        <w:rPr>
          <w:rFonts w:cstheme="minorHAnsi"/>
        </w:rPr>
        <w:t>29</w:t>
      </w:r>
      <w:r w:rsidRPr="00001F7B">
        <w:rPr>
          <w:rFonts w:cstheme="minorHAnsi"/>
        </w:rPr>
        <w:t>2</w:t>
      </w:r>
      <w:r w:rsidR="000A743E" w:rsidRPr="00001F7B">
        <w:rPr>
          <w:rFonts w:cstheme="minorHAnsi"/>
        </w:rPr>
        <w:t>.</w:t>
      </w:r>
    </w:p>
  </w:footnote>
  <w:footnote w:id="150">
    <w:p w14:paraId="1EC22A7C" w14:textId="63AEBE4C" w:rsidR="006E617C" w:rsidRPr="00001F7B" w:rsidRDefault="006E617C">
      <w:pPr>
        <w:pStyle w:val="FootnoteText"/>
        <w:rPr>
          <w:rFonts w:cstheme="minorHAnsi"/>
        </w:rPr>
      </w:pPr>
      <w:r w:rsidRPr="00001F7B">
        <w:rPr>
          <w:rStyle w:val="FootnoteReference"/>
          <w:rFonts w:cstheme="minorHAnsi"/>
        </w:rPr>
        <w:footnoteRef/>
      </w:r>
      <w:r w:rsidRPr="00001F7B">
        <w:rPr>
          <w:rFonts w:cstheme="minorHAnsi"/>
        </w:rPr>
        <w:t xml:space="preserve"> Compare the principle of contemporaneity – </w:t>
      </w:r>
      <w:r w:rsidR="0069556F" w:rsidRPr="00001F7B">
        <w:rPr>
          <w:rFonts w:cstheme="minorHAnsi"/>
        </w:rPr>
        <w:t>P</w:t>
      </w:r>
      <w:r w:rsidRPr="00001F7B">
        <w:rPr>
          <w:rFonts w:cstheme="minorHAnsi"/>
        </w:rPr>
        <w:t xml:space="preserve">rinciple </w:t>
      </w:r>
      <w:r w:rsidR="0069556F" w:rsidRPr="00001F7B">
        <w:rPr>
          <w:rFonts w:cstheme="minorHAnsi"/>
        </w:rPr>
        <w:t>VI</w:t>
      </w:r>
      <w:r w:rsidRPr="00001F7B">
        <w:rPr>
          <w:rFonts w:cstheme="minorHAnsi"/>
        </w:rPr>
        <w:t xml:space="preserve"> </w:t>
      </w:r>
      <w:r w:rsidR="00165CFA" w:rsidRPr="00001F7B">
        <w:rPr>
          <w:rFonts w:cstheme="minorHAnsi"/>
        </w:rPr>
        <w:t xml:space="preserve">derived from ICJ caselaw by Fitzmaurice ‘The Law and Procedure of the International Court of Justice 1951-4: Treaty Interpretation and Certain Other Points’ (1951) 28 BYBIL 1 and (1957) 33 BYBIL 203, </w:t>
      </w:r>
      <w:r w:rsidR="0069556F" w:rsidRPr="00001F7B">
        <w:rPr>
          <w:rFonts w:cstheme="minorHAnsi"/>
        </w:rPr>
        <w:t xml:space="preserve">[1964] Yearbook of the ILC, Vol II, p 55, para 12, </w:t>
      </w:r>
      <w:r w:rsidR="00165CFA" w:rsidRPr="00001F7B">
        <w:rPr>
          <w:rFonts w:cstheme="minorHAnsi"/>
        </w:rPr>
        <w:t xml:space="preserve">reproduced by Gardiner, </w:t>
      </w:r>
      <w:r w:rsidR="001B6F78" w:rsidRPr="00001F7B">
        <w:rPr>
          <w:rFonts w:cstheme="minorHAnsi"/>
        </w:rPr>
        <w:t xml:space="preserve">above, </w:t>
      </w:r>
      <w:proofErr w:type="spellStart"/>
      <w:r w:rsidR="001B6F78" w:rsidRPr="00001F7B">
        <w:rPr>
          <w:rFonts w:cstheme="minorHAnsi"/>
        </w:rPr>
        <w:t>fn</w:t>
      </w:r>
      <w:proofErr w:type="spellEnd"/>
      <w:r w:rsidR="00012FD1" w:rsidRPr="00001F7B">
        <w:rPr>
          <w:rFonts w:cstheme="minorHAnsi"/>
        </w:rPr>
        <w:t xml:space="preserve"> 5</w:t>
      </w:r>
      <w:r w:rsidR="001B6F78" w:rsidRPr="00001F7B">
        <w:rPr>
          <w:rFonts w:cstheme="minorHAnsi"/>
        </w:rPr>
        <w:t>,</w:t>
      </w:r>
      <w:r w:rsidR="00165CFA" w:rsidRPr="00001F7B">
        <w:rPr>
          <w:rFonts w:cstheme="minorHAnsi"/>
        </w:rPr>
        <w:t xml:space="preserve"> pp 69-70: </w:t>
      </w:r>
      <w:r w:rsidR="00012FD1" w:rsidRPr="00001F7B">
        <w:rPr>
          <w:rFonts w:cstheme="minorHAnsi"/>
        </w:rPr>
        <w:t>“</w:t>
      </w:r>
      <w:r w:rsidR="00165CFA" w:rsidRPr="00001F7B">
        <w:rPr>
          <w:rFonts w:cstheme="minorHAnsi"/>
        </w:rPr>
        <w:t>The terms of a treaty must be interpreted according to the meaning which they possessed</w:t>
      </w:r>
      <w:r w:rsidR="0069556F" w:rsidRPr="00001F7B">
        <w:rPr>
          <w:rFonts w:cstheme="minorHAnsi"/>
        </w:rPr>
        <w:t>, or which would have been attributed to them, and in the light of current linguistic usage, at the time when the treaty was originally concluded.”</w:t>
      </w:r>
    </w:p>
  </w:footnote>
  <w:footnote w:id="151">
    <w:p w14:paraId="6978ED45" w14:textId="6323C35A" w:rsidR="007B7387" w:rsidRPr="00001F7B" w:rsidRDefault="007B7387">
      <w:pPr>
        <w:pStyle w:val="FootnoteText"/>
        <w:rPr>
          <w:rFonts w:cstheme="minorHAnsi"/>
        </w:rPr>
      </w:pPr>
      <w:r w:rsidRPr="00001F7B">
        <w:rPr>
          <w:rStyle w:val="FootnoteReference"/>
          <w:rFonts w:cstheme="minorHAnsi"/>
        </w:rPr>
        <w:footnoteRef/>
      </w:r>
      <w:r w:rsidRPr="00001F7B">
        <w:rPr>
          <w:rFonts w:cstheme="minorHAnsi"/>
        </w:rPr>
        <w:t xml:space="preserve"> </w:t>
      </w:r>
      <w:r w:rsidR="00CB1F68" w:rsidRPr="00001F7B">
        <w:rPr>
          <w:rFonts w:cstheme="minorHAnsi"/>
        </w:rPr>
        <w:t>Thus,</w:t>
      </w:r>
      <w:r w:rsidRPr="00001F7B">
        <w:rPr>
          <w:rFonts w:cstheme="minorHAnsi"/>
        </w:rPr>
        <w:t xml:space="preserve"> in the case itself the right of Spain to have sovereignty over an Island by its discovery of it by the international law of that time gave way to the later right under international law of a country to claim sovereignty after centuries of peaceful occupation.</w:t>
      </w:r>
    </w:p>
  </w:footnote>
  <w:footnote w:id="152">
    <w:p w14:paraId="273D2EF1" w14:textId="41C74F83" w:rsidR="00D957B4" w:rsidRPr="00001F7B" w:rsidRDefault="00D957B4">
      <w:pPr>
        <w:pStyle w:val="FootnoteText"/>
        <w:rPr>
          <w:rFonts w:cstheme="minorHAnsi"/>
        </w:rPr>
      </w:pPr>
      <w:r w:rsidRPr="00001F7B">
        <w:rPr>
          <w:rStyle w:val="FootnoteReference"/>
          <w:rFonts w:cstheme="minorHAnsi"/>
        </w:rPr>
        <w:footnoteRef/>
      </w:r>
      <w:r w:rsidRPr="00001F7B">
        <w:rPr>
          <w:rFonts w:cstheme="minorHAnsi"/>
        </w:rPr>
        <w:t xml:space="preserve"> In not taking into account the range of possibilities </w:t>
      </w:r>
      <w:r w:rsidR="006D1B81" w:rsidRPr="00001F7B">
        <w:rPr>
          <w:rFonts w:cstheme="minorHAnsi"/>
        </w:rPr>
        <w:t xml:space="preserve">which </w:t>
      </w:r>
      <w:r w:rsidRPr="00001F7B">
        <w:rPr>
          <w:rFonts w:cstheme="minorHAnsi"/>
        </w:rPr>
        <w:t>the text of a treaty and other elements considered in treaty interpretation</w:t>
      </w:r>
      <w:r w:rsidR="006D1B81" w:rsidRPr="00001F7B">
        <w:rPr>
          <w:rFonts w:cstheme="minorHAnsi"/>
        </w:rPr>
        <w:t xml:space="preserve"> might be required to be taken into account</w:t>
      </w:r>
      <w:r w:rsidRPr="00001F7B">
        <w:rPr>
          <w:rFonts w:cstheme="minorHAnsi"/>
        </w:rPr>
        <w:t>, Gardiner</w:t>
      </w:r>
      <w:r w:rsidR="00CB1F68" w:rsidRPr="00001F7B">
        <w:rPr>
          <w:rFonts w:cstheme="minorHAnsi"/>
        </w:rPr>
        <w:t xml:space="preserve">, above, </w:t>
      </w:r>
      <w:proofErr w:type="spellStart"/>
      <w:r w:rsidR="00CB1F68" w:rsidRPr="00001F7B">
        <w:rPr>
          <w:rFonts w:cstheme="minorHAnsi"/>
        </w:rPr>
        <w:t>fn</w:t>
      </w:r>
      <w:proofErr w:type="spellEnd"/>
      <w:r w:rsidR="00CB1F68" w:rsidRPr="00001F7B">
        <w:rPr>
          <w:rFonts w:cstheme="minorHAnsi"/>
        </w:rPr>
        <w:t xml:space="preserve"> </w:t>
      </w:r>
      <w:r w:rsidR="00012FD1" w:rsidRPr="00001F7B">
        <w:rPr>
          <w:rFonts w:cstheme="minorHAnsi"/>
        </w:rPr>
        <w:t>5</w:t>
      </w:r>
      <w:r w:rsidR="00CB1F68" w:rsidRPr="00001F7B">
        <w:rPr>
          <w:rFonts w:cstheme="minorHAnsi"/>
        </w:rPr>
        <w:t>,</w:t>
      </w:r>
      <w:r w:rsidRPr="00001F7B">
        <w:rPr>
          <w:rFonts w:cstheme="minorHAnsi"/>
        </w:rPr>
        <w:t xml:space="preserve"> p 292.</w:t>
      </w:r>
    </w:p>
  </w:footnote>
  <w:footnote w:id="153">
    <w:p w14:paraId="47CB01A9" w14:textId="1674F376" w:rsidR="001706E1" w:rsidRPr="00001F7B" w:rsidRDefault="001706E1">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Bjorge</w:t>
      </w:r>
      <w:proofErr w:type="spellEnd"/>
      <w:r w:rsidRPr="00001F7B">
        <w:rPr>
          <w:rFonts w:cstheme="minorHAnsi"/>
        </w:rPr>
        <w:t xml:space="preserve">, </w:t>
      </w:r>
      <w:r w:rsidR="00C41600" w:rsidRPr="00001F7B">
        <w:rPr>
          <w:rFonts w:cstheme="minorHAnsi"/>
        </w:rPr>
        <w:t xml:space="preserve">‘The Intertemporal Law’ </w:t>
      </w:r>
      <w:proofErr w:type="spellStart"/>
      <w:r w:rsidRPr="00001F7B">
        <w:rPr>
          <w:rFonts w:cstheme="minorHAnsi"/>
        </w:rPr>
        <w:t>ch</w:t>
      </w:r>
      <w:proofErr w:type="spellEnd"/>
      <w:r w:rsidR="00D715E1" w:rsidRPr="00001F7B">
        <w:rPr>
          <w:rFonts w:cstheme="minorHAnsi"/>
        </w:rPr>
        <w:t xml:space="preserve"> </w:t>
      </w:r>
      <w:r w:rsidRPr="00001F7B">
        <w:rPr>
          <w:rFonts w:cstheme="minorHAnsi"/>
        </w:rPr>
        <w:t>4</w:t>
      </w:r>
      <w:r w:rsidR="00CB1F68" w:rsidRPr="00001F7B">
        <w:rPr>
          <w:rFonts w:cstheme="minorHAnsi"/>
        </w:rPr>
        <w:t xml:space="preserve"> in </w:t>
      </w:r>
      <w:r w:rsidR="00CB1F68" w:rsidRPr="00001F7B">
        <w:rPr>
          <w:rFonts w:cstheme="minorHAnsi"/>
          <w:i/>
          <w:iCs/>
        </w:rPr>
        <w:t>The Evolutionary Interpretation of Treaties</w:t>
      </w:r>
      <w:r w:rsidR="00CB1F68" w:rsidRPr="00001F7B">
        <w:rPr>
          <w:rFonts w:cstheme="minorHAnsi"/>
        </w:rPr>
        <w:t xml:space="preserve"> 2014, OUP,</w:t>
      </w:r>
      <w:r w:rsidRPr="00001F7B">
        <w:rPr>
          <w:rFonts w:cstheme="minorHAnsi"/>
        </w:rPr>
        <w:t xml:space="preserve"> pp 159-160.</w:t>
      </w:r>
    </w:p>
  </w:footnote>
  <w:footnote w:id="154">
    <w:p w14:paraId="2C40CEA0" w14:textId="32963A40" w:rsidR="006E6E73" w:rsidRPr="00001F7B" w:rsidRDefault="006E6E73">
      <w:pPr>
        <w:pStyle w:val="FootnoteText"/>
        <w:rPr>
          <w:rFonts w:cstheme="minorHAnsi"/>
        </w:rPr>
      </w:pPr>
      <w:r w:rsidRPr="00001F7B">
        <w:rPr>
          <w:rStyle w:val="FootnoteReference"/>
          <w:rFonts w:cstheme="minorHAnsi"/>
        </w:rPr>
        <w:footnoteRef/>
      </w:r>
      <w:r w:rsidRPr="00001F7B">
        <w:rPr>
          <w:rFonts w:cstheme="minorHAnsi"/>
        </w:rPr>
        <w:t xml:space="preserve"> See e.g.</w:t>
      </w:r>
      <w:r w:rsidR="00CB1F68" w:rsidRPr="00001F7B">
        <w:rPr>
          <w:rFonts w:cstheme="minorHAnsi"/>
        </w:rPr>
        <w:t>,</w:t>
      </w:r>
      <w:r w:rsidRPr="00001F7B">
        <w:rPr>
          <w:rFonts w:cstheme="minorHAnsi"/>
        </w:rPr>
        <w:t xml:space="preserve"> arts 61-</w:t>
      </w:r>
      <w:r w:rsidR="00D715E1" w:rsidRPr="00001F7B">
        <w:rPr>
          <w:rFonts w:cstheme="minorHAnsi"/>
        </w:rPr>
        <w:t>6</w:t>
      </w:r>
      <w:r w:rsidRPr="00001F7B">
        <w:rPr>
          <w:rFonts w:cstheme="minorHAnsi"/>
        </w:rPr>
        <w:t xml:space="preserve">4 </w:t>
      </w:r>
      <w:r w:rsidR="00D715E1" w:rsidRPr="00001F7B">
        <w:rPr>
          <w:rFonts w:cstheme="minorHAnsi"/>
        </w:rPr>
        <w:t xml:space="preserve">of the </w:t>
      </w:r>
      <w:r w:rsidRPr="00001F7B">
        <w:rPr>
          <w:rFonts w:cstheme="minorHAnsi"/>
        </w:rPr>
        <w:t xml:space="preserve"> VCLT which deal with changes in circumstances or in peremptory norms (</w:t>
      </w:r>
      <w:r w:rsidRPr="00001F7B">
        <w:rPr>
          <w:rFonts w:cstheme="minorHAnsi"/>
          <w:i/>
          <w:iCs/>
        </w:rPr>
        <w:t>Jus Cogens</w:t>
      </w:r>
      <w:r w:rsidRPr="00001F7B">
        <w:rPr>
          <w:rFonts w:cstheme="minorHAnsi"/>
        </w:rPr>
        <w:t>) which potentially affect the continued operation of a treaty.</w:t>
      </w:r>
      <w:r w:rsidR="006D1B81" w:rsidRPr="00001F7B">
        <w:rPr>
          <w:rFonts w:cstheme="minorHAnsi"/>
        </w:rPr>
        <w:t xml:space="preserve"> See further Gardiner, </w:t>
      </w:r>
      <w:r w:rsidR="00CB1F68" w:rsidRPr="00001F7B">
        <w:rPr>
          <w:rFonts w:cstheme="minorHAnsi"/>
        </w:rPr>
        <w:t xml:space="preserve">above, </w:t>
      </w:r>
      <w:proofErr w:type="spellStart"/>
      <w:r w:rsidR="00CB1F68" w:rsidRPr="00001F7B">
        <w:rPr>
          <w:rFonts w:cstheme="minorHAnsi"/>
        </w:rPr>
        <w:t>fn</w:t>
      </w:r>
      <w:proofErr w:type="spellEnd"/>
      <w:r w:rsidR="00CB1F68" w:rsidRPr="00001F7B">
        <w:rPr>
          <w:rFonts w:cstheme="minorHAnsi"/>
        </w:rPr>
        <w:t xml:space="preserve"> </w:t>
      </w:r>
      <w:r w:rsidR="00D715E1" w:rsidRPr="00001F7B">
        <w:rPr>
          <w:rFonts w:cstheme="minorHAnsi"/>
        </w:rPr>
        <w:t>5</w:t>
      </w:r>
      <w:r w:rsidR="00CB1F68" w:rsidRPr="00001F7B">
        <w:rPr>
          <w:rFonts w:cstheme="minorHAnsi"/>
        </w:rPr>
        <w:t xml:space="preserve">, </w:t>
      </w:r>
      <w:r w:rsidR="006D1B81" w:rsidRPr="00001F7B">
        <w:rPr>
          <w:rFonts w:cstheme="minorHAnsi"/>
        </w:rPr>
        <w:t>p 297.</w:t>
      </w:r>
    </w:p>
  </w:footnote>
  <w:footnote w:id="155">
    <w:p w14:paraId="6AB8601A" w14:textId="0A700F3F" w:rsidR="004A2281" w:rsidRPr="00001F7B" w:rsidRDefault="004A2281">
      <w:pPr>
        <w:pStyle w:val="FootnoteText"/>
        <w:rPr>
          <w:rFonts w:cstheme="minorHAnsi"/>
        </w:rPr>
      </w:pPr>
      <w:r w:rsidRPr="00001F7B">
        <w:rPr>
          <w:rStyle w:val="FootnoteReference"/>
          <w:rFonts w:cstheme="minorHAnsi"/>
        </w:rPr>
        <w:footnoteRef/>
      </w:r>
      <w:r w:rsidRPr="00001F7B">
        <w:rPr>
          <w:rFonts w:cstheme="minorHAnsi"/>
        </w:rPr>
        <w:t xml:space="preserve"> </w:t>
      </w:r>
      <w:r w:rsidR="001A30D3" w:rsidRPr="00001F7B">
        <w:rPr>
          <w:rFonts w:cstheme="minorHAnsi"/>
        </w:rPr>
        <w:t xml:space="preserve">Art 56.1, </w:t>
      </w:r>
      <w:r w:rsidRPr="00001F7B">
        <w:rPr>
          <w:rFonts w:cstheme="minorHAnsi"/>
        </w:rPr>
        <w:t>See 1964</w:t>
      </w:r>
      <w:r w:rsidR="00CB1F68" w:rsidRPr="00001F7B">
        <w:rPr>
          <w:rFonts w:cstheme="minorHAnsi"/>
        </w:rPr>
        <w:t xml:space="preserve"> Report, above, </w:t>
      </w:r>
      <w:proofErr w:type="spellStart"/>
      <w:r w:rsidR="00CB1F68" w:rsidRPr="00001F7B">
        <w:rPr>
          <w:rFonts w:cstheme="minorHAnsi"/>
        </w:rPr>
        <w:t>fn</w:t>
      </w:r>
      <w:proofErr w:type="spellEnd"/>
      <w:r w:rsidR="00CB1F68" w:rsidRPr="00001F7B">
        <w:rPr>
          <w:rFonts w:cstheme="minorHAnsi"/>
        </w:rPr>
        <w:t xml:space="preserve"> </w:t>
      </w:r>
      <w:r w:rsidR="00D715E1" w:rsidRPr="00001F7B">
        <w:rPr>
          <w:rFonts w:cstheme="minorHAnsi"/>
        </w:rPr>
        <w:t>39</w:t>
      </w:r>
      <w:r w:rsidR="001A30D3" w:rsidRPr="00001F7B">
        <w:rPr>
          <w:rFonts w:cstheme="minorHAnsi"/>
        </w:rPr>
        <w:t>, p 8</w:t>
      </w:r>
      <w:r w:rsidRPr="00001F7B">
        <w:rPr>
          <w:rFonts w:cstheme="minorHAnsi"/>
        </w:rPr>
        <w:t>. See generally for this review of the history of the provision, Gardiner pp 295-</w:t>
      </w:r>
      <w:r w:rsidR="004527D1" w:rsidRPr="00001F7B">
        <w:rPr>
          <w:rFonts w:cstheme="minorHAnsi"/>
        </w:rPr>
        <w:t>29</w:t>
      </w:r>
      <w:r w:rsidR="006D1B81" w:rsidRPr="00001F7B">
        <w:rPr>
          <w:rFonts w:cstheme="minorHAnsi"/>
        </w:rPr>
        <w:t>7.</w:t>
      </w:r>
    </w:p>
  </w:footnote>
  <w:footnote w:id="156">
    <w:p w14:paraId="2819CC28" w14:textId="373C6B8C" w:rsidR="00ED420C" w:rsidRPr="00001F7B" w:rsidRDefault="00ED420C">
      <w:pPr>
        <w:pStyle w:val="FootnoteText"/>
        <w:rPr>
          <w:rFonts w:cstheme="minorHAnsi"/>
        </w:rPr>
      </w:pPr>
      <w:r w:rsidRPr="00001F7B">
        <w:rPr>
          <w:rStyle w:val="FootnoteReference"/>
          <w:rFonts w:cstheme="minorHAnsi"/>
        </w:rPr>
        <w:footnoteRef/>
      </w:r>
      <w:r w:rsidRPr="00001F7B">
        <w:rPr>
          <w:rFonts w:cstheme="minorHAnsi"/>
        </w:rPr>
        <w:t xml:space="preserve"> </w:t>
      </w:r>
      <w:r w:rsidR="001A30D3" w:rsidRPr="00001F7B">
        <w:rPr>
          <w:rFonts w:cstheme="minorHAnsi"/>
        </w:rPr>
        <w:t xml:space="preserve">Art 56.2, </w:t>
      </w:r>
      <w:r w:rsidRPr="00001F7B">
        <w:rPr>
          <w:rFonts w:cstheme="minorHAnsi"/>
        </w:rPr>
        <w:t xml:space="preserve">See </w:t>
      </w:r>
      <w:r w:rsidR="004527D1" w:rsidRPr="00001F7B">
        <w:rPr>
          <w:rFonts w:cstheme="minorHAnsi"/>
        </w:rPr>
        <w:t>1</w:t>
      </w:r>
      <w:r w:rsidRPr="00001F7B">
        <w:rPr>
          <w:rFonts w:cstheme="minorHAnsi"/>
        </w:rPr>
        <w:t xml:space="preserve">964 </w:t>
      </w:r>
      <w:r w:rsidR="004527D1" w:rsidRPr="00001F7B">
        <w:rPr>
          <w:rFonts w:cstheme="minorHAnsi"/>
        </w:rPr>
        <w:t xml:space="preserve">Report, above, </w:t>
      </w:r>
      <w:proofErr w:type="spellStart"/>
      <w:r w:rsidR="004527D1" w:rsidRPr="00001F7B">
        <w:rPr>
          <w:rFonts w:cstheme="minorHAnsi"/>
        </w:rPr>
        <w:t>fn</w:t>
      </w:r>
      <w:proofErr w:type="spellEnd"/>
      <w:r w:rsidR="004527D1" w:rsidRPr="00001F7B">
        <w:rPr>
          <w:rFonts w:cstheme="minorHAnsi"/>
        </w:rPr>
        <w:t xml:space="preserve"> </w:t>
      </w:r>
      <w:r w:rsidR="00D715E1" w:rsidRPr="00001F7B">
        <w:rPr>
          <w:rFonts w:cstheme="minorHAnsi"/>
        </w:rPr>
        <w:t>39</w:t>
      </w:r>
      <w:r w:rsidR="004527D1" w:rsidRPr="00001F7B">
        <w:rPr>
          <w:rFonts w:cstheme="minorHAnsi"/>
        </w:rPr>
        <w:t xml:space="preserve">, </w:t>
      </w:r>
      <w:r w:rsidRPr="00001F7B">
        <w:rPr>
          <w:rFonts w:cstheme="minorHAnsi"/>
        </w:rPr>
        <w:t>p</w:t>
      </w:r>
      <w:r w:rsidR="0022595E" w:rsidRPr="00001F7B">
        <w:rPr>
          <w:rFonts w:cstheme="minorHAnsi"/>
        </w:rPr>
        <w:t xml:space="preserve"> </w:t>
      </w:r>
      <w:r w:rsidRPr="00001F7B">
        <w:rPr>
          <w:rFonts w:cstheme="minorHAnsi"/>
        </w:rPr>
        <w:t>9</w:t>
      </w:r>
      <w:r w:rsidR="0022595E" w:rsidRPr="00001F7B">
        <w:rPr>
          <w:rFonts w:cstheme="minorHAnsi"/>
        </w:rPr>
        <w:t>.</w:t>
      </w:r>
    </w:p>
  </w:footnote>
  <w:footnote w:id="157">
    <w:p w14:paraId="18325A32" w14:textId="7210E70A" w:rsidR="002A5396" w:rsidRPr="00001F7B" w:rsidRDefault="002A5396">
      <w:pPr>
        <w:pStyle w:val="FootnoteText"/>
        <w:rPr>
          <w:rFonts w:cstheme="minorHAnsi"/>
        </w:rPr>
      </w:pPr>
      <w:r w:rsidRPr="00001F7B">
        <w:rPr>
          <w:rStyle w:val="FootnoteReference"/>
          <w:rFonts w:cstheme="minorHAnsi"/>
        </w:rPr>
        <w:footnoteRef/>
      </w:r>
      <w:r w:rsidRPr="00001F7B">
        <w:rPr>
          <w:rFonts w:cstheme="minorHAnsi"/>
        </w:rPr>
        <w:t xml:space="preserve"> See Gardiner</w:t>
      </w:r>
      <w:r w:rsidR="00163E60" w:rsidRPr="00001F7B">
        <w:rPr>
          <w:rFonts w:cstheme="minorHAnsi"/>
        </w:rPr>
        <w:t xml:space="preserve">, above, </w:t>
      </w:r>
      <w:proofErr w:type="spellStart"/>
      <w:r w:rsidR="00163E60" w:rsidRPr="00001F7B">
        <w:rPr>
          <w:rFonts w:cstheme="minorHAnsi"/>
        </w:rPr>
        <w:t>fn</w:t>
      </w:r>
      <w:proofErr w:type="spellEnd"/>
      <w:r w:rsidR="00163E60" w:rsidRPr="00001F7B">
        <w:rPr>
          <w:rFonts w:cstheme="minorHAnsi"/>
        </w:rPr>
        <w:t xml:space="preserve"> </w:t>
      </w:r>
      <w:r w:rsidR="00D85EB1" w:rsidRPr="00001F7B">
        <w:rPr>
          <w:rFonts w:cstheme="minorHAnsi"/>
        </w:rPr>
        <w:t>5</w:t>
      </w:r>
      <w:r w:rsidR="00163E60" w:rsidRPr="00001F7B">
        <w:rPr>
          <w:rFonts w:cstheme="minorHAnsi"/>
        </w:rPr>
        <w:t>,</w:t>
      </w:r>
      <w:r w:rsidRPr="00001F7B">
        <w:rPr>
          <w:rFonts w:cstheme="minorHAnsi"/>
        </w:rPr>
        <w:t xml:space="preserve"> p</w:t>
      </w:r>
      <w:r w:rsidR="008E6769" w:rsidRPr="00001F7B">
        <w:rPr>
          <w:rFonts w:cstheme="minorHAnsi"/>
        </w:rPr>
        <w:t>p</w:t>
      </w:r>
      <w:r w:rsidRPr="00001F7B">
        <w:rPr>
          <w:rFonts w:cstheme="minorHAnsi"/>
        </w:rPr>
        <w:t xml:space="preserve"> 300</w:t>
      </w:r>
      <w:r w:rsidR="008E6769" w:rsidRPr="00001F7B">
        <w:rPr>
          <w:rFonts w:cstheme="minorHAnsi"/>
        </w:rPr>
        <w:t xml:space="preserve"> and 307</w:t>
      </w:r>
      <w:r w:rsidRPr="00001F7B">
        <w:rPr>
          <w:rFonts w:cstheme="minorHAnsi"/>
        </w:rPr>
        <w:t>.</w:t>
      </w:r>
      <w:r w:rsidR="008E6769" w:rsidRPr="00001F7B">
        <w:rPr>
          <w:rFonts w:cstheme="minorHAnsi"/>
        </w:rPr>
        <w:t xml:space="preserve"> See, however, p 308 where reference is made to the European Court of Human Rights which has made use of non-binding instruments of Council of Europe bodies.  </w:t>
      </w:r>
    </w:p>
  </w:footnote>
  <w:footnote w:id="158">
    <w:p w14:paraId="11826805" w14:textId="5FA014DF" w:rsidR="00406CDA" w:rsidRPr="00001F7B" w:rsidRDefault="00406CDA" w:rsidP="00652C20">
      <w:pPr>
        <w:pStyle w:val="FootnoteText"/>
        <w:rPr>
          <w:rFonts w:cstheme="minorHAnsi"/>
        </w:rPr>
      </w:pPr>
      <w:r w:rsidRPr="00001F7B">
        <w:rPr>
          <w:rStyle w:val="FootnoteReference"/>
          <w:rFonts w:cstheme="minorHAnsi"/>
        </w:rPr>
        <w:footnoteRef/>
      </w:r>
      <w:r w:rsidRPr="00001F7B">
        <w:rPr>
          <w:rFonts w:cstheme="minorHAnsi"/>
        </w:rPr>
        <w:t xml:space="preserve"> Gardiner, </w:t>
      </w:r>
      <w:r w:rsidR="0023347A" w:rsidRPr="00001F7B">
        <w:rPr>
          <w:rFonts w:cstheme="minorHAnsi"/>
          <w:i/>
          <w:iCs/>
        </w:rPr>
        <w:t xml:space="preserve">op </w:t>
      </w:r>
      <w:proofErr w:type="spellStart"/>
      <w:r w:rsidR="0023347A" w:rsidRPr="00001F7B">
        <w:rPr>
          <w:rFonts w:cstheme="minorHAnsi"/>
          <w:i/>
          <w:iCs/>
        </w:rPr>
        <w:t>cit</w:t>
      </w:r>
      <w:proofErr w:type="spellEnd"/>
      <w:r w:rsidR="0023347A" w:rsidRPr="00001F7B">
        <w:rPr>
          <w:rFonts w:cstheme="minorHAnsi"/>
          <w:i/>
          <w:iCs/>
        </w:rPr>
        <w:t xml:space="preserve"> </w:t>
      </w:r>
      <w:r w:rsidRPr="00001F7B">
        <w:rPr>
          <w:rFonts w:cstheme="minorHAnsi"/>
        </w:rPr>
        <w:t xml:space="preserve">p 299, </w:t>
      </w:r>
      <w:r w:rsidR="007C6497" w:rsidRPr="00001F7B">
        <w:rPr>
          <w:rFonts w:cstheme="minorHAnsi"/>
        </w:rPr>
        <w:t xml:space="preserve">Mola and </w:t>
      </w:r>
      <w:proofErr w:type="spellStart"/>
      <w:r w:rsidR="007C6497" w:rsidRPr="00001F7B">
        <w:rPr>
          <w:rFonts w:cstheme="minorHAnsi"/>
        </w:rPr>
        <w:t>Poncibò</w:t>
      </w:r>
      <w:proofErr w:type="spellEnd"/>
      <w:r w:rsidR="007C6497" w:rsidRPr="00001F7B">
        <w:rPr>
          <w:rFonts w:cstheme="minorHAnsi"/>
        </w:rPr>
        <w:t xml:space="preserve">, above </w:t>
      </w:r>
      <w:proofErr w:type="spellStart"/>
      <w:r w:rsidR="007C6497" w:rsidRPr="00001F7B">
        <w:rPr>
          <w:rFonts w:cstheme="minorHAnsi"/>
        </w:rPr>
        <w:t>fn</w:t>
      </w:r>
      <w:proofErr w:type="spellEnd"/>
      <w:r w:rsidR="007C6497" w:rsidRPr="00001F7B">
        <w:rPr>
          <w:rFonts w:cstheme="minorHAnsi"/>
        </w:rPr>
        <w:t xml:space="preserve"> </w:t>
      </w:r>
      <w:r w:rsidR="00D85EB1" w:rsidRPr="00001F7B">
        <w:rPr>
          <w:rFonts w:cstheme="minorHAnsi"/>
        </w:rPr>
        <w:t>7</w:t>
      </w:r>
      <w:r w:rsidR="007C6497" w:rsidRPr="00001F7B">
        <w:rPr>
          <w:rFonts w:cstheme="minorHAnsi"/>
        </w:rPr>
        <w:t xml:space="preserve">, p 868, </w:t>
      </w:r>
      <w:proofErr w:type="spellStart"/>
      <w:r w:rsidR="00746A9C" w:rsidRPr="00001F7B">
        <w:rPr>
          <w:rFonts w:cstheme="minorHAnsi"/>
        </w:rPr>
        <w:t>cf</w:t>
      </w:r>
      <w:proofErr w:type="spellEnd"/>
      <w:r w:rsidR="00746A9C" w:rsidRPr="00001F7B">
        <w:rPr>
          <w:rFonts w:cstheme="minorHAnsi"/>
        </w:rPr>
        <w:t xml:space="preserve"> </w:t>
      </w:r>
      <w:r w:rsidR="0023347A" w:rsidRPr="00001F7B">
        <w:rPr>
          <w:rFonts w:cstheme="minorHAnsi"/>
        </w:rPr>
        <w:t xml:space="preserve"> </w:t>
      </w:r>
      <w:r w:rsidRPr="00001F7B">
        <w:rPr>
          <w:rFonts w:cstheme="minorHAnsi"/>
        </w:rPr>
        <w:t>Villager</w:t>
      </w:r>
      <w:r w:rsidR="00D85EB1" w:rsidRPr="00001F7B">
        <w:rPr>
          <w:rFonts w:cstheme="minorHAnsi"/>
        </w:rPr>
        <w:t xml:space="preserve">, above, </w:t>
      </w:r>
      <w:proofErr w:type="spellStart"/>
      <w:r w:rsidR="00D85EB1" w:rsidRPr="00001F7B">
        <w:rPr>
          <w:rFonts w:cstheme="minorHAnsi"/>
        </w:rPr>
        <w:t>fn</w:t>
      </w:r>
      <w:proofErr w:type="spellEnd"/>
      <w:r w:rsidR="00D85EB1" w:rsidRPr="00001F7B">
        <w:rPr>
          <w:rFonts w:cstheme="minorHAnsi"/>
        </w:rPr>
        <w:t xml:space="preserve"> 47,</w:t>
      </w:r>
      <w:r w:rsidRPr="00001F7B">
        <w:rPr>
          <w:rFonts w:cstheme="minorHAnsi"/>
        </w:rPr>
        <w:t xml:space="preserve"> p 11</w:t>
      </w:r>
      <w:r w:rsidR="00746A9C" w:rsidRPr="00001F7B">
        <w:rPr>
          <w:rFonts w:cstheme="minorHAnsi"/>
        </w:rPr>
        <w:t>1: “These rules need have no particular relationship with the treaty other than assisting in the interpretation of its terms. On the whole, they will provide a contemporary interpretation of the ordinary meaning of a term</w:t>
      </w:r>
      <w:r w:rsidR="00652C20" w:rsidRPr="00001F7B">
        <w:rPr>
          <w:rFonts w:cstheme="minorHAnsi"/>
        </w:rPr>
        <w:t>.</w:t>
      </w:r>
      <w:r w:rsidR="00746A9C" w:rsidRPr="00001F7B">
        <w:rPr>
          <w:rFonts w:cstheme="minorHAnsi"/>
        </w:rPr>
        <w:t xml:space="preserve">” </w:t>
      </w:r>
      <w:r w:rsidR="0023347A" w:rsidRPr="00001F7B">
        <w:rPr>
          <w:rFonts w:cstheme="minorHAnsi"/>
        </w:rPr>
        <w:t xml:space="preserve"> </w:t>
      </w:r>
    </w:p>
  </w:footnote>
  <w:footnote w:id="159">
    <w:p w14:paraId="2E15BDC4" w14:textId="764556A8" w:rsidR="00D95CBB" w:rsidRPr="00001F7B" w:rsidRDefault="00D95CBB" w:rsidP="00365EBC">
      <w:pPr>
        <w:pStyle w:val="FootnoteText"/>
        <w:rPr>
          <w:rFonts w:cstheme="minorHAnsi"/>
        </w:rPr>
      </w:pPr>
      <w:r w:rsidRPr="00001F7B">
        <w:rPr>
          <w:rStyle w:val="FootnoteReference"/>
          <w:rFonts w:cstheme="minorHAnsi"/>
        </w:rPr>
        <w:footnoteRef/>
      </w:r>
      <w:r w:rsidRPr="00001F7B">
        <w:rPr>
          <w:rFonts w:cstheme="minorHAnsi"/>
        </w:rPr>
        <w:t xml:space="preserve"> See generally McLachlan, ‘The principle of systemic integration </w:t>
      </w:r>
      <w:r w:rsidR="00365EBC" w:rsidRPr="00001F7B">
        <w:rPr>
          <w:rFonts w:cstheme="minorHAnsi"/>
        </w:rPr>
        <w:t>and Article 31(3)(c) of the Vienna Convention’</w:t>
      </w:r>
      <w:r w:rsidRPr="00001F7B">
        <w:rPr>
          <w:rFonts w:cstheme="minorHAnsi"/>
        </w:rPr>
        <w:t xml:space="preserve"> </w:t>
      </w:r>
      <w:r w:rsidR="00365EBC" w:rsidRPr="00001F7B">
        <w:rPr>
          <w:rFonts w:cstheme="minorHAnsi"/>
        </w:rPr>
        <w:t>(2005) 54 ICLQ 279 and Gardiner,</w:t>
      </w:r>
      <w:r w:rsidR="00652C20" w:rsidRPr="00001F7B">
        <w:rPr>
          <w:rFonts w:cstheme="minorHAnsi"/>
        </w:rPr>
        <w:t xml:space="preserve"> above, </w:t>
      </w:r>
      <w:proofErr w:type="spellStart"/>
      <w:r w:rsidR="00652C20" w:rsidRPr="00001F7B">
        <w:rPr>
          <w:rFonts w:cstheme="minorHAnsi"/>
        </w:rPr>
        <w:t>fn</w:t>
      </w:r>
      <w:proofErr w:type="spellEnd"/>
      <w:r w:rsidR="00D85EB1" w:rsidRPr="00001F7B">
        <w:rPr>
          <w:rFonts w:cstheme="minorHAnsi"/>
        </w:rPr>
        <w:t xml:space="preserve"> 5</w:t>
      </w:r>
      <w:r w:rsidR="00652C20" w:rsidRPr="00001F7B">
        <w:rPr>
          <w:rFonts w:cstheme="minorHAnsi"/>
        </w:rPr>
        <w:t>,</w:t>
      </w:r>
      <w:r w:rsidR="00365EBC" w:rsidRPr="00001F7B">
        <w:rPr>
          <w:rFonts w:cstheme="minorHAnsi"/>
        </w:rPr>
        <w:t xml:space="preserve"> p 2</w:t>
      </w:r>
      <w:r w:rsidR="00D471EC" w:rsidRPr="00001F7B">
        <w:rPr>
          <w:rFonts w:cstheme="minorHAnsi"/>
        </w:rPr>
        <w:t>7</w:t>
      </w:r>
      <w:r w:rsidR="00365EBC" w:rsidRPr="00001F7B">
        <w:rPr>
          <w:rFonts w:cstheme="minorHAnsi"/>
        </w:rPr>
        <w:t>99.</w:t>
      </w:r>
    </w:p>
  </w:footnote>
  <w:footnote w:id="160">
    <w:p w14:paraId="20296BC8" w14:textId="62D52F18" w:rsidR="00A31E40" w:rsidRPr="00001F7B" w:rsidRDefault="00A31E40">
      <w:pPr>
        <w:pStyle w:val="FootnoteText"/>
        <w:rPr>
          <w:rFonts w:cstheme="minorHAnsi"/>
        </w:rPr>
      </w:pPr>
      <w:r w:rsidRPr="00001F7B">
        <w:rPr>
          <w:rStyle w:val="FootnoteReference"/>
          <w:rFonts w:cstheme="minorHAnsi"/>
        </w:rPr>
        <w:footnoteRef/>
      </w:r>
      <w:r w:rsidRPr="00001F7B">
        <w:rPr>
          <w:rFonts w:cstheme="minorHAnsi"/>
        </w:rPr>
        <w:t xml:space="preserve"> Autonomous interpretation as a general principle of CIL can, arguably</w:t>
      </w:r>
      <w:r w:rsidR="0069186E" w:rsidRPr="00001F7B">
        <w:rPr>
          <w:rFonts w:cstheme="minorHAnsi"/>
        </w:rPr>
        <w:t>,</w:t>
      </w:r>
      <w:r w:rsidRPr="00001F7B">
        <w:rPr>
          <w:rFonts w:cstheme="minorHAnsi"/>
        </w:rPr>
        <w:t xml:space="preserve"> be drawn in via this provision</w:t>
      </w:r>
    </w:p>
  </w:footnote>
  <w:footnote w:id="161">
    <w:p w14:paraId="08F39646" w14:textId="6A132A31" w:rsidR="003D167F" w:rsidRPr="00001F7B" w:rsidRDefault="003D167F">
      <w:pPr>
        <w:pStyle w:val="FootnoteText"/>
        <w:rPr>
          <w:rFonts w:cstheme="minorHAnsi"/>
        </w:rPr>
      </w:pPr>
      <w:r w:rsidRPr="00001F7B">
        <w:rPr>
          <w:rStyle w:val="FootnoteReference"/>
          <w:rFonts w:cstheme="minorHAnsi"/>
        </w:rPr>
        <w:footnoteRef/>
      </w:r>
      <w:r w:rsidRPr="00001F7B">
        <w:rPr>
          <w:rFonts w:cstheme="minorHAnsi"/>
        </w:rPr>
        <w:t xml:space="preserve"> McLachlan, </w:t>
      </w:r>
      <w:r w:rsidR="00AA2AFC" w:rsidRPr="00001F7B">
        <w:rPr>
          <w:rFonts w:cstheme="minorHAnsi"/>
          <w:i/>
          <w:iCs/>
        </w:rPr>
        <w:t xml:space="preserve">op </w:t>
      </w:r>
      <w:proofErr w:type="spellStart"/>
      <w:r w:rsidR="00AA2AFC" w:rsidRPr="00001F7B">
        <w:rPr>
          <w:rFonts w:cstheme="minorHAnsi"/>
          <w:i/>
          <w:iCs/>
        </w:rPr>
        <w:t>cit</w:t>
      </w:r>
      <w:proofErr w:type="spellEnd"/>
      <w:r w:rsidR="00AA2AFC" w:rsidRPr="00001F7B">
        <w:rPr>
          <w:rFonts w:cstheme="minorHAnsi"/>
        </w:rPr>
        <w:t xml:space="preserve">, </w:t>
      </w:r>
      <w:r w:rsidRPr="00001F7B">
        <w:rPr>
          <w:rFonts w:cstheme="minorHAnsi"/>
        </w:rPr>
        <w:t>p 311.</w:t>
      </w:r>
      <w:r w:rsidR="002B7A28" w:rsidRPr="00001F7B">
        <w:rPr>
          <w:rFonts w:cstheme="minorHAnsi"/>
        </w:rPr>
        <w:t xml:space="preserve"> </w:t>
      </w:r>
    </w:p>
  </w:footnote>
  <w:footnote w:id="162">
    <w:p w14:paraId="15703E91" w14:textId="462F1165" w:rsidR="00E86DA0" w:rsidRPr="00001F7B" w:rsidRDefault="00E86DA0">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 xml:space="preserve">Op </w:t>
      </w:r>
      <w:proofErr w:type="spellStart"/>
      <w:r w:rsidRPr="00001F7B">
        <w:rPr>
          <w:rFonts w:cstheme="minorHAnsi"/>
          <w:i/>
          <w:iCs/>
        </w:rPr>
        <w:t>cit</w:t>
      </w:r>
      <w:proofErr w:type="spellEnd"/>
      <w:r w:rsidRPr="00001F7B">
        <w:rPr>
          <w:rFonts w:cstheme="minorHAnsi"/>
        </w:rPr>
        <w:t xml:space="preserve"> p 314.</w:t>
      </w:r>
    </w:p>
  </w:footnote>
  <w:footnote w:id="163">
    <w:p w14:paraId="21740870" w14:textId="20AD040D" w:rsidR="00836494" w:rsidRPr="00001F7B" w:rsidRDefault="00836494" w:rsidP="00161381">
      <w:pPr>
        <w:pStyle w:val="FootnoteText"/>
        <w:rPr>
          <w:rFonts w:cstheme="minorHAnsi"/>
        </w:rPr>
      </w:pPr>
      <w:r w:rsidRPr="00001F7B">
        <w:rPr>
          <w:rStyle w:val="FootnoteReference"/>
          <w:rFonts w:cstheme="minorHAnsi"/>
        </w:rPr>
        <w:footnoteRef/>
      </w:r>
      <w:r w:rsidRPr="00001F7B">
        <w:rPr>
          <w:rFonts w:cstheme="minorHAnsi"/>
        </w:rPr>
        <w:t xml:space="preserve"> </w:t>
      </w:r>
      <w:r w:rsidR="00652C20" w:rsidRPr="00001F7B">
        <w:rPr>
          <w:rFonts w:cstheme="minorHAnsi"/>
        </w:rPr>
        <w:t xml:space="preserve">Above, </w:t>
      </w:r>
      <w:proofErr w:type="spellStart"/>
      <w:r w:rsidR="00652C20" w:rsidRPr="00001F7B">
        <w:rPr>
          <w:rFonts w:cstheme="minorHAnsi"/>
        </w:rPr>
        <w:t>fn</w:t>
      </w:r>
      <w:proofErr w:type="spellEnd"/>
      <w:r w:rsidR="00652C20" w:rsidRPr="00001F7B">
        <w:rPr>
          <w:rFonts w:cstheme="minorHAnsi"/>
        </w:rPr>
        <w:t xml:space="preserve"> </w:t>
      </w:r>
      <w:r w:rsidR="00D471EC" w:rsidRPr="00001F7B">
        <w:rPr>
          <w:rFonts w:cstheme="minorHAnsi"/>
        </w:rPr>
        <w:t>5</w:t>
      </w:r>
      <w:r w:rsidR="00652C20" w:rsidRPr="00001F7B">
        <w:rPr>
          <w:rFonts w:cstheme="minorHAnsi"/>
        </w:rPr>
        <w:t>, a</w:t>
      </w:r>
      <w:r w:rsidRPr="00001F7B">
        <w:rPr>
          <w:rFonts w:cstheme="minorHAnsi"/>
        </w:rPr>
        <w:t>t p 317</w:t>
      </w:r>
      <w:r w:rsidR="00161381" w:rsidRPr="00001F7B">
        <w:rPr>
          <w:rFonts w:cstheme="minorHAnsi"/>
        </w:rPr>
        <w:t>. N</w:t>
      </w:r>
      <w:r w:rsidR="00D471EC" w:rsidRPr="00001F7B">
        <w:rPr>
          <w:rFonts w:cstheme="minorHAnsi"/>
        </w:rPr>
        <w:t>ote that</w:t>
      </w:r>
      <w:r w:rsidR="00161381" w:rsidRPr="00001F7B">
        <w:rPr>
          <w:rFonts w:cstheme="minorHAnsi"/>
        </w:rPr>
        <w:t xml:space="preserve"> Mola and </w:t>
      </w:r>
      <w:proofErr w:type="spellStart"/>
      <w:r w:rsidR="00161381" w:rsidRPr="00001F7B">
        <w:rPr>
          <w:rFonts w:cstheme="minorHAnsi"/>
        </w:rPr>
        <w:t>Poncib</w:t>
      </w:r>
      <w:r w:rsidR="007C6497" w:rsidRPr="00001F7B">
        <w:rPr>
          <w:rFonts w:cstheme="minorHAnsi"/>
        </w:rPr>
        <w:t>ò</w:t>
      </w:r>
      <w:proofErr w:type="spellEnd"/>
      <w:r w:rsidR="007C6497" w:rsidRPr="00001F7B">
        <w:rPr>
          <w:rFonts w:cstheme="minorHAnsi"/>
        </w:rPr>
        <w:t xml:space="preserve">, above, </w:t>
      </w:r>
      <w:proofErr w:type="spellStart"/>
      <w:r w:rsidR="007C6497" w:rsidRPr="00001F7B">
        <w:rPr>
          <w:rFonts w:cstheme="minorHAnsi"/>
        </w:rPr>
        <w:t>fn</w:t>
      </w:r>
      <w:proofErr w:type="spellEnd"/>
      <w:r w:rsidR="00161381" w:rsidRPr="00001F7B">
        <w:rPr>
          <w:rFonts w:cstheme="minorHAnsi"/>
        </w:rPr>
        <w:t xml:space="preserve"> </w:t>
      </w:r>
      <w:r w:rsidR="007C6497" w:rsidRPr="00001F7B">
        <w:rPr>
          <w:rFonts w:cstheme="minorHAnsi"/>
        </w:rPr>
        <w:t xml:space="preserve">, </w:t>
      </w:r>
      <w:r w:rsidR="00161381" w:rsidRPr="00001F7B">
        <w:rPr>
          <w:rFonts w:cstheme="minorHAnsi"/>
        </w:rPr>
        <w:t>p 868</w:t>
      </w:r>
      <w:r w:rsidR="00D471EC" w:rsidRPr="00001F7B">
        <w:rPr>
          <w:rFonts w:cstheme="minorHAnsi"/>
        </w:rPr>
        <w:t>,</w:t>
      </w:r>
      <w:r w:rsidR="00161381" w:rsidRPr="00001F7B">
        <w:rPr>
          <w:rFonts w:cstheme="minorHAnsi"/>
        </w:rPr>
        <w:t xml:space="preserve"> cite G</w:t>
      </w:r>
      <w:r w:rsidR="0023347A" w:rsidRPr="00001F7B">
        <w:rPr>
          <w:rFonts w:cstheme="minorHAnsi"/>
        </w:rPr>
        <w:t>ardiner</w:t>
      </w:r>
      <w:r w:rsidR="00161381" w:rsidRPr="00001F7B">
        <w:rPr>
          <w:rFonts w:cstheme="minorHAnsi"/>
        </w:rPr>
        <w:t xml:space="preserve"> and say </w:t>
      </w:r>
      <w:r w:rsidR="00972AB1" w:rsidRPr="00001F7B">
        <w:rPr>
          <w:rFonts w:cstheme="minorHAnsi"/>
        </w:rPr>
        <w:t>that another treaty is relevant to art 31.3(c) “…</w:t>
      </w:r>
      <w:r w:rsidR="00161381" w:rsidRPr="00001F7B">
        <w:rPr>
          <w:rFonts w:cstheme="minorHAnsi"/>
        </w:rPr>
        <w:t xml:space="preserve">only if it is binding upon all the parties to the treaty under interpretation, or at least upon the parties involved in the application (and interpretation) of that treaty in a given circumstance. </w:t>
      </w:r>
      <w:r w:rsidR="0023347A" w:rsidRPr="00001F7B">
        <w:rPr>
          <w:rFonts w:cstheme="minorHAnsi"/>
        </w:rPr>
        <w:t>A</w:t>
      </w:r>
      <w:r w:rsidR="00161381" w:rsidRPr="00001F7B">
        <w:rPr>
          <w:rFonts w:cstheme="minorHAnsi"/>
        </w:rPr>
        <w:t xml:space="preserve">lthough the issue is far from clear and settled, the latter option seems to ﬁnd support in the literature and in the case law, as well as in a Report of the ILC.”  </w:t>
      </w:r>
      <w:r w:rsidR="00BD6408" w:rsidRPr="00001F7B">
        <w:rPr>
          <w:rFonts w:cstheme="minorHAnsi"/>
        </w:rPr>
        <w:t xml:space="preserve">The reference to the parties involved in the application of the treaty seems to be more apt for where a bilateral treaty is involved. </w:t>
      </w:r>
      <w:r w:rsidR="004C6BCD" w:rsidRPr="00001F7B">
        <w:rPr>
          <w:rFonts w:cstheme="minorHAnsi"/>
        </w:rPr>
        <w:t>The reference to binding all parties to the treaty, if applied to</w:t>
      </w:r>
      <w:r w:rsidR="00BD6408" w:rsidRPr="00001F7B">
        <w:rPr>
          <w:rFonts w:cstheme="minorHAnsi"/>
        </w:rPr>
        <w:t xml:space="preserve"> multilateral treaties could result in fragmentation of this interpretive method</w:t>
      </w:r>
      <w:r w:rsidR="00086DFB" w:rsidRPr="00001F7B">
        <w:rPr>
          <w:rFonts w:cstheme="minorHAnsi"/>
        </w:rPr>
        <w:t xml:space="preserve">, </w:t>
      </w:r>
      <w:r w:rsidR="004C6BCD" w:rsidRPr="00001F7B">
        <w:rPr>
          <w:rFonts w:cstheme="minorHAnsi"/>
        </w:rPr>
        <w:t>e.g.,</w:t>
      </w:r>
      <w:r w:rsidR="00086DFB" w:rsidRPr="00001F7B">
        <w:rPr>
          <w:rFonts w:cstheme="minorHAnsi"/>
        </w:rPr>
        <w:t xml:space="preserve"> not all parties to the CMR are necessarily also parties to CIM or Montreal so that reference to the other treaty would be required in some cases but not in others. </w:t>
      </w:r>
      <w:r w:rsidR="00BD6408" w:rsidRPr="00001F7B">
        <w:rPr>
          <w:rFonts w:cstheme="minorHAnsi"/>
        </w:rPr>
        <w:t xml:space="preserve">  </w:t>
      </w:r>
    </w:p>
  </w:footnote>
  <w:footnote w:id="164">
    <w:p w14:paraId="35FC15E9" w14:textId="3B99F92E" w:rsidR="00836494" w:rsidRPr="00001F7B" w:rsidRDefault="00836494">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w:t>
      </w:r>
      <w:proofErr w:type="spellEnd"/>
      <w:r w:rsidRPr="00001F7B">
        <w:rPr>
          <w:rFonts w:cstheme="minorHAnsi"/>
          <w:i/>
          <w:iCs/>
        </w:rPr>
        <w:t xml:space="preserve"> </w:t>
      </w:r>
      <w:proofErr w:type="spellStart"/>
      <w:r w:rsidRPr="00001F7B">
        <w:rPr>
          <w:rFonts w:cstheme="minorHAnsi"/>
          <w:i/>
          <w:iCs/>
        </w:rPr>
        <w:t>cit</w:t>
      </w:r>
      <w:proofErr w:type="spellEnd"/>
      <w:r w:rsidRPr="00001F7B">
        <w:rPr>
          <w:rFonts w:cstheme="minorHAnsi"/>
          <w:i/>
          <w:iCs/>
        </w:rPr>
        <w:t>,</w:t>
      </w:r>
      <w:r w:rsidR="00971F34" w:rsidRPr="00001F7B">
        <w:rPr>
          <w:rFonts w:cstheme="minorHAnsi"/>
        </w:rPr>
        <w:t xml:space="preserve"> </w:t>
      </w:r>
      <w:r w:rsidRPr="00001F7B">
        <w:rPr>
          <w:rFonts w:cstheme="minorHAnsi"/>
        </w:rPr>
        <w:t>referring to</w:t>
      </w:r>
      <w:r w:rsidR="00960697" w:rsidRPr="00001F7B">
        <w:rPr>
          <w:rFonts w:cstheme="minorHAnsi"/>
        </w:rPr>
        <w:t xml:space="preserve"> the</w:t>
      </w:r>
      <w:r w:rsidRPr="00001F7B">
        <w:rPr>
          <w:rFonts w:cstheme="minorHAnsi"/>
        </w:rPr>
        <w:t xml:space="preserve"> ILC Report on the Fifty-eighth session (2006), General Assembly, Official Records, Sixty-first session, Supplement No10 (A/61/10), 414-15, para 21: “</w:t>
      </w:r>
      <w:r w:rsidRPr="00001F7B">
        <w:rPr>
          <w:rFonts w:cstheme="minorHAnsi"/>
          <w:i/>
          <w:iCs/>
        </w:rPr>
        <w:t>Application of other treaty rules</w:t>
      </w:r>
      <w:r w:rsidR="00ED0CB4" w:rsidRPr="00001F7B">
        <w:rPr>
          <w:rFonts w:cstheme="minorHAnsi"/>
        </w:rPr>
        <w:t xml:space="preserve"> Article 31</w:t>
      </w:r>
      <w:r w:rsidR="000D4B35" w:rsidRPr="00001F7B">
        <w:rPr>
          <w:rFonts w:cstheme="minorHAnsi"/>
        </w:rPr>
        <w:t>.3</w:t>
      </w:r>
      <w:r w:rsidR="00ED0CB4" w:rsidRPr="00001F7B">
        <w:rPr>
          <w:rFonts w:cstheme="minorHAnsi"/>
        </w:rPr>
        <w:t xml:space="preserve">(c) also requires the interpreter to consider other treaty-based rules so as to arrive at a consistent meaning. Such other rules are of particular relevance where the parties to the treaty under consideration are also parties to the other treaty, where the treaty rule has passed into or expresses </w:t>
      </w:r>
      <w:r w:rsidR="00F73F3D" w:rsidRPr="00001F7B">
        <w:rPr>
          <w:rFonts w:cstheme="minorHAnsi"/>
        </w:rPr>
        <w:t>customary international law or where they provide evidence of the common understanding of the parties as to the object and purpose of the treaty under interpretation or as to the meaning of a particular term.</w:t>
      </w:r>
      <w:r w:rsidR="00960697" w:rsidRPr="00001F7B">
        <w:rPr>
          <w:rFonts w:cstheme="minorHAnsi"/>
        </w:rPr>
        <w:t>”</w:t>
      </w:r>
    </w:p>
  </w:footnote>
  <w:footnote w:id="165">
    <w:p w14:paraId="399F535F" w14:textId="7883A059" w:rsidR="00F73F3D" w:rsidRPr="00001F7B" w:rsidRDefault="00F73F3D">
      <w:pPr>
        <w:pStyle w:val="FootnoteText"/>
        <w:rPr>
          <w:rFonts w:cstheme="minorHAnsi"/>
        </w:rPr>
      </w:pPr>
      <w:r w:rsidRPr="00001F7B">
        <w:rPr>
          <w:rStyle w:val="FootnoteReference"/>
          <w:rFonts w:cstheme="minorHAnsi"/>
        </w:rPr>
        <w:footnoteRef/>
      </w:r>
      <w:r w:rsidRPr="00001F7B">
        <w:rPr>
          <w:rFonts w:cstheme="minorHAnsi"/>
        </w:rPr>
        <w:t xml:space="preserve"> See the </w:t>
      </w:r>
      <w:r w:rsidR="00960697" w:rsidRPr="00001F7B">
        <w:rPr>
          <w:rFonts w:cstheme="minorHAnsi"/>
        </w:rPr>
        <w:t>quote in the previous footnote.</w:t>
      </w:r>
    </w:p>
  </w:footnote>
  <w:footnote w:id="166">
    <w:p w14:paraId="6821329A" w14:textId="2E1CF319" w:rsidR="00960697" w:rsidRPr="00001F7B" w:rsidRDefault="00960697">
      <w:pPr>
        <w:pStyle w:val="FootnoteText"/>
        <w:rPr>
          <w:rFonts w:cstheme="minorHAnsi"/>
        </w:rPr>
      </w:pPr>
      <w:r w:rsidRPr="00001F7B">
        <w:rPr>
          <w:rStyle w:val="FootnoteReference"/>
          <w:rFonts w:cstheme="minorHAnsi"/>
        </w:rPr>
        <w:footnoteRef/>
      </w:r>
      <w:r w:rsidRPr="00001F7B">
        <w:rPr>
          <w:rFonts w:cstheme="minorHAnsi"/>
        </w:rPr>
        <w:t xml:space="preserve"> </w:t>
      </w:r>
      <w:r w:rsidR="00BC5DA6" w:rsidRPr="00001F7B">
        <w:rPr>
          <w:rFonts w:cstheme="minorHAnsi"/>
        </w:rPr>
        <w:t xml:space="preserve">Above, </w:t>
      </w:r>
      <w:proofErr w:type="spellStart"/>
      <w:r w:rsidR="00BC5DA6" w:rsidRPr="00001F7B">
        <w:rPr>
          <w:rFonts w:cstheme="minorHAnsi"/>
        </w:rPr>
        <w:t>fn</w:t>
      </w:r>
      <w:proofErr w:type="spellEnd"/>
      <w:r w:rsidR="00BC5DA6" w:rsidRPr="00001F7B">
        <w:rPr>
          <w:rFonts w:cstheme="minorHAnsi"/>
        </w:rPr>
        <w:t xml:space="preserve"> </w:t>
      </w:r>
      <w:r w:rsidR="00F752A4" w:rsidRPr="00001F7B">
        <w:rPr>
          <w:rFonts w:cstheme="minorHAnsi"/>
        </w:rPr>
        <w:t>5</w:t>
      </w:r>
      <w:r w:rsidR="00BC5DA6" w:rsidRPr="00001F7B">
        <w:rPr>
          <w:rFonts w:cstheme="minorHAnsi"/>
        </w:rPr>
        <w:t xml:space="preserve">, </w:t>
      </w:r>
      <w:r w:rsidRPr="00001F7B">
        <w:rPr>
          <w:rFonts w:cstheme="minorHAnsi"/>
        </w:rPr>
        <w:t xml:space="preserve">at p </w:t>
      </w:r>
      <w:r w:rsidR="00CE6A1F" w:rsidRPr="00001F7B">
        <w:rPr>
          <w:rFonts w:cstheme="minorHAnsi"/>
        </w:rPr>
        <w:t>323.</w:t>
      </w:r>
    </w:p>
  </w:footnote>
  <w:footnote w:id="167">
    <w:p w14:paraId="4098DBB2" w14:textId="4303EACB" w:rsidR="00CE6A1F" w:rsidRPr="00001F7B" w:rsidRDefault="00CE6A1F">
      <w:pPr>
        <w:pStyle w:val="FootnoteText"/>
        <w:rPr>
          <w:rFonts w:cstheme="minorHAnsi"/>
        </w:rPr>
      </w:pPr>
      <w:r w:rsidRPr="00001F7B">
        <w:rPr>
          <w:rStyle w:val="FootnoteReference"/>
          <w:rFonts w:cstheme="minorHAnsi"/>
        </w:rPr>
        <w:footnoteRef/>
      </w:r>
      <w:r w:rsidRPr="00001F7B">
        <w:rPr>
          <w:rFonts w:cstheme="minorHAnsi"/>
        </w:rPr>
        <w:t xml:space="preserve"> He notes at p 312 that even if </w:t>
      </w:r>
      <w:r w:rsidR="00457D1B" w:rsidRPr="00001F7B">
        <w:rPr>
          <w:rFonts w:cstheme="minorHAnsi"/>
        </w:rPr>
        <w:t>the provisions of another treaty do not come within the scope of art 31</w:t>
      </w:r>
      <w:r w:rsidR="000D4B35" w:rsidRPr="00001F7B">
        <w:rPr>
          <w:rFonts w:cstheme="minorHAnsi"/>
        </w:rPr>
        <w:t>.</w:t>
      </w:r>
      <w:r w:rsidR="00457D1B" w:rsidRPr="00001F7B">
        <w:rPr>
          <w:rFonts w:cstheme="minorHAnsi"/>
        </w:rPr>
        <w:t>3(c) that does not exclude them from consideration in treaty interpretation i</w:t>
      </w:r>
      <w:r w:rsidR="00F752A4" w:rsidRPr="00001F7B">
        <w:rPr>
          <w:rFonts w:cstheme="minorHAnsi"/>
        </w:rPr>
        <w:t>f</w:t>
      </w:r>
      <w:r w:rsidR="00457D1B" w:rsidRPr="00001F7B">
        <w:rPr>
          <w:rFonts w:cstheme="minorHAnsi"/>
        </w:rPr>
        <w:t xml:space="preserve"> they provide guidance on the ordinary meaning of a term or can be invoked on the basis of some other element of the Vienna Rules, such as in the form of supplementary means of interpretation, see below.</w:t>
      </w:r>
    </w:p>
  </w:footnote>
  <w:footnote w:id="168">
    <w:p w14:paraId="4A6B7AE1" w14:textId="3315A8D7" w:rsidR="00A41D8C" w:rsidRPr="00001F7B" w:rsidRDefault="00A41D8C">
      <w:pPr>
        <w:pStyle w:val="FootnoteText"/>
        <w:rPr>
          <w:rFonts w:cstheme="minorHAnsi"/>
        </w:rPr>
      </w:pPr>
      <w:r w:rsidRPr="00001F7B">
        <w:rPr>
          <w:rStyle w:val="FootnoteReference"/>
          <w:rFonts w:cstheme="minorHAnsi"/>
        </w:rPr>
        <w:footnoteRef/>
      </w:r>
      <w:r w:rsidRPr="00001F7B">
        <w:rPr>
          <w:rFonts w:cstheme="minorHAnsi"/>
        </w:rPr>
        <w:t xml:space="preserve"> Both in </w:t>
      </w:r>
      <w:r w:rsidR="00BC5DA6" w:rsidRPr="00001F7B">
        <w:rPr>
          <w:rFonts w:cstheme="minorHAnsi"/>
        </w:rPr>
        <w:t>respect of art 31.3.(b)</w:t>
      </w:r>
      <w:r w:rsidRPr="00001F7B">
        <w:rPr>
          <w:rFonts w:cstheme="minorHAnsi"/>
        </w:rPr>
        <w:t xml:space="preserve"> and in the wider context the review here draws heavily on the discussion by Gardiner, </w:t>
      </w:r>
      <w:r w:rsidRPr="00001F7B">
        <w:rPr>
          <w:rFonts w:cstheme="minorHAnsi"/>
          <w:i/>
          <w:iCs/>
        </w:rPr>
        <w:t xml:space="preserve">op </w:t>
      </w:r>
      <w:proofErr w:type="spellStart"/>
      <w:r w:rsidRPr="00001F7B">
        <w:rPr>
          <w:rFonts w:cstheme="minorHAnsi"/>
          <w:i/>
          <w:iCs/>
        </w:rPr>
        <w:t>cit</w:t>
      </w:r>
      <w:proofErr w:type="spellEnd"/>
      <w:r w:rsidRPr="00001F7B">
        <w:rPr>
          <w:rFonts w:cstheme="minorHAnsi"/>
        </w:rPr>
        <w:t>, pp 292-294, 298, 317-</w:t>
      </w:r>
      <w:r w:rsidR="000D4B35" w:rsidRPr="00001F7B">
        <w:rPr>
          <w:rFonts w:cstheme="minorHAnsi"/>
        </w:rPr>
        <w:t>323, 467-474.</w:t>
      </w:r>
    </w:p>
  </w:footnote>
  <w:footnote w:id="169">
    <w:p w14:paraId="739E9E6E" w14:textId="7CEB62CD" w:rsidR="00D14DDF" w:rsidRPr="00001F7B" w:rsidRDefault="00D14DDF" w:rsidP="00C01ECA">
      <w:pPr>
        <w:pStyle w:val="FootnoteText"/>
        <w:rPr>
          <w:rFonts w:cstheme="minorHAnsi"/>
        </w:rPr>
      </w:pPr>
      <w:r w:rsidRPr="00001F7B">
        <w:rPr>
          <w:rStyle w:val="FootnoteReference"/>
          <w:rFonts w:cstheme="minorHAnsi"/>
        </w:rPr>
        <w:footnoteRef/>
      </w:r>
      <w:r w:rsidRPr="00001F7B">
        <w:rPr>
          <w:rFonts w:cstheme="minorHAnsi"/>
        </w:rPr>
        <w:t xml:space="preserve"> </w:t>
      </w:r>
      <w:r w:rsidR="00B61304" w:rsidRPr="00001F7B">
        <w:rPr>
          <w:rFonts w:cstheme="minorHAnsi"/>
        </w:rPr>
        <w:t xml:space="preserve">The </w:t>
      </w:r>
      <w:r w:rsidRPr="00001F7B">
        <w:rPr>
          <w:rFonts w:cstheme="minorHAnsi"/>
        </w:rPr>
        <w:t xml:space="preserve">ILC </w:t>
      </w:r>
      <w:r w:rsidR="00B61304" w:rsidRPr="00001F7B">
        <w:rPr>
          <w:rFonts w:cstheme="minorHAnsi"/>
        </w:rPr>
        <w:t xml:space="preserve">in the </w:t>
      </w:r>
      <w:r w:rsidRPr="00001F7B">
        <w:rPr>
          <w:rFonts w:cstheme="minorHAnsi"/>
        </w:rPr>
        <w:t xml:space="preserve">1996 </w:t>
      </w:r>
      <w:r w:rsidR="00B61304" w:rsidRPr="00001F7B">
        <w:rPr>
          <w:rFonts w:cstheme="minorHAnsi"/>
        </w:rPr>
        <w:t>Commentary, above</w:t>
      </w:r>
      <w:r w:rsidR="00F752A4" w:rsidRPr="00001F7B">
        <w:rPr>
          <w:rFonts w:cstheme="minorHAnsi"/>
        </w:rPr>
        <w:t>,</w:t>
      </w:r>
      <w:r w:rsidR="00B61304" w:rsidRPr="00001F7B">
        <w:rPr>
          <w:rFonts w:cstheme="minorHAnsi"/>
        </w:rPr>
        <w:t xml:space="preserve"> </w:t>
      </w:r>
      <w:proofErr w:type="spellStart"/>
      <w:r w:rsidR="00B61304" w:rsidRPr="00001F7B">
        <w:rPr>
          <w:rFonts w:cstheme="minorHAnsi"/>
        </w:rPr>
        <w:t>fn</w:t>
      </w:r>
      <w:proofErr w:type="spellEnd"/>
      <w:r w:rsidR="00B61304" w:rsidRPr="00001F7B">
        <w:rPr>
          <w:rFonts w:cstheme="minorHAnsi"/>
        </w:rPr>
        <w:t xml:space="preserve"> </w:t>
      </w:r>
      <w:r w:rsidR="00F752A4" w:rsidRPr="00001F7B">
        <w:rPr>
          <w:rFonts w:cstheme="minorHAnsi"/>
        </w:rPr>
        <w:t>5</w:t>
      </w:r>
      <w:r w:rsidR="00B61304" w:rsidRPr="00001F7B">
        <w:rPr>
          <w:rFonts w:cstheme="minorHAnsi"/>
        </w:rPr>
        <w:t>,</w:t>
      </w:r>
      <w:r w:rsidRPr="00001F7B">
        <w:rPr>
          <w:rFonts w:cstheme="minorHAnsi"/>
        </w:rPr>
        <w:t xml:space="preserve"> </w:t>
      </w:r>
      <w:r w:rsidR="00B61304" w:rsidRPr="00001F7B">
        <w:rPr>
          <w:rFonts w:cstheme="minorHAnsi"/>
        </w:rPr>
        <w:t>p 222 sai</w:t>
      </w:r>
      <w:r w:rsidRPr="00001F7B">
        <w:rPr>
          <w:rFonts w:cstheme="minorHAnsi"/>
        </w:rPr>
        <w:t xml:space="preserve">d that </w:t>
      </w:r>
      <w:r w:rsidR="00C01ECA" w:rsidRPr="00001F7B">
        <w:rPr>
          <w:rFonts w:cstheme="minorHAnsi"/>
        </w:rPr>
        <w:t>“</w:t>
      </w:r>
      <w:r w:rsidRPr="00001F7B">
        <w:rPr>
          <w:rFonts w:cstheme="minorHAnsi"/>
        </w:rPr>
        <w:t>any attempt to formulate a rule governing comprehensively the</w:t>
      </w:r>
      <w:r w:rsidR="00B61304" w:rsidRPr="00001F7B">
        <w:rPr>
          <w:rFonts w:cstheme="minorHAnsi"/>
        </w:rPr>
        <w:t xml:space="preserve"> </w:t>
      </w:r>
      <w:r w:rsidRPr="00001F7B">
        <w:rPr>
          <w:rFonts w:cstheme="minorHAnsi"/>
        </w:rPr>
        <w:t>temporal element would present difficulties</w:t>
      </w:r>
      <w:r w:rsidR="00C01ECA" w:rsidRPr="00001F7B">
        <w:rPr>
          <w:rFonts w:cstheme="minorHAnsi"/>
        </w:rPr>
        <w:t>” and “correct application of the temporal element would normally be indicated by interpretation of the term in good faith</w:t>
      </w:r>
      <w:r w:rsidR="00B61304" w:rsidRPr="00001F7B">
        <w:rPr>
          <w:rFonts w:cstheme="minorHAnsi"/>
        </w:rPr>
        <w:t>.</w:t>
      </w:r>
      <w:r w:rsidR="00C01ECA" w:rsidRPr="00001F7B">
        <w:rPr>
          <w:rFonts w:cstheme="minorHAnsi"/>
        </w:rPr>
        <w:t>”</w:t>
      </w:r>
    </w:p>
  </w:footnote>
  <w:footnote w:id="170">
    <w:p w14:paraId="6A37DAE9" w14:textId="48173F59" w:rsidR="000315FC" w:rsidRPr="00001F7B" w:rsidRDefault="000315FC">
      <w:pPr>
        <w:pStyle w:val="FootnoteText"/>
        <w:rPr>
          <w:rFonts w:cstheme="minorHAnsi"/>
        </w:rPr>
      </w:pPr>
      <w:r w:rsidRPr="00001F7B">
        <w:rPr>
          <w:rStyle w:val="FootnoteReference"/>
          <w:rFonts w:cstheme="minorHAnsi"/>
        </w:rPr>
        <w:footnoteRef/>
      </w:r>
      <w:r w:rsidRPr="00001F7B">
        <w:rPr>
          <w:rFonts w:cstheme="minorHAnsi"/>
        </w:rPr>
        <w:t xml:space="preserve"> At p 298, quoting Waldock, [1966] YILC, vol 1. Part II, p 199, para 9.</w:t>
      </w:r>
      <w:r w:rsidR="00457563" w:rsidRPr="00001F7B">
        <w:rPr>
          <w:rFonts w:cstheme="minorHAnsi"/>
        </w:rPr>
        <w:t xml:space="preserve"> In the context of CMR, see the examples given by </w:t>
      </w:r>
      <w:proofErr w:type="spellStart"/>
      <w:r w:rsidR="00457563" w:rsidRPr="00001F7B">
        <w:rPr>
          <w:rFonts w:cstheme="minorHAnsi"/>
        </w:rPr>
        <w:t>Verheyen</w:t>
      </w:r>
      <w:proofErr w:type="spellEnd"/>
      <w:r w:rsidR="00457563" w:rsidRPr="00001F7B">
        <w:rPr>
          <w:rFonts w:cstheme="minorHAnsi"/>
        </w:rPr>
        <w:t xml:space="preserve"> (below, </w:t>
      </w:r>
      <w:proofErr w:type="spellStart"/>
      <w:r w:rsidR="00457563" w:rsidRPr="00001F7B">
        <w:rPr>
          <w:rFonts w:cstheme="minorHAnsi"/>
        </w:rPr>
        <w:t>fn</w:t>
      </w:r>
      <w:proofErr w:type="spellEnd"/>
      <w:r w:rsidR="00457563" w:rsidRPr="00001F7B">
        <w:rPr>
          <w:rFonts w:cstheme="minorHAnsi"/>
        </w:rPr>
        <w:t xml:space="preserve"> 272, p </w:t>
      </w:r>
      <w:r w:rsidR="001F3A1D" w:rsidRPr="00001F7B">
        <w:rPr>
          <w:rFonts w:cstheme="minorHAnsi"/>
        </w:rPr>
        <w:t xml:space="preserve">451 </w:t>
      </w:r>
      <w:r w:rsidR="001F3A1D" w:rsidRPr="00001F7B">
        <w:rPr>
          <w:rFonts w:cstheme="minorHAnsi"/>
          <w:i/>
          <w:iCs/>
        </w:rPr>
        <w:t xml:space="preserve">et </w:t>
      </w:r>
      <w:proofErr w:type="spellStart"/>
      <w:r w:rsidR="001F3A1D" w:rsidRPr="00001F7B">
        <w:rPr>
          <w:rFonts w:cstheme="minorHAnsi"/>
          <w:i/>
          <w:iCs/>
        </w:rPr>
        <w:t>seq</w:t>
      </w:r>
      <w:proofErr w:type="spellEnd"/>
      <w:r w:rsidR="00457563" w:rsidRPr="00001F7B">
        <w:rPr>
          <w:rFonts w:cstheme="minorHAnsi"/>
        </w:rPr>
        <w:t>) in respect of transport innovations</w:t>
      </w:r>
      <w:r w:rsidR="001F3A1D" w:rsidRPr="00001F7B">
        <w:rPr>
          <w:rFonts w:cstheme="minorHAnsi"/>
        </w:rPr>
        <w:t xml:space="preserve"> which may not have been anticipated by the creators of CMR. This may be an area where the principle of effectiveness comes into play, see above, </w:t>
      </w:r>
      <w:proofErr w:type="spellStart"/>
      <w:r w:rsidR="001F3A1D" w:rsidRPr="00001F7B">
        <w:rPr>
          <w:rFonts w:cstheme="minorHAnsi"/>
        </w:rPr>
        <w:t>fn</w:t>
      </w:r>
      <w:proofErr w:type="spellEnd"/>
      <w:r w:rsidR="001F3A1D" w:rsidRPr="00001F7B">
        <w:rPr>
          <w:rFonts w:cstheme="minorHAnsi"/>
        </w:rPr>
        <w:t xml:space="preserve"> 120. </w:t>
      </w:r>
      <w:r w:rsidR="00457563" w:rsidRPr="00001F7B">
        <w:rPr>
          <w:rFonts w:cstheme="minorHAnsi"/>
        </w:rPr>
        <w:t xml:space="preserve"> </w:t>
      </w:r>
    </w:p>
  </w:footnote>
  <w:footnote w:id="171">
    <w:p w14:paraId="2EABC173" w14:textId="071EFE37" w:rsidR="00364934" w:rsidRPr="00001F7B" w:rsidRDefault="00364934">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Arbitration regarding the Iron Rhine (“</w:t>
      </w:r>
      <w:proofErr w:type="spellStart"/>
      <w:r w:rsidRPr="00001F7B">
        <w:rPr>
          <w:rFonts w:cstheme="minorHAnsi"/>
          <w:i/>
          <w:iCs/>
        </w:rPr>
        <w:t>Ijzeren</w:t>
      </w:r>
      <w:proofErr w:type="spellEnd"/>
      <w:r w:rsidRPr="00001F7B">
        <w:rPr>
          <w:rFonts w:cstheme="minorHAnsi"/>
          <w:i/>
          <w:iCs/>
        </w:rPr>
        <w:t xml:space="preserve"> Rijn”) Railway (Belgium/Netherlands)</w:t>
      </w:r>
      <w:r w:rsidRPr="00001F7B">
        <w:rPr>
          <w:rFonts w:cstheme="minorHAnsi"/>
        </w:rPr>
        <w:t xml:space="preserve"> (2005) XXVII RIAA 35, discussed by Gardine</w:t>
      </w:r>
      <w:r w:rsidR="006B5240" w:rsidRPr="00001F7B">
        <w:rPr>
          <w:rFonts w:cstheme="minorHAnsi"/>
        </w:rPr>
        <w:t xml:space="preserve">r, above </w:t>
      </w:r>
      <w:proofErr w:type="spellStart"/>
      <w:r w:rsidR="006B5240" w:rsidRPr="00001F7B">
        <w:rPr>
          <w:rFonts w:cstheme="minorHAnsi"/>
        </w:rPr>
        <w:t>fn</w:t>
      </w:r>
      <w:proofErr w:type="spellEnd"/>
      <w:r w:rsidR="006B5240" w:rsidRPr="00001F7B">
        <w:rPr>
          <w:rFonts w:cstheme="minorHAnsi"/>
        </w:rPr>
        <w:t xml:space="preserve"> 5, </w:t>
      </w:r>
      <w:r w:rsidRPr="00001F7B">
        <w:rPr>
          <w:rFonts w:cstheme="minorHAnsi"/>
        </w:rPr>
        <w:t>at p 318.</w:t>
      </w:r>
    </w:p>
  </w:footnote>
  <w:footnote w:id="172">
    <w:p w14:paraId="0F4ECC0A" w14:textId="1E4DCE7C" w:rsidR="0011716B" w:rsidRPr="00001F7B" w:rsidRDefault="0011716B">
      <w:pPr>
        <w:pStyle w:val="FootnoteText"/>
        <w:rPr>
          <w:rFonts w:cstheme="minorHAnsi"/>
        </w:rPr>
      </w:pPr>
      <w:r w:rsidRPr="00001F7B">
        <w:rPr>
          <w:rStyle w:val="FootnoteReference"/>
          <w:rFonts w:cstheme="minorHAnsi"/>
        </w:rPr>
        <w:footnoteRef/>
      </w:r>
      <w:r w:rsidRPr="00001F7B">
        <w:rPr>
          <w:rFonts w:cstheme="minorHAnsi"/>
        </w:rPr>
        <w:t xml:space="preserve"> G</w:t>
      </w:r>
      <w:r w:rsidR="008B7715" w:rsidRPr="00001F7B">
        <w:rPr>
          <w:rFonts w:cstheme="minorHAnsi"/>
        </w:rPr>
        <w:t>ardiner,</w:t>
      </w:r>
      <w:r w:rsidRPr="00001F7B">
        <w:rPr>
          <w:rFonts w:cstheme="minorHAnsi"/>
        </w:rPr>
        <w:t xml:space="preserve"> </w:t>
      </w:r>
      <w:r w:rsidR="006B5240" w:rsidRPr="00001F7B">
        <w:rPr>
          <w:rFonts w:cstheme="minorHAnsi"/>
        </w:rPr>
        <w:t xml:space="preserve">above, </w:t>
      </w:r>
      <w:proofErr w:type="spellStart"/>
      <w:r w:rsidR="006B5240" w:rsidRPr="00001F7B">
        <w:rPr>
          <w:rFonts w:cstheme="minorHAnsi"/>
        </w:rPr>
        <w:t>fn</w:t>
      </w:r>
      <w:proofErr w:type="spellEnd"/>
      <w:r w:rsidR="006B5240" w:rsidRPr="00001F7B">
        <w:rPr>
          <w:rFonts w:cstheme="minorHAnsi"/>
        </w:rPr>
        <w:t xml:space="preserve"> 5, </w:t>
      </w:r>
      <w:r w:rsidRPr="00001F7B">
        <w:rPr>
          <w:rFonts w:cstheme="minorHAnsi"/>
        </w:rPr>
        <w:t>p 319</w:t>
      </w:r>
      <w:r w:rsidR="008B7715" w:rsidRPr="00001F7B">
        <w:rPr>
          <w:rFonts w:cstheme="minorHAnsi"/>
        </w:rPr>
        <w:t>.</w:t>
      </w:r>
    </w:p>
  </w:footnote>
  <w:footnote w:id="173">
    <w:p w14:paraId="3DDA405B" w14:textId="0D005524" w:rsidR="003704C3" w:rsidRPr="00001F7B" w:rsidRDefault="003704C3" w:rsidP="0002357F">
      <w:pPr>
        <w:widowControl w:val="0"/>
        <w:autoSpaceDE w:val="0"/>
        <w:autoSpaceDN w:val="0"/>
        <w:adjustRightInd w:val="0"/>
        <w:spacing w:after="0" w:line="240" w:lineRule="auto"/>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Two similar cases</w:t>
      </w:r>
      <w:r w:rsidR="00E13754" w:rsidRPr="00001F7B">
        <w:rPr>
          <w:rFonts w:cstheme="minorHAnsi"/>
          <w:sz w:val="20"/>
          <w:szCs w:val="20"/>
        </w:rPr>
        <w:t xml:space="preserve">, one </w:t>
      </w:r>
      <w:r w:rsidRPr="00001F7B">
        <w:rPr>
          <w:rFonts w:cstheme="minorHAnsi"/>
          <w:sz w:val="20"/>
          <w:szCs w:val="20"/>
        </w:rPr>
        <w:t>Scottish</w:t>
      </w:r>
      <w:r w:rsidR="00E13754" w:rsidRPr="00001F7B">
        <w:rPr>
          <w:rFonts w:cstheme="minorHAnsi"/>
          <w:sz w:val="20"/>
          <w:szCs w:val="20"/>
        </w:rPr>
        <w:t xml:space="preserve"> (</w:t>
      </w:r>
      <w:r w:rsidR="00E13754" w:rsidRPr="00001F7B">
        <w:rPr>
          <w:rFonts w:cstheme="minorHAnsi"/>
          <w:i/>
          <w:iCs/>
          <w:sz w:val="20"/>
          <w:szCs w:val="20"/>
        </w:rPr>
        <w:t>K</w:t>
      </w:r>
      <w:r w:rsidR="0041619A" w:rsidRPr="00001F7B">
        <w:rPr>
          <w:rFonts w:cstheme="minorHAnsi"/>
          <w:i/>
          <w:iCs/>
          <w:sz w:val="20"/>
          <w:szCs w:val="20"/>
        </w:rPr>
        <w:t>i</w:t>
      </w:r>
      <w:r w:rsidR="00E13754" w:rsidRPr="00001F7B">
        <w:rPr>
          <w:rFonts w:cstheme="minorHAnsi"/>
          <w:i/>
          <w:iCs/>
          <w:sz w:val="20"/>
          <w:szCs w:val="20"/>
        </w:rPr>
        <w:t>ng</w:t>
      </w:r>
      <w:r w:rsidR="00E13754" w:rsidRPr="00001F7B">
        <w:rPr>
          <w:rFonts w:cstheme="minorHAnsi"/>
          <w:sz w:val="20"/>
          <w:szCs w:val="20"/>
        </w:rPr>
        <w:t xml:space="preserve">) </w:t>
      </w:r>
      <w:r w:rsidRPr="00001F7B">
        <w:rPr>
          <w:rFonts w:cstheme="minorHAnsi"/>
          <w:sz w:val="20"/>
          <w:szCs w:val="20"/>
        </w:rPr>
        <w:t xml:space="preserve"> and </w:t>
      </w:r>
      <w:r w:rsidR="00E13754" w:rsidRPr="00001F7B">
        <w:rPr>
          <w:rFonts w:cstheme="minorHAnsi"/>
          <w:sz w:val="20"/>
          <w:szCs w:val="20"/>
        </w:rPr>
        <w:t xml:space="preserve">the other </w:t>
      </w:r>
      <w:r w:rsidRPr="00001F7B">
        <w:rPr>
          <w:rFonts w:cstheme="minorHAnsi"/>
          <w:sz w:val="20"/>
          <w:szCs w:val="20"/>
        </w:rPr>
        <w:t>English</w:t>
      </w:r>
      <w:r w:rsidR="00E13754" w:rsidRPr="00001F7B">
        <w:rPr>
          <w:rFonts w:cstheme="minorHAnsi"/>
          <w:sz w:val="20"/>
          <w:szCs w:val="20"/>
        </w:rPr>
        <w:t xml:space="preserve"> (</w:t>
      </w:r>
      <w:r w:rsidR="00E13754" w:rsidRPr="00001F7B">
        <w:rPr>
          <w:rFonts w:cstheme="minorHAnsi"/>
          <w:i/>
          <w:iCs/>
          <w:sz w:val="20"/>
          <w:szCs w:val="20"/>
        </w:rPr>
        <w:t>Morris</w:t>
      </w:r>
      <w:r w:rsidRPr="00001F7B">
        <w:rPr>
          <w:rFonts w:cstheme="minorHAnsi"/>
          <w:sz w:val="20"/>
          <w:szCs w:val="20"/>
        </w:rPr>
        <w:t>) which began life separately but whose appeals ended up being addressed by the House of Lords in the same proceedings</w:t>
      </w:r>
      <w:r w:rsidR="0041619A" w:rsidRPr="00001F7B">
        <w:rPr>
          <w:rFonts w:cstheme="minorHAnsi"/>
          <w:sz w:val="20"/>
          <w:szCs w:val="20"/>
        </w:rPr>
        <w:t xml:space="preserve">: </w:t>
      </w:r>
      <w:r w:rsidR="0041619A" w:rsidRPr="009C526A">
        <w:rPr>
          <w:rFonts w:cstheme="minorHAnsi"/>
          <w:i/>
          <w:iCs/>
          <w:sz w:val="20"/>
          <w:szCs w:val="20"/>
        </w:rPr>
        <w:t>King v Bristol Helicopters</w:t>
      </w:r>
      <w:r w:rsidR="0041619A" w:rsidRPr="00001F7B">
        <w:rPr>
          <w:rFonts w:cstheme="minorHAnsi"/>
          <w:sz w:val="20"/>
          <w:szCs w:val="20"/>
        </w:rPr>
        <w:t xml:space="preserve"> </w:t>
      </w:r>
      <w:r w:rsidR="00971F34" w:rsidRPr="009C526A">
        <w:rPr>
          <w:rFonts w:cstheme="minorHAnsi"/>
          <w:i/>
          <w:iCs/>
          <w:sz w:val="20"/>
          <w:szCs w:val="20"/>
        </w:rPr>
        <w:t>Ltd</w:t>
      </w:r>
      <w:r w:rsidR="00971F34" w:rsidRPr="00001F7B">
        <w:rPr>
          <w:rFonts w:cstheme="minorHAnsi"/>
          <w:sz w:val="20"/>
          <w:szCs w:val="20"/>
        </w:rPr>
        <w:t xml:space="preserve"> </w:t>
      </w:r>
      <w:r w:rsidR="00971F34" w:rsidRPr="00001F7B">
        <w:rPr>
          <w:rFonts w:eastAsiaTheme="minorEastAsia" w:cstheme="minorHAnsi"/>
          <w:color w:val="000000"/>
          <w:sz w:val="20"/>
          <w:szCs w:val="20"/>
          <w:lang w:eastAsia="en-GB"/>
        </w:rPr>
        <w:t>[2002] UKHL 7, [2002] 2 AC 628. The case is discussed further</w:t>
      </w:r>
      <w:r w:rsidR="001E14F2" w:rsidRPr="00001F7B">
        <w:rPr>
          <w:rFonts w:eastAsiaTheme="minorEastAsia" w:cstheme="minorHAnsi"/>
          <w:color w:val="000000"/>
          <w:sz w:val="20"/>
          <w:szCs w:val="20"/>
          <w:lang w:eastAsia="en-GB"/>
        </w:rPr>
        <w:t xml:space="preserve"> at various points</w:t>
      </w:r>
      <w:r w:rsidR="00971F34" w:rsidRPr="00001F7B">
        <w:rPr>
          <w:rFonts w:eastAsiaTheme="minorEastAsia" w:cstheme="minorHAnsi"/>
          <w:color w:val="000000"/>
          <w:sz w:val="20"/>
          <w:szCs w:val="20"/>
          <w:lang w:eastAsia="en-GB"/>
        </w:rPr>
        <w:t xml:space="preserve"> in the Review of English Law in the Annex Folder.</w:t>
      </w:r>
    </w:p>
  </w:footnote>
  <w:footnote w:id="174">
    <w:p w14:paraId="53A5925C" w14:textId="0BE0B5A7" w:rsidR="0002357F" w:rsidRPr="00001F7B" w:rsidRDefault="0002357F">
      <w:pPr>
        <w:pStyle w:val="FootnoteText"/>
        <w:rPr>
          <w:rFonts w:cstheme="minorHAnsi"/>
        </w:rPr>
      </w:pPr>
      <w:r w:rsidRPr="00001F7B">
        <w:rPr>
          <w:rStyle w:val="FootnoteReference"/>
          <w:rFonts w:cstheme="minorHAnsi"/>
        </w:rPr>
        <w:footnoteRef/>
      </w:r>
      <w:r w:rsidRPr="00001F7B">
        <w:rPr>
          <w:rFonts w:cstheme="minorHAnsi"/>
        </w:rPr>
        <w:t xml:space="preserve"> At para 82</w:t>
      </w:r>
      <w:r w:rsidR="00AB50B0" w:rsidRPr="00001F7B">
        <w:rPr>
          <w:rFonts w:cstheme="minorHAnsi"/>
        </w:rPr>
        <w:t xml:space="preserve">, and similarly, Lord Hobhouse, at para 149. </w:t>
      </w:r>
    </w:p>
  </w:footnote>
  <w:footnote w:id="175">
    <w:p w14:paraId="3338D50E" w14:textId="244508F2" w:rsidR="0050740D" w:rsidRPr="00001F7B" w:rsidRDefault="0050740D">
      <w:pPr>
        <w:pStyle w:val="FootnoteText"/>
        <w:rPr>
          <w:rFonts w:cstheme="minorHAnsi"/>
        </w:rPr>
      </w:pPr>
      <w:r w:rsidRPr="00001F7B">
        <w:rPr>
          <w:rStyle w:val="FootnoteReference"/>
          <w:rFonts w:cstheme="minorHAnsi"/>
        </w:rPr>
        <w:footnoteRef/>
      </w:r>
      <w:r w:rsidRPr="00001F7B">
        <w:rPr>
          <w:rFonts w:cstheme="minorHAnsi"/>
        </w:rPr>
        <w:t xml:space="preserve"> At para </w:t>
      </w:r>
      <w:r w:rsidR="0001643F" w:rsidRPr="00001F7B">
        <w:rPr>
          <w:rFonts w:cstheme="minorHAnsi"/>
        </w:rPr>
        <w:t>25</w:t>
      </w:r>
      <w:r w:rsidRPr="00001F7B">
        <w:rPr>
          <w:rFonts w:cstheme="minorHAnsi"/>
        </w:rPr>
        <w:t>.</w:t>
      </w:r>
    </w:p>
  </w:footnote>
  <w:footnote w:id="176">
    <w:p w14:paraId="13747537" w14:textId="34535D91" w:rsidR="002F72A5" w:rsidRPr="00001F7B" w:rsidRDefault="002F72A5">
      <w:pPr>
        <w:pStyle w:val="FootnoteText"/>
        <w:rPr>
          <w:rFonts w:cstheme="minorHAnsi"/>
        </w:rPr>
      </w:pPr>
      <w:r w:rsidRPr="00001F7B">
        <w:rPr>
          <w:rStyle w:val="FootnoteReference"/>
          <w:rFonts w:cstheme="minorHAnsi"/>
        </w:rPr>
        <w:footnoteRef/>
      </w:r>
      <w:r w:rsidRPr="00001F7B">
        <w:rPr>
          <w:rFonts w:cstheme="minorHAnsi"/>
        </w:rPr>
        <w:t xml:space="preserve"> See, above,</w:t>
      </w:r>
      <w:r w:rsidR="00DB1B57">
        <w:rPr>
          <w:rFonts w:cstheme="minorHAnsi"/>
        </w:rPr>
        <w:t xml:space="preserve"> </w:t>
      </w:r>
      <w:r w:rsidR="00DB1B57" w:rsidRPr="00001F7B">
        <w:rPr>
          <w:rFonts w:cstheme="minorHAnsi"/>
        </w:rPr>
        <w:t xml:space="preserve">1964 Report, </w:t>
      </w:r>
      <w:proofErr w:type="spellStart"/>
      <w:r w:rsidR="00DB1B57" w:rsidRPr="00001F7B">
        <w:rPr>
          <w:rFonts w:cstheme="minorHAnsi"/>
        </w:rPr>
        <w:t>fn</w:t>
      </w:r>
      <w:proofErr w:type="spellEnd"/>
      <w:r w:rsidR="00DB1B57" w:rsidRPr="00001F7B">
        <w:rPr>
          <w:rFonts w:cstheme="minorHAnsi"/>
        </w:rPr>
        <w:t xml:space="preserve"> 39, pp 8-9</w:t>
      </w:r>
      <w:r w:rsidRPr="00001F7B">
        <w:rPr>
          <w:rFonts w:cstheme="minorHAnsi"/>
        </w:rPr>
        <w:t>.</w:t>
      </w:r>
    </w:p>
  </w:footnote>
  <w:footnote w:id="177">
    <w:p w14:paraId="3F72D2D4" w14:textId="7DEC9EB9" w:rsidR="00FA45DB" w:rsidRPr="00001F7B" w:rsidRDefault="00FA45DB">
      <w:pPr>
        <w:pStyle w:val="FootnoteText"/>
        <w:rPr>
          <w:rFonts w:cstheme="minorHAnsi"/>
        </w:rPr>
      </w:pPr>
      <w:r w:rsidRPr="00001F7B">
        <w:rPr>
          <w:rStyle w:val="FootnoteReference"/>
          <w:rFonts w:cstheme="minorHAnsi"/>
        </w:rPr>
        <w:footnoteRef/>
      </w:r>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w:t>
      </w:r>
      <w:r w:rsidR="00DD59C4" w:rsidRPr="00001F7B">
        <w:rPr>
          <w:rFonts w:cstheme="minorHAnsi"/>
        </w:rPr>
        <w:t>5</w:t>
      </w:r>
      <w:r w:rsidRPr="00001F7B">
        <w:rPr>
          <w:rFonts w:cstheme="minorHAnsi"/>
        </w:rPr>
        <w:t>, p 318.</w:t>
      </w:r>
    </w:p>
  </w:footnote>
  <w:footnote w:id="178">
    <w:p w14:paraId="1E3AD00B" w14:textId="74088544" w:rsidR="00FA45DB" w:rsidRPr="00001F7B" w:rsidRDefault="00FA45DB">
      <w:pPr>
        <w:pStyle w:val="FootnoteText"/>
        <w:rPr>
          <w:rFonts w:cstheme="minorHAnsi"/>
        </w:rPr>
      </w:pPr>
      <w:r w:rsidRPr="00001F7B">
        <w:rPr>
          <w:rStyle w:val="FootnoteReference"/>
          <w:rFonts w:cstheme="minorHAnsi"/>
        </w:rPr>
        <w:footnoteRef/>
      </w:r>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w:t>
      </w:r>
      <w:r w:rsidR="00DD59C4" w:rsidRPr="00001F7B">
        <w:rPr>
          <w:rFonts w:cstheme="minorHAnsi"/>
        </w:rPr>
        <w:t>63</w:t>
      </w:r>
      <w:r w:rsidRPr="00001F7B">
        <w:rPr>
          <w:rFonts w:cstheme="minorHAnsi"/>
        </w:rPr>
        <w:t>.</w:t>
      </w:r>
    </w:p>
  </w:footnote>
  <w:footnote w:id="179">
    <w:p w14:paraId="4058CD39" w14:textId="5A9E8604" w:rsidR="004F3B8A" w:rsidRPr="00001F7B" w:rsidRDefault="004F3B8A">
      <w:pPr>
        <w:pStyle w:val="FootnoteText"/>
        <w:rPr>
          <w:rFonts w:cstheme="minorHAnsi"/>
        </w:rPr>
      </w:pPr>
      <w:r w:rsidRPr="00001F7B">
        <w:rPr>
          <w:rStyle w:val="FootnoteReference"/>
          <w:rFonts w:cstheme="minorHAnsi"/>
        </w:rPr>
        <w:footnoteRef/>
      </w:r>
      <w:r w:rsidRPr="00001F7B">
        <w:rPr>
          <w:rFonts w:cstheme="minorHAnsi"/>
        </w:rPr>
        <w:t xml:space="preserve"> </w:t>
      </w:r>
      <w:r w:rsidR="005F0B74" w:rsidRPr="00001F7B">
        <w:rPr>
          <w:rFonts w:cstheme="minorHAnsi"/>
        </w:rPr>
        <w:t xml:space="preserve">Linking the point to </w:t>
      </w:r>
      <w:r w:rsidR="005F0B74" w:rsidRPr="00001F7B">
        <w:rPr>
          <w:rFonts w:eastAsiaTheme="minorEastAsia" w:cstheme="minorHAnsi"/>
          <w:color w:val="000000"/>
          <w:lang w:eastAsia="en-GB"/>
        </w:rPr>
        <w:t>it</w:t>
      </w:r>
      <w:r w:rsidR="00DD59C4" w:rsidRPr="00001F7B">
        <w:rPr>
          <w:rFonts w:eastAsiaTheme="minorEastAsia" w:cstheme="minorHAnsi"/>
          <w:color w:val="000000"/>
          <w:lang w:eastAsia="en-GB"/>
        </w:rPr>
        <w:t>s</w:t>
      </w:r>
      <w:r w:rsidR="005F0B74" w:rsidRPr="00001F7B">
        <w:rPr>
          <w:rFonts w:eastAsiaTheme="minorEastAsia" w:cstheme="minorHAnsi"/>
          <w:color w:val="000000"/>
          <w:lang w:eastAsia="en-GB"/>
        </w:rPr>
        <w:t xml:space="preserve"> dependence on the development of international relations</w:t>
      </w:r>
      <w:r w:rsidR="005F0B74" w:rsidRPr="00001F7B">
        <w:rPr>
          <w:rFonts w:cstheme="minorHAnsi"/>
        </w:rPr>
        <w:t xml:space="preserve"> relevant </w:t>
      </w:r>
      <w:r w:rsidR="009E5477" w:rsidRPr="00001F7B">
        <w:rPr>
          <w:rFonts w:cstheme="minorHAnsi"/>
        </w:rPr>
        <w:t xml:space="preserve">to </w:t>
      </w:r>
      <w:r w:rsidR="005F0B74" w:rsidRPr="00001F7B">
        <w:rPr>
          <w:rFonts w:cstheme="minorHAnsi"/>
        </w:rPr>
        <w:t xml:space="preserve">the case they were citing: </w:t>
      </w:r>
      <w:r w:rsidRPr="00001F7B">
        <w:rPr>
          <w:rFonts w:cstheme="minorHAnsi"/>
          <w:i/>
          <w:iCs/>
        </w:rPr>
        <w:t>Nationality Decrees Issued in Tunis and Morocco</w:t>
      </w:r>
      <w:r w:rsidRPr="00001F7B">
        <w:rPr>
          <w:rFonts w:cstheme="minorHAnsi"/>
        </w:rPr>
        <w:t xml:space="preserve"> (1923) PCLJ</w:t>
      </w:r>
      <w:r w:rsidR="00AA0E4F" w:rsidRPr="00001F7B">
        <w:rPr>
          <w:rFonts w:cstheme="minorHAnsi"/>
        </w:rPr>
        <w:t xml:space="preserve"> Series B, No 4, p 24</w:t>
      </w:r>
      <w:r w:rsidR="00902CCE" w:rsidRPr="00001F7B">
        <w:rPr>
          <w:rFonts w:cstheme="minorHAnsi"/>
        </w:rPr>
        <w:t xml:space="preserve"> concerning whether a dispute regarding a</w:t>
      </w:r>
      <w:r w:rsidR="00A41B30" w:rsidRPr="00001F7B">
        <w:rPr>
          <w:rFonts w:cstheme="minorHAnsi"/>
        </w:rPr>
        <w:t xml:space="preserve"> French</w:t>
      </w:r>
      <w:r w:rsidR="00902CCE" w:rsidRPr="00001F7B">
        <w:rPr>
          <w:rFonts w:cstheme="minorHAnsi"/>
        </w:rPr>
        <w:t xml:space="preserve"> nationality </w:t>
      </w:r>
      <w:r w:rsidR="00A41B30" w:rsidRPr="00001F7B">
        <w:rPr>
          <w:rFonts w:cstheme="minorHAnsi"/>
        </w:rPr>
        <w:t>decree between France and GB was subject solely to the domestic jurisdiction under international law</w:t>
      </w:r>
      <w:r w:rsidR="00AA0E4F" w:rsidRPr="00001F7B">
        <w:rPr>
          <w:rFonts w:cstheme="minorHAnsi"/>
        </w:rPr>
        <w:t>.</w:t>
      </w:r>
    </w:p>
  </w:footnote>
  <w:footnote w:id="180">
    <w:p w14:paraId="3A68F29A" w14:textId="0F51BBFB" w:rsidR="00AA0E4F" w:rsidRPr="00001F7B" w:rsidRDefault="00AA0E4F">
      <w:pPr>
        <w:pStyle w:val="FootnoteText"/>
        <w:rPr>
          <w:rFonts w:cstheme="minorHAnsi"/>
        </w:rPr>
      </w:pPr>
      <w:r w:rsidRPr="00001F7B">
        <w:rPr>
          <w:rStyle w:val="FootnoteReference"/>
          <w:rFonts w:cstheme="minorHAnsi"/>
        </w:rPr>
        <w:footnoteRef/>
      </w:r>
      <w:r w:rsidRPr="00001F7B">
        <w:rPr>
          <w:rFonts w:cstheme="minorHAnsi"/>
        </w:rPr>
        <w:t xml:space="preserve"> Citing </w:t>
      </w:r>
      <w:r w:rsidRPr="00001F7B">
        <w:rPr>
          <w:rFonts w:cstheme="minorHAnsi"/>
          <w:i/>
          <w:iCs/>
        </w:rPr>
        <w:t>Namibia (SW Africa) Advisory Opinion</w:t>
      </w:r>
      <w:r w:rsidRPr="00001F7B">
        <w:rPr>
          <w:rFonts w:cstheme="minorHAnsi"/>
        </w:rPr>
        <w:t xml:space="preserve"> (1971) ICJ Reports p 16 at p 31.</w:t>
      </w:r>
      <w:r w:rsidR="00A113CF" w:rsidRPr="00001F7B">
        <w:rPr>
          <w:rFonts w:cstheme="minorHAnsi"/>
        </w:rPr>
        <w:t xml:space="preserve"> Here Article 22 of the League of Nations Covenant providing for mandates in respect of</w:t>
      </w:r>
      <w:r w:rsidR="00263E39" w:rsidRPr="00001F7B">
        <w:rPr>
          <w:rFonts w:cstheme="minorHAnsi"/>
        </w:rPr>
        <w:t xml:space="preserve"> former colonies</w:t>
      </w:r>
      <w:r w:rsidR="009E5477" w:rsidRPr="00001F7B">
        <w:rPr>
          <w:rFonts w:cstheme="minorHAnsi"/>
        </w:rPr>
        <w:t xml:space="preserve"> of</w:t>
      </w:r>
      <w:r w:rsidR="00A113CF" w:rsidRPr="00001F7B">
        <w:rPr>
          <w:rFonts w:cstheme="minorHAnsi"/>
        </w:rPr>
        <w:t xml:space="preserve"> defeated belligerents contained the words: “inhabited by peoples not yet able to stand by themselves under the strenuous conditions of the modern world, there should be applied the principle that the well-being and development of such peoples form a sacred trust of civilisation</w:t>
      </w:r>
      <w:r w:rsidR="00263E39" w:rsidRPr="00001F7B">
        <w:rPr>
          <w:rFonts w:cstheme="minorHAnsi"/>
        </w:rPr>
        <w:t>…”</w:t>
      </w:r>
      <w:r w:rsidR="00A113CF" w:rsidRPr="00001F7B">
        <w:rPr>
          <w:rFonts w:cstheme="minorHAnsi"/>
        </w:rPr>
        <w:t xml:space="preserve"> </w:t>
      </w:r>
      <w:r w:rsidR="00263E39" w:rsidRPr="00001F7B">
        <w:rPr>
          <w:rFonts w:cstheme="minorHAnsi"/>
        </w:rPr>
        <w:t>These words were not static but subject to the subsequent development of international law in regard to non-self-governing territories, as enshrined in the Charter of the United Nations</w:t>
      </w:r>
      <w:r w:rsidR="005F4DAA" w:rsidRPr="00001F7B">
        <w:rPr>
          <w:rFonts w:cstheme="minorHAnsi"/>
        </w:rPr>
        <w:t xml:space="preserve"> and</w:t>
      </w:r>
      <w:r w:rsidR="00263E39" w:rsidRPr="00001F7B">
        <w:rPr>
          <w:rFonts w:cstheme="minorHAnsi"/>
        </w:rPr>
        <w:t xml:space="preserve"> made the principle of self-determination applicable to al</w:t>
      </w:r>
      <w:r w:rsidR="005F4DAA" w:rsidRPr="00001F7B">
        <w:rPr>
          <w:rFonts w:cstheme="minorHAnsi"/>
        </w:rPr>
        <w:t>l</w:t>
      </w:r>
      <w:r w:rsidR="00263E39" w:rsidRPr="00001F7B">
        <w:rPr>
          <w:rFonts w:cstheme="minorHAnsi"/>
        </w:rPr>
        <w:t xml:space="preserve"> of them.  See further Gardiner</w:t>
      </w:r>
      <w:r w:rsidR="005F4DAA" w:rsidRPr="00001F7B">
        <w:rPr>
          <w:rFonts w:cstheme="minorHAnsi"/>
        </w:rPr>
        <w:t xml:space="preserve">, </w:t>
      </w:r>
      <w:r w:rsidR="005F4DAA" w:rsidRPr="00001F7B">
        <w:rPr>
          <w:rFonts w:cstheme="minorHAnsi"/>
          <w:i/>
          <w:iCs/>
        </w:rPr>
        <w:t>op</w:t>
      </w:r>
      <w:r w:rsidR="005F4DAA" w:rsidRPr="00001F7B">
        <w:rPr>
          <w:rFonts w:cstheme="minorHAnsi"/>
        </w:rPr>
        <w:t xml:space="preserve"> </w:t>
      </w:r>
      <w:proofErr w:type="spellStart"/>
      <w:r w:rsidR="005F4DAA" w:rsidRPr="00001F7B">
        <w:rPr>
          <w:rFonts w:cstheme="minorHAnsi"/>
          <w:i/>
          <w:iCs/>
        </w:rPr>
        <w:t>cit</w:t>
      </w:r>
      <w:proofErr w:type="spellEnd"/>
      <w:r w:rsidR="005F4DAA" w:rsidRPr="00001F7B">
        <w:rPr>
          <w:rFonts w:cstheme="minorHAnsi"/>
        </w:rPr>
        <w:t xml:space="preserve"> </w:t>
      </w:r>
      <w:r w:rsidR="00263E39" w:rsidRPr="00001F7B">
        <w:rPr>
          <w:rFonts w:cstheme="minorHAnsi"/>
        </w:rPr>
        <w:t>pp</w:t>
      </w:r>
      <w:r w:rsidR="005F4DAA" w:rsidRPr="00001F7B">
        <w:rPr>
          <w:rFonts w:cstheme="minorHAnsi"/>
        </w:rPr>
        <w:t xml:space="preserve"> </w:t>
      </w:r>
      <w:r w:rsidR="00263E39" w:rsidRPr="00001F7B">
        <w:rPr>
          <w:rFonts w:cstheme="minorHAnsi"/>
        </w:rPr>
        <w:t>294-</w:t>
      </w:r>
      <w:r w:rsidR="005F4DAA" w:rsidRPr="00001F7B">
        <w:rPr>
          <w:rFonts w:cstheme="minorHAnsi"/>
        </w:rPr>
        <w:t>29</w:t>
      </w:r>
      <w:r w:rsidR="00263E39" w:rsidRPr="00001F7B">
        <w:rPr>
          <w:rFonts w:cstheme="minorHAnsi"/>
        </w:rPr>
        <w:t>5.</w:t>
      </w:r>
    </w:p>
  </w:footnote>
  <w:footnote w:id="181">
    <w:p w14:paraId="1054D5CB" w14:textId="7FCD2802" w:rsidR="00077F8A" w:rsidRPr="00001F7B" w:rsidRDefault="00077F8A">
      <w:pPr>
        <w:pStyle w:val="FootnoteText"/>
        <w:rPr>
          <w:rFonts w:cstheme="minorHAnsi"/>
        </w:rPr>
      </w:pPr>
      <w:r w:rsidRPr="00001F7B">
        <w:rPr>
          <w:rStyle w:val="FootnoteReference"/>
          <w:rFonts w:cstheme="minorHAnsi"/>
        </w:rPr>
        <w:footnoteRef/>
      </w:r>
      <w:r w:rsidRPr="00001F7B">
        <w:rPr>
          <w:rFonts w:cstheme="minorHAnsi"/>
        </w:rPr>
        <w:t xml:space="preserve"> Citing Aege</w:t>
      </w:r>
      <w:r w:rsidRPr="00001F7B">
        <w:rPr>
          <w:rFonts w:cstheme="minorHAnsi"/>
          <w:i/>
          <w:iCs/>
        </w:rPr>
        <w:t>an Sea Continental Shelf (Greece/Turkey</w:t>
      </w:r>
      <w:r w:rsidRPr="00001F7B">
        <w:rPr>
          <w:rFonts w:cstheme="minorHAnsi"/>
        </w:rPr>
        <w:t xml:space="preserve">), Judgment (1978) ICJ Reports p 3, at p 32, para 77 in respect of </w:t>
      </w:r>
      <w:r w:rsidR="000F4598" w:rsidRPr="00001F7B">
        <w:rPr>
          <w:rFonts w:cstheme="minorHAnsi"/>
        </w:rPr>
        <w:t xml:space="preserve">a Greek reservation excluding the jurisdiction of the court in respect of disputes relating to ‘territorial status’ and interpreted this term </w:t>
      </w:r>
      <w:r w:rsidR="005F4DAA" w:rsidRPr="00001F7B">
        <w:rPr>
          <w:rFonts w:cstheme="minorHAnsi"/>
        </w:rPr>
        <w:t xml:space="preserve">as </w:t>
      </w:r>
      <w:r w:rsidR="000F4598" w:rsidRPr="00001F7B">
        <w:rPr>
          <w:rFonts w:cstheme="minorHAnsi"/>
        </w:rPr>
        <w:t>extending to the continental shelf even though this was not a known area at the time of the relevant 1928 Treaty</w:t>
      </w:r>
      <w:r w:rsidR="004C4B05" w:rsidRPr="00001F7B">
        <w:rPr>
          <w:rFonts w:cstheme="minorHAnsi"/>
        </w:rPr>
        <w:t>, Gardiner</w:t>
      </w:r>
      <w:r w:rsidR="005F4DAA" w:rsidRPr="00001F7B">
        <w:rPr>
          <w:rFonts w:cstheme="minorHAnsi"/>
        </w:rPr>
        <w:t xml:space="preserve">, </w:t>
      </w:r>
      <w:r w:rsidR="005F4DAA" w:rsidRPr="00001F7B">
        <w:rPr>
          <w:rFonts w:cstheme="minorHAnsi"/>
          <w:i/>
          <w:iCs/>
        </w:rPr>
        <w:t xml:space="preserve">op </w:t>
      </w:r>
      <w:proofErr w:type="spellStart"/>
      <w:r w:rsidR="005F4DAA" w:rsidRPr="00001F7B">
        <w:rPr>
          <w:rFonts w:cstheme="minorHAnsi"/>
          <w:i/>
          <w:iCs/>
        </w:rPr>
        <w:t>cit</w:t>
      </w:r>
      <w:proofErr w:type="spellEnd"/>
      <w:r w:rsidR="005F4DAA" w:rsidRPr="00001F7B">
        <w:rPr>
          <w:rFonts w:cstheme="minorHAnsi"/>
        </w:rPr>
        <w:t>,</w:t>
      </w:r>
      <w:r w:rsidR="004C4B05" w:rsidRPr="00001F7B">
        <w:rPr>
          <w:rFonts w:cstheme="minorHAnsi"/>
        </w:rPr>
        <w:t xml:space="preserve"> p 469</w:t>
      </w:r>
      <w:r w:rsidR="000F4598" w:rsidRPr="00001F7B">
        <w:rPr>
          <w:rFonts w:cstheme="minorHAnsi"/>
        </w:rPr>
        <w:t xml:space="preserve">.  Note also </w:t>
      </w:r>
      <w:r w:rsidR="0030142D" w:rsidRPr="00001F7B">
        <w:rPr>
          <w:rFonts w:cstheme="minorHAnsi"/>
        </w:rPr>
        <w:t xml:space="preserve">the term </w:t>
      </w:r>
      <w:r w:rsidR="004729E7" w:rsidRPr="00001F7B">
        <w:rPr>
          <w:rFonts w:cstheme="minorHAnsi"/>
        </w:rPr>
        <w:t>‘</w:t>
      </w:r>
      <w:r w:rsidR="0030142D" w:rsidRPr="00001F7B">
        <w:rPr>
          <w:rFonts w:cstheme="minorHAnsi"/>
        </w:rPr>
        <w:t>natural resources</w:t>
      </w:r>
      <w:r w:rsidR="004729E7" w:rsidRPr="00001F7B">
        <w:rPr>
          <w:rFonts w:cstheme="minorHAnsi"/>
        </w:rPr>
        <w:t>’</w:t>
      </w:r>
      <w:r w:rsidR="0016086A" w:rsidRPr="00001F7B">
        <w:rPr>
          <w:rFonts w:cstheme="minorHAnsi"/>
        </w:rPr>
        <w:t xml:space="preserve"> in GATT 1994</w:t>
      </w:r>
      <w:r w:rsidR="004C4B05" w:rsidRPr="00001F7B">
        <w:rPr>
          <w:rFonts w:cstheme="minorHAnsi"/>
        </w:rPr>
        <w:t xml:space="preserve"> </w:t>
      </w:r>
      <w:r w:rsidR="0016086A" w:rsidRPr="00001F7B">
        <w:rPr>
          <w:rFonts w:cstheme="minorHAnsi"/>
        </w:rPr>
        <w:t xml:space="preserve">which was held to </w:t>
      </w:r>
      <w:r w:rsidR="00FA45DB" w:rsidRPr="00001F7B">
        <w:rPr>
          <w:rFonts w:cstheme="minorHAnsi"/>
        </w:rPr>
        <w:t xml:space="preserve">be </w:t>
      </w:r>
      <w:r w:rsidR="0016086A" w:rsidRPr="00001F7B">
        <w:rPr>
          <w:rFonts w:cstheme="minorHAnsi"/>
        </w:rPr>
        <w:t>evolutionary by definition and in the light of other treaties include</w:t>
      </w:r>
      <w:r w:rsidR="004729E7" w:rsidRPr="00001F7B">
        <w:rPr>
          <w:rFonts w:cstheme="minorHAnsi"/>
        </w:rPr>
        <w:t>d</w:t>
      </w:r>
      <w:r w:rsidR="0016086A" w:rsidRPr="00001F7B">
        <w:rPr>
          <w:rFonts w:cstheme="minorHAnsi"/>
        </w:rPr>
        <w:t xml:space="preserve"> living species in </w:t>
      </w:r>
      <w:r w:rsidR="0030142D" w:rsidRPr="00001F7B">
        <w:rPr>
          <w:rFonts w:cstheme="minorHAnsi"/>
          <w:i/>
          <w:iCs/>
        </w:rPr>
        <w:t>United States-Import Prohibition of Certain Shrimp and Shrimp Products</w:t>
      </w:r>
      <w:r w:rsidR="0016086A" w:rsidRPr="00001F7B">
        <w:rPr>
          <w:rFonts w:cstheme="minorHAnsi"/>
        </w:rPr>
        <w:t xml:space="preserve"> </w:t>
      </w:r>
      <w:r w:rsidR="00317423" w:rsidRPr="00001F7B">
        <w:rPr>
          <w:rFonts w:cstheme="minorHAnsi"/>
        </w:rPr>
        <w:t>WTIDS58/AB/R, 12 October 1998 para 127-132, Gardiner pp 325-</w:t>
      </w:r>
      <w:r w:rsidR="005F4DAA" w:rsidRPr="00001F7B">
        <w:rPr>
          <w:rFonts w:cstheme="minorHAnsi"/>
        </w:rPr>
        <w:t>32</w:t>
      </w:r>
      <w:r w:rsidR="00317423" w:rsidRPr="00001F7B">
        <w:rPr>
          <w:rFonts w:cstheme="minorHAnsi"/>
        </w:rPr>
        <w:t>6.</w:t>
      </w:r>
    </w:p>
  </w:footnote>
  <w:footnote w:id="182">
    <w:p w14:paraId="2509EF57" w14:textId="1C2E88AD" w:rsidR="007D27DD" w:rsidRPr="00001F7B" w:rsidRDefault="007D27DD" w:rsidP="007E26FD">
      <w:pPr>
        <w:widowControl w:val="0"/>
        <w:autoSpaceDE w:val="0"/>
        <w:autoSpaceDN w:val="0"/>
        <w:adjustRightInd w:val="0"/>
        <w:spacing w:after="0" w:line="240" w:lineRule="auto"/>
        <w:jc w:val="both"/>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r w:rsidRPr="00001F7B">
        <w:rPr>
          <w:rFonts w:cstheme="minorHAnsi"/>
          <w:color w:val="2A2A2A"/>
          <w:sz w:val="20"/>
          <w:szCs w:val="20"/>
          <w:shd w:val="clear" w:color="auto" w:fill="FFFFFF"/>
        </w:rPr>
        <w:t xml:space="preserve">(2009) </w:t>
      </w:r>
      <w:r w:rsidR="00B40C55" w:rsidRPr="00001F7B">
        <w:rPr>
          <w:rFonts w:cstheme="minorHAnsi"/>
          <w:color w:val="2A2A2A"/>
          <w:sz w:val="20"/>
          <w:szCs w:val="20"/>
          <w:shd w:val="clear" w:color="auto" w:fill="FFFFFF"/>
        </w:rPr>
        <w:t>judgment</w:t>
      </w:r>
      <w:r w:rsidRPr="00001F7B">
        <w:rPr>
          <w:rFonts w:cstheme="minorHAnsi"/>
          <w:color w:val="2A2A2A"/>
          <w:sz w:val="20"/>
          <w:szCs w:val="20"/>
          <w:shd w:val="clear" w:color="auto" w:fill="FFFFFF"/>
        </w:rPr>
        <w:t xml:space="preserve"> ICJ Rep</w:t>
      </w:r>
      <w:r w:rsidR="00B40C55" w:rsidRPr="00001F7B">
        <w:rPr>
          <w:rFonts w:cstheme="minorHAnsi"/>
          <w:color w:val="2A2A2A"/>
          <w:sz w:val="20"/>
          <w:szCs w:val="20"/>
          <w:shd w:val="clear" w:color="auto" w:fill="FFFFFF"/>
        </w:rPr>
        <w:t>,</w:t>
      </w:r>
      <w:r w:rsidRPr="00001F7B">
        <w:rPr>
          <w:rFonts w:cstheme="minorHAnsi"/>
          <w:color w:val="2A2A2A"/>
          <w:sz w:val="20"/>
          <w:szCs w:val="20"/>
          <w:shd w:val="clear" w:color="auto" w:fill="FFFFFF"/>
        </w:rPr>
        <w:t xml:space="preserve"> p 213</w:t>
      </w:r>
      <w:r w:rsidR="00B40C55" w:rsidRPr="00001F7B">
        <w:rPr>
          <w:rFonts w:cstheme="minorHAnsi"/>
          <w:color w:val="2A2A2A"/>
          <w:sz w:val="20"/>
          <w:szCs w:val="20"/>
          <w:shd w:val="clear" w:color="auto" w:fill="FFFFFF"/>
        </w:rPr>
        <w:t>.</w:t>
      </w:r>
    </w:p>
  </w:footnote>
  <w:footnote w:id="183">
    <w:p w14:paraId="75C27578" w14:textId="05F1FB07" w:rsidR="007E26FD" w:rsidRPr="00001F7B" w:rsidRDefault="007E26FD">
      <w:pPr>
        <w:pStyle w:val="FootnoteText"/>
        <w:rPr>
          <w:rFonts w:cstheme="minorHAnsi"/>
        </w:rPr>
      </w:pPr>
      <w:r w:rsidRPr="00001F7B">
        <w:rPr>
          <w:rStyle w:val="FootnoteReference"/>
          <w:rFonts w:cstheme="minorHAnsi"/>
        </w:rPr>
        <w:footnoteRef/>
      </w:r>
      <w:r w:rsidRPr="00001F7B">
        <w:rPr>
          <w:rFonts w:cstheme="minorHAnsi"/>
        </w:rPr>
        <w:t xml:space="preserve"> Summary by </w:t>
      </w:r>
      <w:proofErr w:type="spellStart"/>
      <w:r w:rsidRPr="00001F7B">
        <w:rPr>
          <w:rFonts w:cstheme="minorHAnsi"/>
        </w:rPr>
        <w:t>Bjorge</w:t>
      </w:r>
      <w:proofErr w:type="spellEnd"/>
      <w:r w:rsidRPr="00001F7B">
        <w:rPr>
          <w:rFonts w:cstheme="minorHAnsi"/>
        </w:rPr>
        <w:t xml:space="preserve">, </w:t>
      </w:r>
      <w:r w:rsidR="000B366B" w:rsidRPr="00001F7B">
        <w:rPr>
          <w:rFonts w:cstheme="minorHAnsi"/>
        </w:rPr>
        <w:t>above</w:t>
      </w:r>
      <w:r w:rsidR="004F6759" w:rsidRPr="00001F7B">
        <w:rPr>
          <w:rFonts w:cstheme="minorHAnsi"/>
        </w:rPr>
        <w:t>,</w:t>
      </w:r>
      <w:r w:rsidR="000B366B" w:rsidRPr="00001F7B">
        <w:rPr>
          <w:rFonts w:cstheme="minorHAnsi"/>
        </w:rPr>
        <w:t xml:space="preserve"> </w:t>
      </w:r>
      <w:proofErr w:type="spellStart"/>
      <w:r w:rsidR="007A11B0" w:rsidRPr="00001F7B">
        <w:rPr>
          <w:rFonts w:cstheme="minorHAnsi"/>
        </w:rPr>
        <w:t>fn</w:t>
      </w:r>
      <w:proofErr w:type="spellEnd"/>
      <w:r w:rsidR="007C00D3" w:rsidRPr="00001F7B">
        <w:rPr>
          <w:rFonts w:cstheme="minorHAnsi"/>
        </w:rPr>
        <w:t xml:space="preserve"> 152</w:t>
      </w:r>
      <w:r w:rsidR="007A11B0" w:rsidRPr="00001F7B">
        <w:rPr>
          <w:rFonts w:cstheme="minorHAnsi"/>
        </w:rPr>
        <w:t xml:space="preserve">, </w:t>
      </w:r>
      <w:r w:rsidRPr="00001F7B">
        <w:rPr>
          <w:rFonts w:cstheme="minorHAnsi"/>
          <w:i/>
          <w:iCs/>
        </w:rPr>
        <w:t>The Evolution of Treaties</w:t>
      </w:r>
      <w:r w:rsidRPr="00001F7B">
        <w:rPr>
          <w:rFonts w:cstheme="minorHAnsi"/>
        </w:rPr>
        <w:t xml:space="preserve"> Ch 1 p 1</w:t>
      </w:r>
      <w:r w:rsidR="00B03C10" w:rsidRPr="00001F7B">
        <w:rPr>
          <w:rFonts w:cstheme="minorHAnsi"/>
        </w:rPr>
        <w:t xml:space="preserve">. See also Mola and </w:t>
      </w:r>
      <w:proofErr w:type="spellStart"/>
      <w:r w:rsidR="00B03C10" w:rsidRPr="00001F7B">
        <w:rPr>
          <w:rFonts w:cstheme="minorHAnsi"/>
        </w:rPr>
        <w:t>Poncibò</w:t>
      </w:r>
      <w:proofErr w:type="spellEnd"/>
      <w:r w:rsidR="00B03C10" w:rsidRPr="00001F7B">
        <w:rPr>
          <w:rFonts w:cstheme="minorHAnsi"/>
        </w:rPr>
        <w:t xml:space="preserve">, above, </w:t>
      </w:r>
      <w:proofErr w:type="spellStart"/>
      <w:r w:rsidR="00B03C10" w:rsidRPr="00001F7B">
        <w:rPr>
          <w:rFonts w:cstheme="minorHAnsi"/>
        </w:rPr>
        <w:t>fn</w:t>
      </w:r>
      <w:proofErr w:type="spellEnd"/>
      <w:r w:rsidR="00B03C10" w:rsidRPr="00001F7B">
        <w:rPr>
          <w:rFonts w:cstheme="minorHAnsi"/>
        </w:rPr>
        <w:t xml:space="preserve"> </w:t>
      </w:r>
      <w:r w:rsidR="004F6759" w:rsidRPr="00001F7B">
        <w:rPr>
          <w:rFonts w:cstheme="minorHAnsi"/>
        </w:rPr>
        <w:t>7</w:t>
      </w:r>
      <w:r w:rsidR="00B03C10" w:rsidRPr="00001F7B">
        <w:rPr>
          <w:rFonts w:cstheme="minorHAnsi"/>
        </w:rPr>
        <w:t xml:space="preserve">, at p 867. </w:t>
      </w:r>
    </w:p>
  </w:footnote>
  <w:footnote w:id="184">
    <w:p w14:paraId="5B7E1757" w14:textId="3CE3A2C6" w:rsidR="00857B53" w:rsidRPr="00001F7B" w:rsidRDefault="00857B53">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Bjorge</w:t>
      </w:r>
      <w:proofErr w:type="spellEnd"/>
      <w:r w:rsidRPr="00001F7B">
        <w:rPr>
          <w:rFonts w:cstheme="minorHAnsi"/>
        </w:rPr>
        <w:t xml:space="preserve">, </w:t>
      </w:r>
      <w:r w:rsidRPr="00001F7B">
        <w:rPr>
          <w:rFonts w:cstheme="minorHAnsi"/>
          <w:i/>
          <w:iCs/>
        </w:rPr>
        <w:t>op</w:t>
      </w:r>
      <w:r w:rsidR="004C6CD1" w:rsidRPr="00001F7B">
        <w:rPr>
          <w:rFonts w:cstheme="minorHAnsi"/>
          <w:i/>
          <w:iCs/>
        </w:rPr>
        <w:t xml:space="preserve"> </w:t>
      </w:r>
      <w:proofErr w:type="spellStart"/>
      <w:r w:rsidR="004C6CD1" w:rsidRPr="00001F7B">
        <w:rPr>
          <w:rFonts w:cstheme="minorHAnsi"/>
          <w:i/>
          <w:iCs/>
        </w:rPr>
        <w:t>cit</w:t>
      </w:r>
      <w:proofErr w:type="spellEnd"/>
      <w:r w:rsidR="004C6CD1" w:rsidRPr="00001F7B">
        <w:rPr>
          <w:rFonts w:cstheme="minorHAnsi"/>
        </w:rPr>
        <w:t>, citing the court at p 237</w:t>
      </w:r>
      <w:r w:rsidR="00C726B7" w:rsidRPr="00001F7B">
        <w:rPr>
          <w:rFonts w:cstheme="minorHAnsi"/>
        </w:rPr>
        <w:t>,</w:t>
      </w:r>
      <w:r w:rsidR="004C6CD1" w:rsidRPr="00001F7B">
        <w:rPr>
          <w:rFonts w:cstheme="minorHAnsi"/>
        </w:rPr>
        <w:t xml:space="preserve"> para 48.</w:t>
      </w:r>
      <w:r w:rsidR="00B03C10" w:rsidRPr="00001F7B">
        <w:rPr>
          <w:rFonts w:cstheme="minorHAnsi"/>
          <w:color w:val="2A2A2A"/>
          <w:shd w:val="clear" w:color="auto" w:fill="FFFFFF"/>
        </w:rPr>
        <w:t xml:space="preserve"> See also Mola and </w:t>
      </w:r>
      <w:proofErr w:type="spellStart"/>
      <w:r w:rsidR="00B03C10" w:rsidRPr="00001F7B">
        <w:rPr>
          <w:rFonts w:cstheme="minorHAnsi"/>
          <w:color w:val="2A2A2A"/>
          <w:shd w:val="clear" w:color="auto" w:fill="FFFFFF"/>
        </w:rPr>
        <w:t>Poncibò</w:t>
      </w:r>
      <w:proofErr w:type="spellEnd"/>
      <w:r w:rsidR="00B03C10" w:rsidRPr="00001F7B">
        <w:rPr>
          <w:rFonts w:cstheme="minorHAnsi"/>
          <w:color w:val="2A2A2A"/>
          <w:shd w:val="clear" w:color="auto" w:fill="FFFFFF"/>
        </w:rPr>
        <w:t xml:space="preserve">, </w:t>
      </w:r>
      <w:r w:rsidR="00C726B7" w:rsidRPr="00001F7B">
        <w:rPr>
          <w:rFonts w:cstheme="minorHAnsi"/>
          <w:color w:val="2A2A2A"/>
          <w:shd w:val="clear" w:color="auto" w:fill="FFFFFF"/>
        </w:rPr>
        <w:t xml:space="preserve">above, </w:t>
      </w:r>
      <w:proofErr w:type="spellStart"/>
      <w:r w:rsidR="00C726B7" w:rsidRPr="00001F7B">
        <w:rPr>
          <w:rFonts w:cstheme="minorHAnsi"/>
          <w:color w:val="2A2A2A"/>
          <w:shd w:val="clear" w:color="auto" w:fill="FFFFFF"/>
        </w:rPr>
        <w:t>fn</w:t>
      </w:r>
      <w:proofErr w:type="spellEnd"/>
      <w:r w:rsidR="00C726B7" w:rsidRPr="00001F7B">
        <w:rPr>
          <w:rFonts w:cstheme="minorHAnsi"/>
          <w:color w:val="2A2A2A"/>
          <w:shd w:val="clear" w:color="auto" w:fill="FFFFFF"/>
        </w:rPr>
        <w:t xml:space="preserve"> 7, </w:t>
      </w:r>
      <w:r w:rsidR="00B03C10" w:rsidRPr="00001F7B">
        <w:rPr>
          <w:rFonts w:cstheme="minorHAnsi"/>
          <w:color w:val="2A2A2A"/>
          <w:shd w:val="clear" w:color="auto" w:fill="FFFFFF"/>
        </w:rPr>
        <w:t>p 867.</w:t>
      </w:r>
      <w:r w:rsidR="001121F2" w:rsidRPr="00001F7B">
        <w:rPr>
          <w:rFonts w:cstheme="minorHAnsi"/>
        </w:rPr>
        <w:t xml:space="preserve"> See </w:t>
      </w:r>
      <w:r w:rsidR="00B03C10" w:rsidRPr="00001F7B">
        <w:rPr>
          <w:rFonts w:cstheme="minorHAnsi"/>
        </w:rPr>
        <w:t xml:space="preserve">further, </w:t>
      </w:r>
      <w:r w:rsidR="001121F2" w:rsidRPr="00001F7B">
        <w:rPr>
          <w:rFonts w:cstheme="minorHAnsi"/>
        </w:rPr>
        <w:t>I</w:t>
      </w:r>
      <w:r w:rsidR="001121F2" w:rsidRPr="00001F7B">
        <w:rPr>
          <w:rFonts w:cstheme="minorHAnsi"/>
          <w:color w:val="2A2A2A"/>
          <w:shd w:val="clear" w:color="auto" w:fill="FFFFFF"/>
        </w:rPr>
        <w:t>LC Draft Conclusions on Subsequent Agreements and Subsequent Practice in Relation to the Interpretation of Treaties 2013, ILC Report 2013 UN Doc A/68/10, p 27, para 9 quoted in Gardine</w:t>
      </w:r>
      <w:r w:rsidR="007A11B0" w:rsidRPr="00001F7B">
        <w:rPr>
          <w:rFonts w:cstheme="minorHAnsi"/>
          <w:color w:val="2A2A2A"/>
          <w:shd w:val="clear" w:color="auto" w:fill="FFFFFF"/>
        </w:rPr>
        <w:t xml:space="preserve">r, above, </w:t>
      </w:r>
      <w:proofErr w:type="spellStart"/>
      <w:r w:rsidR="007A11B0" w:rsidRPr="00001F7B">
        <w:rPr>
          <w:rFonts w:cstheme="minorHAnsi"/>
          <w:color w:val="2A2A2A"/>
          <w:shd w:val="clear" w:color="auto" w:fill="FFFFFF"/>
        </w:rPr>
        <w:t>fn</w:t>
      </w:r>
      <w:proofErr w:type="spellEnd"/>
      <w:r w:rsidR="00C726B7" w:rsidRPr="00001F7B">
        <w:rPr>
          <w:rFonts w:cstheme="minorHAnsi"/>
          <w:color w:val="2A2A2A"/>
          <w:shd w:val="clear" w:color="auto" w:fill="FFFFFF"/>
        </w:rPr>
        <w:t xml:space="preserve"> 5</w:t>
      </w:r>
      <w:r w:rsidR="007A11B0" w:rsidRPr="00001F7B">
        <w:rPr>
          <w:rFonts w:cstheme="minorHAnsi"/>
          <w:color w:val="2A2A2A"/>
          <w:shd w:val="clear" w:color="auto" w:fill="FFFFFF"/>
        </w:rPr>
        <w:t>,</w:t>
      </w:r>
      <w:r w:rsidR="001121F2" w:rsidRPr="00001F7B">
        <w:rPr>
          <w:rFonts w:cstheme="minorHAnsi"/>
          <w:color w:val="2A2A2A"/>
          <w:shd w:val="clear" w:color="auto" w:fill="FFFFFF"/>
        </w:rPr>
        <w:t xml:space="preserve"> p 466.</w:t>
      </w:r>
      <w:r w:rsidR="00B03C10" w:rsidRPr="00001F7B">
        <w:rPr>
          <w:rFonts w:cstheme="minorHAnsi"/>
          <w:color w:val="2A2A2A"/>
          <w:shd w:val="clear" w:color="auto" w:fill="FFFFFF"/>
        </w:rPr>
        <w:t xml:space="preserve">  </w:t>
      </w:r>
    </w:p>
  </w:footnote>
  <w:footnote w:id="185">
    <w:p w14:paraId="5504D3B7" w14:textId="7581BB3B" w:rsidR="007F2641" w:rsidRPr="00001F7B" w:rsidRDefault="007F2641" w:rsidP="006358F9">
      <w:pPr>
        <w:pStyle w:val="FootnoteText"/>
        <w:rPr>
          <w:rFonts w:cstheme="minorHAnsi"/>
        </w:rPr>
      </w:pPr>
      <w:r w:rsidRPr="00001F7B">
        <w:rPr>
          <w:rStyle w:val="FootnoteReference"/>
          <w:rFonts w:cstheme="minorHAnsi"/>
        </w:rPr>
        <w:footnoteRef/>
      </w:r>
      <w:r w:rsidRPr="00001F7B">
        <w:rPr>
          <w:rFonts w:cstheme="minorHAnsi"/>
        </w:rPr>
        <w:t xml:space="preserve"> In the 1964 </w:t>
      </w:r>
      <w:r w:rsidR="000B366B" w:rsidRPr="00001F7B">
        <w:rPr>
          <w:rFonts w:cstheme="minorHAnsi"/>
        </w:rPr>
        <w:t xml:space="preserve">Report, above, </w:t>
      </w:r>
      <w:proofErr w:type="spellStart"/>
      <w:r w:rsidR="000B366B" w:rsidRPr="00001F7B">
        <w:rPr>
          <w:rFonts w:cstheme="minorHAnsi"/>
        </w:rPr>
        <w:t>fn</w:t>
      </w:r>
      <w:proofErr w:type="spellEnd"/>
      <w:r w:rsidR="000B366B" w:rsidRPr="00001F7B">
        <w:rPr>
          <w:rFonts w:cstheme="minorHAnsi"/>
        </w:rPr>
        <w:t xml:space="preserve"> </w:t>
      </w:r>
      <w:r w:rsidR="00C726B7" w:rsidRPr="00001F7B">
        <w:rPr>
          <w:rFonts w:cstheme="minorHAnsi"/>
        </w:rPr>
        <w:t>3</w:t>
      </w:r>
      <w:r w:rsidR="004F6759" w:rsidRPr="00001F7B">
        <w:rPr>
          <w:rFonts w:cstheme="minorHAnsi"/>
        </w:rPr>
        <w:t>9</w:t>
      </w:r>
      <w:r w:rsidR="000B366B" w:rsidRPr="00001F7B">
        <w:rPr>
          <w:rFonts w:cstheme="minorHAnsi"/>
        </w:rPr>
        <w:t>,</w:t>
      </w:r>
      <w:r w:rsidR="00C726B7" w:rsidRPr="00001F7B">
        <w:rPr>
          <w:rFonts w:cstheme="minorHAnsi"/>
        </w:rPr>
        <w:t xml:space="preserve"> </w:t>
      </w:r>
      <w:r w:rsidRPr="00001F7B">
        <w:rPr>
          <w:rFonts w:cstheme="minorHAnsi"/>
        </w:rPr>
        <w:t xml:space="preserve">it is simply said </w:t>
      </w:r>
      <w:r w:rsidR="008D367F" w:rsidRPr="00001F7B">
        <w:rPr>
          <w:rFonts w:cstheme="minorHAnsi"/>
        </w:rPr>
        <w:t>(</w:t>
      </w:r>
      <w:r w:rsidRPr="00001F7B">
        <w:rPr>
          <w:rFonts w:cstheme="minorHAnsi"/>
        </w:rPr>
        <w:t>p</w:t>
      </w:r>
      <w:r w:rsidR="00657D17" w:rsidRPr="00001F7B">
        <w:rPr>
          <w:rFonts w:cstheme="minorHAnsi"/>
        </w:rPr>
        <w:t xml:space="preserve"> </w:t>
      </w:r>
      <w:r w:rsidR="00C62D70" w:rsidRPr="00001F7B">
        <w:rPr>
          <w:rFonts w:cstheme="minorHAnsi"/>
        </w:rPr>
        <w:t>56</w:t>
      </w:r>
      <w:r w:rsidR="00C726B7" w:rsidRPr="00001F7B">
        <w:rPr>
          <w:rFonts w:cstheme="minorHAnsi"/>
        </w:rPr>
        <w:t>,</w:t>
      </w:r>
      <w:r w:rsidR="00C62D70" w:rsidRPr="00001F7B">
        <w:rPr>
          <w:rFonts w:cstheme="minorHAnsi"/>
        </w:rPr>
        <w:t xml:space="preserve"> para</w:t>
      </w:r>
      <w:r w:rsidR="000B366B" w:rsidRPr="00001F7B">
        <w:rPr>
          <w:rFonts w:cstheme="minorHAnsi"/>
        </w:rPr>
        <w:t xml:space="preserve"> </w:t>
      </w:r>
      <w:r w:rsidR="003471FA" w:rsidRPr="00001F7B">
        <w:rPr>
          <w:rFonts w:cstheme="minorHAnsi"/>
        </w:rPr>
        <w:t>14</w:t>
      </w:r>
      <w:r w:rsidR="008D367F" w:rsidRPr="00001F7B">
        <w:rPr>
          <w:rFonts w:cstheme="minorHAnsi"/>
        </w:rPr>
        <w:t>)</w:t>
      </w:r>
      <w:r w:rsidRPr="00001F7B">
        <w:rPr>
          <w:rFonts w:cstheme="minorHAnsi"/>
        </w:rPr>
        <w:t xml:space="preserve"> referring to the World Court</w:t>
      </w:r>
      <w:r w:rsidR="008D367F" w:rsidRPr="00001F7B">
        <w:rPr>
          <w:rFonts w:cstheme="minorHAnsi"/>
        </w:rPr>
        <w:t>:</w:t>
      </w:r>
      <w:r w:rsidRPr="00001F7B">
        <w:rPr>
          <w:rFonts w:cstheme="minorHAnsi"/>
        </w:rPr>
        <w:t xml:space="preserve"> “And the Court has more than once had recourse to the statement of the objects of the treaty in the preamble for the purpose of interpreting a particular provision</w:t>
      </w:r>
      <w:r w:rsidR="00C62D70" w:rsidRPr="00001F7B">
        <w:rPr>
          <w:rFonts w:cstheme="minorHAnsi"/>
        </w:rPr>
        <w:t>.</w:t>
      </w:r>
      <w:r w:rsidR="003471FA" w:rsidRPr="00001F7B">
        <w:rPr>
          <w:rFonts w:cstheme="minorHAnsi"/>
        </w:rPr>
        <w:t>“ C</w:t>
      </w:r>
      <w:r w:rsidR="008D367F" w:rsidRPr="00001F7B">
        <w:rPr>
          <w:rFonts w:cstheme="minorHAnsi"/>
        </w:rPr>
        <w:t>f.,</w:t>
      </w:r>
      <w:r w:rsidR="003471FA" w:rsidRPr="00001F7B">
        <w:rPr>
          <w:rFonts w:cstheme="minorHAnsi"/>
        </w:rPr>
        <w:t xml:space="preserve"> p</w:t>
      </w:r>
      <w:r w:rsidR="00657D17" w:rsidRPr="00001F7B">
        <w:rPr>
          <w:rFonts w:cstheme="minorHAnsi"/>
        </w:rPr>
        <w:t xml:space="preserve"> </w:t>
      </w:r>
      <w:r w:rsidR="003471FA" w:rsidRPr="00001F7B">
        <w:rPr>
          <w:rFonts w:cstheme="minorHAnsi"/>
        </w:rPr>
        <w:t>57 para</w:t>
      </w:r>
      <w:r w:rsidR="007A11B0" w:rsidRPr="00001F7B">
        <w:rPr>
          <w:rFonts w:cstheme="minorHAnsi"/>
        </w:rPr>
        <w:t xml:space="preserve"> </w:t>
      </w:r>
      <w:r w:rsidR="003471FA" w:rsidRPr="00001F7B">
        <w:rPr>
          <w:rFonts w:cstheme="minorHAnsi"/>
        </w:rPr>
        <w:t>16</w:t>
      </w:r>
      <w:r w:rsidR="006358F9" w:rsidRPr="00001F7B">
        <w:rPr>
          <w:rFonts w:cstheme="minorHAnsi"/>
        </w:rPr>
        <w:t xml:space="preserve">: “Where such a method of interpretation </w:t>
      </w:r>
      <w:r w:rsidR="00BC3447" w:rsidRPr="00001F7B">
        <w:rPr>
          <w:rFonts w:cstheme="minorHAnsi"/>
        </w:rPr>
        <w:t>(</w:t>
      </w:r>
      <w:r w:rsidR="00BC3447" w:rsidRPr="00001F7B">
        <w:rPr>
          <w:rFonts w:cstheme="minorHAnsi"/>
          <w:i/>
          <w:iCs/>
        </w:rPr>
        <w:t>i.e. the clear meaning rule</w:t>
      </w:r>
      <w:r w:rsidR="00BC3447" w:rsidRPr="00001F7B">
        <w:rPr>
          <w:rFonts w:cstheme="minorHAnsi"/>
        </w:rPr>
        <w:t xml:space="preserve">) </w:t>
      </w:r>
      <w:r w:rsidR="006358F9" w:rsidRPr="00001F7B">
        <w:rPr>
          <w:rFonts w:cstheme="minorHAnsi"/>
        </w:rPr>
        <w:t xml:space="preserve">results in a meaning incompatible with the spirit, the purpose and context </w:t>
      </w:r>
      <w:r w:rsidR="006358F9" w:rsidRPr="00001F7B">
        <w:rPr>
          <w:rFonts w:cstheme="minorHAnsi"/>
          <w:i/>
          <w:iCs/>
        </w:rPr>
        <w:t>of the clause</w:t>
      </w:r>
      <w:r w:rsidR="00BC3447" w:rsidRPr="00001F7B">
        <w:rPr>
          <w:rFonts w:cstheme="minorHAnsi"/>
          <w:i/>
          <w:iCs/>
        </w:rPr>
        <w:t xml:space="preserve"> </w:t>
      </w:r>
      <w:r w:rsidR="00BC3447" w:rsidRPr="00001F7B">
        <w:rPr>
          <w:rFonts w:cstheme="minorHAnsi"/>
        </w:rPr>
        <w:t>(my emphasis)</w:t>
      </w:r>
      <w:r w:rsidR="006358F9" w:rsidRPr="00001F7B">
        <w:rPr>
          <w:rFonts w:cstheme="minorHAnsi"/>
        </w:rPr>
        <w:t xml:space="preserve"> or instrument in which the words are contained, no reliance can be validly placed on it.”</w:t>
      </w:r>
    </w:p>
  </w:footnote>
  <w:footnote w:id="186">
    <w:p w14:paraId="51B46EA6" w14:textId="42CF921F" w:rsidR="00714773" w:rsidRPr="00001F7B" w:rsidRDefault="00714773">
      <w:pPr>
        <w:pStyle w:val="FootnoteText"/>
        <w:rPr>
          <w:rFonts w:cstheme="minorHAnsi"/>
        </w:rPr>
      </w:pPr>
      <w:r w:rsidRPr="00001F7B">
        <w:rPr>
          <w:rStyle w:val="FootnoteReference"/>
          <w:rFonts w:cstheme="minorHAnsi"/>
        </w:rPr>
        <w:footnoteRef/>
      </w:r>
      <w:r w:rsidRPr="00001F7B">
        <w:rPr>
          <w:rFonts w:cstheme="minorHAnsi"/>
        </w:rPr>
        <w:t xml:space="preserve"> The phrase occurs 8 times in the VCLT and presumably these references to it are all meant to have the same meaning. </w:t>
      </w:r>
    </w:p>
  </w:footnote>
  <w:footnote w:id="187">
    <w:p w14:paraId="52DC0230" w14:textId="0E35C297" w:rsidR="00D15A93" w:rsidRPr="00001F7B" w:rsidRDefault="00D15A93">
      <w:pPr>
        <w:pStyle w:val="FootnoteText"/>
        <w:rPr>
          <w:rFonts w:cstheme="minorHAnsi"/>
        </w:rPr>
      </w:pPr>
      <w:r w:rsidRPr="00001F7B">
        <w:rPr>
          <w:rStyle w:val="FootnoteReference"/>
          <w:rFonts w:cstheme="minorHAnsi"/>
        </w:rPr>
        <w:footnoteRef/>
      </w:r>
      <w:r w:rsidRPr="00001F7B">
        <w:rPr>
          <w:rFonts w:cstheme="minorHAnsi"/>
        </w:rPr>
        <w:t xml:space="preserve"> See Clarke, </w:t>
      </w:r>
      <w:r w:rsidR="003F697A" w:rsidRPr="00001F7B">
        <w:rPr>
          <w:rFonts w:cstheme="minorHAnsi"/>
        </w:rPr>
        <w:t xml:space="preserve">‘Interpretation of the CMR’ 2006 (2) </w:t>
      </w:r>
      <w:proofErr w:type="spellStart"/>
      <w:r w:rsidR="003F697A" w:rsidRPr="00001F7B">
        <w:rPr>
          <w:rFonts w:cstheme="minorHAnsi"/>
        </w:rPr>
        <w:t>Nederlands</w:t>
      </w:r>
      <w:proofErr w:type="spellEnd"/>
      <w:r w:rsidR="003F697A" w:rsidRPr="00001F7B">
        <w:rPr>
          <w:rFonts w:cstheme="minorHAnsi"/>
        </w:rPr>
        <w:t xml:space="preserve"> </w:t>
      </w:r>
      <w:proofErr w:type="spellStart"/>
      <w:r w:rsidR="003F697A" w:rsidRPr="00001F7B">
        <w:rPr>
          <w:rFonts w:cstheme="minorHAnsi"/>
        </w:rPr>
        <w:t>Tijdschrift</w:t>
      </w:r>
      <w:proofErr w:type="spellEnd"/>
      <w:r w:rsidR="003F697A" w:rsidRPr="00001F7B">
        <w:rPr>
          <w:rFonts w:cstheme="minorHAnsi"/>
        </w:rPr>
        <w:t xml:space="preserve"> </w:t>
      </w:r>
      <w:proofErr w:type="spellStart"/>
      <w:r w:rsidR="003F697A" w:rsidRPr="00001F7B">
        <w:rPr>
          <w:rFonts w:cstheme="minorHAnsi"/>
        </w:rPr>
        <w:t>voor</w:t>
      </w:r>
      <w:proofErr w:type="spellEnd"/>
      <w:r w:rsidR="003F697A" w:rsidRPr="00001F7B">
        <w:rPr>
          <w:rFonts w:cstheme="minorHAnsi"/>
        </w:rPr>
        <w:t xml:space="preserve"> </w:t>
      </w:r>
      <w:proofErr w:type="spellStart"/>
      <w:r w:rsidR="003F697A" w:rsidRPr="00001F7B">
        <w:rPr>
          <w:rFonts w:cstheme="minorHAnsi"/>
        </w:rPr>
        <w:t>Handelsrecht</w:t>
      </w:r>
      <w:proofErr w:type="spellEnd"/>
      <w:r w:rsidR="003F697A" w:rsidRPr="00001F7B">
        <w:rPr>
          <w:rFonts w:cstheme="minorHAnsi"/>
        </w:rPr>
        <w:t xml:space="preserve"> 32, at</w:t>
      </w:r>
      <w:r w:rsidR="00AF2193" w:rsidRPr="00001F7B">
        <w:rPr>
          <w:rFonts w:cstheme="minorHAnsi"/>
        </w:rPr>
        <w:t xml:space="preserve"> p 34</w:t>
      </w:r>
      <w:r w:rsidR="00431EA4" w:rsidRPr="00001F7B">
        <w:rPr>
          <w:rFonts w:cstheme="minorHAnsi"/>
        </w:rPr>
        <w:t xml:space="preserve"> and in </w:t>
      </w:r>
      <w:r w:rsidR="00431EA4" w:rsidRPr="00001F7B">
        <w:rPr>
          <w:rFonts w:cstheme="minorHAnsi"/>
          <w:i/>
          <w:iCs/>
        </w:rPr>
        <w:t>International Carriage of Goods by Road: CMR</w:t>
      </w:r>
      <w:r w:rsidR="00431EA4" w:rsidRPr="00001F7B">
        <w:rPr>
          <w:rFonts w:cstheme="minorHAnsi"/>
        </w:rPr>
        <w:t>, 6</w:t>
      </w:r>
      <w:r w:rsidR="00431EA4" w:rsidRPr="00001F7B">
        <w:rPr>
          <w:rFonts w:cstheme="minorHAnsi"/>
          <w:vertAlign w:val="superscript"/>
        </w:rPr>
        <w:t>th</w:t>
      </w:r>
      <w:r w:rsidR="00431EA4" w:rsidRPr="00001F7B">
        <w:rPr>
          <w:rFonts w:cstheme="minorHAnsi"/>
        </w:rPr>
        <w:t xml:space="preserve"> ed, 2014, Informa</w:t>
      </w:r>
      <w:r w:rsidR="00B84054">
        <w:rPr>
          <w:rFonts w:cstheme="minorHAnsi"/>
        </w:rPr>
        <w:t>,</w:t>
      </w:r>
      <w:r w:rsidR="00431EA4" w:rsidRPr="00001F7B">
        <w:rPr>
          <w:rFonts w:cstheme="minorHAnsi"/>
        </w:rPr>
        <w:t xml:space="preserve"> para 4a</w:t>
      </w:r>
      <w:r w:rsidR="00AF2193" w:rsidRPr="00001F7B">
        <w:rPr>
          <w:rFonts w:cstheme="minorHAnsi"/>
        </w:rPr>
        <w:t>.</w:t>
      </w:r>
      <w:r w:rsidR="000E7704">
        <w:rPr>
          <w:rFonts w:cstheme="minorHAnsi"/>
        </w:rPr>
        <w:t xml:space="preserve"> </w:t>
      </w:r>
    </w:p>
  </w:footnote>
  <w:footnote w:id="188">
    <w:p w14:paraId="0511367C" w14:textId="2B50D38E" w:rsidR="00C95A70" w:rsidRPr="00001F7B" w:rsidRDefault="00C95A70" w:rsidP="00201172">
      <w:pPr>
        <w:pStyle w:val="FootnoteText"/>
        <w:rPr>
          <w:rFonts w:cstheme="minorHAnsi"/>
        </w:rPr>
      </w:pPr>
      <w:r w:rsidRPr="00001F7B">
        <w:rPr>
          <w:rStyle w:val="FootnoteReference"/>
          <w:rFonts w:cstheme="minorHAnsi"/>
        </w:rPr>
        <w:footnoteRef/>
      </w:r>
      <w:r w:rsidRPr="00001F7B">
        <w:rPr>
          <w:rFonts w:cstheme="minorHAnsi"/>
        </w:rPr>
        <w:t xml:space="preserve"> A reason perhaps why </w:t>
      </w:r>
      <w:r w:rsidR="00E77685" w:rsidRPr="00001F7B">
        <w:rPr>
          <w:rFonts w:cstheme="minorHAnsi"/>
        </w:rPr>
        <w:t>both the 1964 Report (see, above</w:t>
      </w:r>
      <w:r w:rsidR="003F697A" w:rsidRPr="00001F7B">
        <w:rPr>
          <w:rFonts w:cstheme="minorHAnsi"/>
        </w:rPr>
        <w:t>,</w:t>
      </w:r>
      <w:r w:rsidR="00E77685" w:rsidRPr="00001F7B">
        <w:rPr>
          <w:rFonts w:cstheme="minorHAnsi"/>
        </w:rPr>
        <w:t xml:space="preserve"> </w:t>
      </w:r>
      <w:proofErr w:type="spellStart"/>
      <w:r w:rsidR="00E77685" w:rsidRPr="00001F7B">
        <w:rPr>
          <w:rFonts w:cstheme="minorHAnsi"/>
        </w:rPr>
        <w:t>fn</w:t>
      </w:r>
      <w:proofErr w:type="spellEnd"/>
      <w:r w:rsidR="00E77685" w:rsidRPr="00001F7B">
        <w:rPr>
          <w:rFonts w:cstheme="minorHAnsi"/>
        </w:rPr>
        <w:t xml:space="preserve"> </w:t>
      </w:r>
      <w:r w:rsidR="003F697A" w:rsidRPr="00001F7B">
        <w:rPr>
          <w:rFonts w:cstheme="minorHAnsi"/>
        </w:rPr>
        <w:t>39, p 56, para 14</w:t>
      </w:r>
      <w:r w:rsidR="00E77685" w:rsidRPr="00001F7B">
        <w:rPr>
          <w:rFonts w:cstheme="minorHAnsi"/>
        </w:rPr>
        <w:t>) and t</w:t>
      </w:r>
      <w:r w:rsidRPr="00001F7B">
        <w:rPr>
          <w:rFonts w:cstheme="minorHAnsi"/>
        </w:rPr>
        <w:t>he ILC</w:t>
      </w:r>
      <w:r w:rsidR="00E77685" w:rsidRPr="00001F7B">
        <w:rPr>
          <w:rFonts w:cstheme="minorHAnsi"/>
        </w:rPr>
        <w:t>, 1966 commentary, above</w:t>
      </w:r>
      <w:r w:rsidR="003F697A" w:rsidRPr="00001F7B">
        <w:rPr>
          <w:rFonts w:cstheme="minorHAnsi"/>
        </w:rPr>
        <w:t>,</w:t>
      </w:r>
      <w:r w:rsidR="00E77685" w:rsidRPr="00001F7B">
        <w:rPr>
          <w:rFonts w:cstheme="minorHAnsi"/>
        </w:rPr>
        <w:t xml:space="preserve"> </w:t>
      </w:r>
      <w:proofErr w:type="spellStart"/>
      <w:r w:rsidR="00E77685" w:rsidRPr="00001F7B">
        <w:rPr>
          <w:rFonts w:cstheme="minorHAnsi"/>
        </w:rPr>
        <w:t>fn</w:t>
      </w:r>
      <w:proofErr w:type="spellEnd"/>
      <w:r w:rsidR="00E77685" w:rsidRPr="00001F7B">
        <w:rPr>
          <w:rFonts w:cstheme="minorHAnsi"/>
        </w:rPr>
        <w:t xml:space="preserve"> </w:t>
      </w:r>
      <w:r w:rsidR="003F697A" w:rsidRPr="00001F7B">
        <w:rPr>
          <w:rFonts w:cstheme="minorHAnsi"/>
        </w:rPr>
        <w:t>38</w:t>
      </w:r>
      <w:r w:rsidR="00E77685" w:rsidRPr="00001F7B">
        <w:rPr>
          <w:rFonts w:cstheme="minorHAnsi"/>
        </w:rPr>
        <w:t>, p 221,</w:t>
      </w:r>
      <w:r w:rsidRPr="00001F7B">
        <w:rPr>
          <w:rFonts w:cstheme="minorHAnsi"/>
        </w:rPr>
        <w:t xml:space="preserve"> para 12 in the context of what is now art 31 refer to  “the statement of the object and purpose of the treaty </w:t>
      </w:r>
      <w:r w:rsidRPr="00001F7B">
        <w:rPr>
          <w:rFonts w:cstheme="minorHAnsi"/>
          <w:i/>
          <w:iCs/>
        </w:rPr>
        <w:t>in the preamble</w:t>
      </w:r>
      <w:r w:rsidRPr="00001F7B">
        <w:rPr>
          <w:rFonts w:cstheme="minorHAnsi"/>
        </w:rPr>
        <w:t>” (my emphasis).</w:t>
      </w:r>
      <w:r w:rsidR="00201172" w:rsidRPr="00001F7B">
        <w:rPr>
          <w:rFonts w:cstheme="minorHAnsi"/>
        </w:rPr>
        <w:t xml:space="preserve"> See also Waibel, ‘Uniformity versus Specialisation (2): A Uniform Regime of Treaty Interpretation?’ </w:t>
      </w:r>
      <w:r w:rsidR="00293B11" w:rsidRPr="00001F7B">
        <w:rPr>
          <w:rFonts w:cstheme="minorHAnsi"/>
        </w:rPr>
        <w:t xml:space="preserve">above, </w:t>
      </w:r>
      <w:proofErr w:type="spellStart"/>
      <w:r w:rsidR="00293B11" w:rsidRPr="00001F7B">
        <w:rPr>
          <w:rFonts w:cstheme="minorHAnsi"/>
        </w:rPr>
        <w:t>fn</w:t>
      </w:r>
      <w:proofErr w:type="spellEnd"/>
      <w:r w:rsidR="00293B11" w:rsidRPr="00001F7B">
        <w:rPr>
          <w:rFonts w:cstheme="minorHAnsi"/>
        </w:rPr>
        <w:t xml:space="preserve"> </w:t>
      </w:r>
      <w:r w:rsidR="001A4E9F" w:rsidRPr="00001F7B">
        <w:rPr>
          <w:rFonts w:cstheme="minorHAnsi"/>
        </w:rPr>
        <w:t xml:space="preserve">120, </w:t>
      </w:r>
      <w:r w:rsidR="00201172" w:rsidRPr="00001F7B">
        <w:rPr>
          <w:rFonts w:cstheme="minorHAnsi"/>
        </w:rPr>
        <w:t>at p.10</w:t>
      </w:r>
      <w:r w:rsidR="001A4E9F" w:rsidRPr="00001F7B">
        <w:rPr>
          <w:rFonts w:cstheme="minorHAnsi"/>
        </w:rPr>
        <w:t>:</w:t>
      </w:r>
      <w:r w:rsidR="00201172" w:rsidRPr="00001F7B">
        <w:rPr>
          <w:rFonts w:cstheme="minorHAnsi"/>
        </w:rPr>
        <w:t xml:space="preserve"> “Teleological interpretation has played a greater role for interpreting certain treaties with limited specificity establishing international organisations (</w:t>
      </w:r>
      <w:r w:rsidR="007909CD" w:rsidRPr="00001F7B">
        <w:rPr>
          <w:rFonts w:cstheme="minorHAnsi"/>
        </w:rPr>
        <w:t>e.g.,</w:t>
      </w:r>
      <w:r w:rsidR="00201172" w:rsidRPr="00001F7B">
        <w:rPr>
          <w:rFonts w:cstheme="minorHAnsi"/>
        </w:rPr>
        <w:t xml:space="preserve"> the UN Charter, or the EU treaties) compared to treaties with detailed rules (such as the GATT).</w:t>
      </w:r>
      <w:r w:rsidR="00C45A72" w:rsidRPr="00001F7B">
        <w:rPr>
          <w:rFonts w:cstheme="minorHAnsi"/>
        </w:rPr>
        <w:t>”</w:t>
      </w:r>
    </w:p>
  </w:footnote>
  <w:footnote w:id="189">
    <w:p w14:paraId="29277B33" w14:textId="0CF8B15C" w:rsidR="009D3E47" w:rsidRPr="00001F7B" w:rsidRDefault="009D3E47">
      <w:pPr>
        <w:pStyle w:val="FootnoteText"/>
        <w:rPr>
          <w:rFonts w:cstheme="minorHAnsi"/>
        </w:rPr>
      </w:pPr>
      <w:r w:rsidRPr="00001F7B">
        <w:rPr>
          <w:rStyle w:val="FootnoteReference"/>
          <w:rFonts w:cstheme="minorHAnsi"/>
        </w:rPr>
        <w:footnoteRef/>
      </w:r>
      <w:r w:rsidRPr="00001F7B">
        <w:rPr>
          <w:rFonts w:cstheme="minorHAnsi"/>
        </w:rPr>
        <w:t xml:space="preserve"> Bischoff</w:t>
      </w:r>
      <w:r w:rsidR="00FC670B" w:rsidRPr="00001F7B">
        <w:rPr>
          <w:rFonts w:cstheme="minorHAnsi"/>
        </w:rPr>
        <w:t>, ‘</w:t>
      </w:r>
      <w:r w:rsidR="002907D2" w:rsidRPr="00001F7B">
        <w:rPr>
          <w:rFonts w:cstheme="minorHAnsi"/>
        </w:rPr>
        <w:t xml:space="preserve"> </w:t>
      </w:r>
      <w:r w:rsidRPr="00001F7B">
        <w:rPr>
          <w:rFonts w:cstheme="minorHAnsi"/>
        </w:rPr>
        <w:t>interp</w:t>
      </w:r>
      <w:r w:rsidR="00FC670B" w:rsidRPr="00001F7B">
        <w:rPr>
          <w:rFonts w:cstheme="minorHAnsi"/>
        </w:rPr>
        <w:t>retation</w:t>
      </w:r>
      <w:r w:rsidRPr="00001F7B">
        <w:rPr>
          <w:rFonts w:cstheme="minorHAnsi"/>
        </w:rPr>
        <w:t xml:space="preserve"> of </w:t>
      </w:r>
      <w:r w:rsidR="00FC670B" w:rsidRPr="00001F7B">
        <w:rPr>
          <w:rFonts w:cstheme="minorHAnsi"/>
        </w:rPr>
        <w:t>international Law’</w:t>
      </w:r>
      <w:r w:rsidR="004F6759" w:rsidRPr="00001F7B">
        <w:rPr>
          <w:rFonts w:cstheme="minorHAnsi"/>
        </w:rPr>
        <w:t xml:space="preserve"> </w:t>
      </w:r>
      <w:r w:rsidR="00FC670B" w:rsidRPr="00001F7B">
        <w:rPr>
          <w:rFonts w:cstheme="minorHAnsi"/>
        </w:rPr>
        <w:t>Max-EuP2012,</w:t>
      </w:r>
      <w:r w:rsidRPr="00001F7B">
        <w:rPr>
          <w:rFonts w:cstheme="minorHAnsi"/>
        </w:rPr>
        <w:t xml:space="preserve"> p</w:t>
      </w:r>
      <w:r w:rsidR="00FC670B" w:rsidRPr="00001F7B">
        <w:rPr>
          <w:rFonts w:cstheme="minorHAnsi"/>
        </w:rPr>
        <w:t>art</w:t>
      </w:r>
      <w:r w:rsidRPr="00001F7B">
        <w:rPr>
          <w:rFonts w:cstheme="minorHAnsi"/>
        </w:rPr>
        <w:t xml:space="preserve"> 3</w:t>
      </w:r>
      <w:r w:rsidR="00FC670B" w:rsidRPr="00001F7B">
        <w:rPr>
          <w:rFonts w:cstheme="minorHAnsi"/>
        </w:rPr>
        <w:t>(c)</w:t>
      </w:r>
      <w:r w:rsidR="007909CD" w:rsidRPr="00001F7B">
        <w:rPr>
          <w:rFonts w:cstheme="minorHAnsi"/>
        </w:rPr>
        <w:t>,</w:t>
      </w:r>
      <w:r w:rsidR="00716940" w:rsidRPr="00001F7B">
        <w:rPr>
          <w:rFonts w:cstheme="minorHAnsi"/>
        </w:rPr>
        <w:t xml:space="preserve"> notes that </w:t>
      </w:r>
      <w:r w:rsidRPr="00001F7B">
        <w:rPr>
          <w:rFonts w:cstheme="minorHAnsi"/>
          <w:color w:val="000000"/>
        </w:rPr>
        <w:t xml:space="preserve">Interpretation in the light of </w:t>
      </w:r>
      <w:r w:rsidR="00716940" w:rsidRPr="00001F7B">
        <w:rPr>
          <w:rFonts w:cstheme="minorHAnsi"/>
          <w:color w:val="000000"/>
        </w:rPr>
        <w:t>a</w:t>
      </w:r>
      <w:r w:rsidRPr="00001F7B">
        <w:rPr>
          <w:rFonts w:cstheme="minorHAnsi"/>
          <w:color w:val="000000"/>
        </w:rPr>
        <w:t xml:space="preserve"> convention’s objective and purpose is of utmost importance with respect to uniform law conventions. </w:t>
      </w:r>
      <w:r w:rsidR="00716940" w:rsidRPr="00001F7B">
        <w:rPr>
          <w:rFonts w:cstheme="minorHAnsi"/>
          <w:color w:val="000000"/>
        </w:rPr>
        <w:t>He considers</w:t>
      </w:r>
      <w:r w:rsidR="007E1A29" w:rsidRPr="00001F7B">
        <w:rPr>
          <w:rFonts w:cstheme="minorHAnsi"/>
          <w:color w:val="000000"/>
        </w:rPr>
        <w:t xml:space="preserve"> that a</w:t>
      </w:r>
      <w:r w:rsidRPr="00001F7B">
        <w:rPr>
          <w:rFonts w:cstheme="minorHAnsi"/>
          <w:color w:val="000000"/>
        </w:rPr>
        <w:t>lthough Art 31</w:t>
      </w:r>
      <w:r w:rsidR="00AF2193" w:rsidRPr="00001F7B">
        <w:rPr>
          <w:rFonts w:cstheme="minorHAnsi"/>
          <w:color w:val="000000"/>
        </w:rPr>
        <w:t>.</w:t>
      </w:r>
      <w:r w:rsidRPr="00001F7B">
        <w:rPr>
          <w:rFonts w:cstheme="minorHAnsi"/>
          <w:color w:val="000000"/>
        </w:rPr>
        <w:t>1</w:t>
      </w:r>
      <w:r w:rsidR="00AF2193" w:rsidRPr="00001F7B">
        <w:rPr>
          <w:rFonts w:cstheme="minorHAnsi"/>
          <w:color w:val="000000"/>
        </w:rPr>
        <w:t xml:space="preserve"> of the </w:t>
      </w:r>
      <w:r w:rsidRPr="00001F7B">
        <w:rPr>
          <w:rFonts w:cstheme="minorHAnsi"/>
          <w:color w:val="000000"/>
        </w:rPr>
        <w:t xml:space="preserve"> VCLT only mentions the treaty as a whole, it also applies to the treaty’s individual provisions that must be read in the light of their relation to the whole treaty. </w:t>
      </w:r>
      <w:r w:rsidR="007E1A29" w:rsidRPr="00001F7B">
        <w:rPr>
          <w:rFonts w:cstheme="minorHAnsi"/>
          <w:color w:val="000000"/>
        </w:rPr>
        <w:t>He notes that despite the ILC’s</w:t>
      </w:r>
      <w:r w:rsidRPr="00001F7B">
        <w:rPr>
          <w:rFonts w:cstheme="minorHAnsi"/>
          <w:color w:val="000000"/>
        </w:rPr>
        <w:t xml:space="preserve"> strict textual approach, some international legal scholars endorse a more extensive or dynamic interpretation, especially for law-making treaties (and therefore, inter alia, uniform law conventions), that can be similarly found in European Union law. But examples also exist in case decision</w:t>
      </w:r>
      <w:r w:rsidR="007909CD" w:rsidRPr="00001F7B">
        <w:rPr>
          <w:rFonts w:cstheme="minorHAnsi"/>
          <w:color w:val="000000"/>
        </w:rPr>
        <w:t>s</w:t>
      </w:r>
      <w:r w:rsidR="006B6846" w:rsidRPr="00001F7B">
        <w:rPr>
          <w:rFonts w:cstheme="minorHAnsi"/>
          <w:color w:val="000000"/>
        </w:rPr>
        <w:t xml:space="preserve"> (he gives </w:t>
      </w:r>
      <w:proofErr w:type="spellStart"/>
      <w:r w:rsidRPr="00001F7B">
        <w:rPr>
          <w:rFonts w:cstheme="minorHAnsi"/>
          <w:i/>
          <w:iCs/>
          <w:color w:val="000000"/>
        </w:rPr>
        <w:t>Fothergill</w:t>
      </w:r>
      <w:proofErr w:type="spellEnd"/>
      <w:r w:rsidRPr="00001F7B">
        <w:rPr>
          <w:rFonts w:cstheme="minorHAnsi"/>
          <w:i/>
          <w:iCs/>
          <w:color w:val="000000"/>
        </w:rPr>
        <w:t> v Monarch Airlines</w:t>
      </w:r>
      <w:r w:rsidR="006B6846" w:rsidRPr="00001F7B">
        <w:rPr>
          <w:rFonts w:cstheme="minorHAnsi"/>
          <w:color w:val="000000"/>
        </w:rPr>
        <w:t xml:space="preserve"> (see</w:t>
      </w:r>
      <w:r w:rsidR="007909CD" w:rsidRPr="00001F7B">
        <w:rPr>
          <w:rFonts w:cstheme="minorHAnsi"/>
          <w:color w:val="000000"/>
        </w:rPr>
        <w:t xml:space="preserve"> above,</w:t>
      </w:r>
      <w:r w:rsidR="006B6846" w:rsidRPr="00001F7B">
        <w:rPr>
          <w:rFonts w:cstheme="minorHAnsi"/>
          <w:color w:val="000000"/>
        </w:rPr>
        <w:t xml:space="preserve"> </w:t>
      </w:r>
      <w:proofErr w:type="spellStart"/>
      <w:r w:rsidR="00AF2193" w:rsidRPr="00001F7B">
        <w:rPr>
          <w:rFonts w:cstheme="minorHAnsi"/>
          <w:color w:val="000000"/>
        </w:rPr>
        <w:t>f</w:t>
      </w:r>
      <w:r w:rsidR="006B6846" w:rsidRPr="00001F7B">
        <w:rPr>
          <w:rFonts w:cstheme="minorHAnsi"/>
          <w:color w:val="000000"/>
        </w:rPr>
        <w:t>n</w:t>
      </w:r>
      <w:proofErr w:type="spellEnd"/>
      <w:r w:rsidR="007909CD" w:rsidRPr="00001F7B">
        <w:rPr>
          <w:rFonts w:cstheme="minorHAnsi"/>
          <w:color w:val="000000"/>
        </w:rPr>
        <w:t xml:space="preserve"> 76</w:t>
      </w:r>
      <w:r w:rsidR="006B6846" w:rsidRPr="00001F7B">
        <w:rPr>
          <w:rFonts w:cstheme="minorHAnsi"/>
          <w:color w:val="000000"/>
        </w:rPr>
        <w:t>) as an example)</w:t>
      </w:r>
      <w:r w:rsidR="007909CD" w:rsidRPr="00001F7B">
        <w:rPr>
          <w:rFonts w:cstheme="minorHAnsi"/>
          <w:color w:val="000000"/>
        </w:rPr>
        <w:t>.</w:t>
      </w:r>
      <w:r w:rsidRPr="00001F7B">
        <w:rPr>
          <w:rFonts w:cstheme="minorHAnsi"/>
          <w:color w:val="000000"/>
        </w:rPr>
        <w:t xml:space="preserve"> </w:t>
      </w:r>
      <w:r w:rsidR="006B6846" w:rsidRPr="00001F7B">
        <w:rPr>
          <w:rFonts w:cstheme="minorHAnsi"/>
          <w:color w:val="000000"/>
        </w:rPr>
        <w:t>He thinks that given</w:t>
      </w:r>
      <w:r w:rsidRPr="00001F7B">
        <w:rPr>
          <w:rFonts w:cstheme="minorHAnsi"/>
          <w:color w:val="000000"/>
        </w:rPr>
        <w:t xml:space="preserve"> the difficulty of the revision of uniform instruments once they are adopte</w:t>
      </w:r>
      <w:r w:rsidR="006B6846" w:rsidRPr="00001F7B">
        <w:rPr>
          <w:rFonts w:cstheme="minorHAnsi"/>
          <w:color w:val="000000"/>
        </w:rPr>
        <w:t xml:space="preserve">d </w:t>
      </w:r>
      <w:r w:rsidRPr="00001F7B">
        <w:rPr>
          <w:rFonts w:cstheme="minorHAnsi"/>
          <w:color w:val="000000"/>
        </w:rPr>
        <w:t xml:space="preserve">a more dynamic interpretation would facilitate constant adjustment to changing economic needs and social values. </w:t>
      </w:r>
      <w:r w:rsidR="006B6846" w:rsidRPr="00001F7B">
        <w:rPr>
          <w:rFonts w:cstheme="minorHAnsi"/>
          <w:color w:val="000000"/>
        </w:rPr>
        <w:t xml:space="preserve">He recognises, however, the danger of opening </w:t>
      </w:r>
      <w:r w:rsidRPr="00001F7B">
        <w:rPr>
          <w:rFonts w:cstheme="minorHAnsi"/>
          <w:color w:val="000000"/>
        </w:rPr>
        <w:t>up a wide discretion for judges, thus endangering the uniformity of treaty application. In addition, the adjustment to existing needs and values would face difficulties if the uniform instrument itself only reflects a minimum consensus among contracting states. Nevertheless, whether the wording is unambiguous or not is a question of degree and not to be assessed by a simple ‘yes’ or ‘no’. Thus, whether a purposive argument can outweigh a reasonably precise plain meaning depends on the importance of the particular objective at issue.</w:t>
      </w:r>
    </w:p>
  </w:footnote>
  <w:footnote w:id="190">
    <w:p w14:paraId="57EF969F" w14:textId="4C79CA16" w:rsidR="008631F1" w:rsidRPr="00001F7B" w:rsidRDefault="008631F1">
      <w:pPr>
        <w:pStyle w:val="FootnoteText"/>
        <w:rPr>
          <w:rFonts w:cstheme="minorHAnsi"/>
        </w:rPr>
      </w:pPr>
      <w:r w:rsidRPr="00001F7B">
        <w:rPr>
          <w:rStyle w:val="FootnoteReference"/>
          <w:rFonts w:cstheme="minorHAnsi"/>
        </w:rPr>
        <w:footnoteRef/>
      </w:r>
      <w:r w:rsidRPr="00001F7B">
        <w:rPr>
          <w:rFonts w:cstheme="minorHAnsi"/>
        </w:rPr>
        <w:t xml:space="preserve"> A</w:t>
      </w:r>
      <w:r w:rsidR="004B1A91" w:rsidRPr="00001F7B">
        <w:rPr>
          <w:rFonts w:cstheme="minorHAnsi"/>
        </w:rPr>
        <w:t xml:space="preserve">bove, </w:t>
      </w:r>
      <w:proofErr w:type="spellStart"/>
      <w:r w:rsidR="004B1A91" w:rsidRPr="00001F7B">
        <w:rPr>
          <w:rFonts w:cstheme="minorHAnsi"/>
        </w:rPr>
        <w:t>fn</w:t>
      </w:r>
      <w:proofErr w:type="spellEnd"/>
      <w:r w:rsidR="004B1A91" w:rsidRPr="00001F7B">
        <w:rPr>
          <w:rFonts w:cstheme="minorHAnsi"/>
        </w:rPr>
        <w:t xml:space="preserve"> </w:t>
      </w:r>
      <w:r w:rsidR="007909CD" w:rsidRPr="00001F7B">
        <w:rPr>
          <w:rFonts w:cstheme="minorHAnsi"/>
        </w:rPr>
        <w:t>5</w:t>
      </w:r>
      <w:r w:rsidR="004B1A91" w:rsidRPr="00001F7B">
        <w:rPr>
          <w:rFonts w:cstheme="minorHAnsi"/>
        </w:rPr>
        <w:t>, a</w:t>
      </w:r>
      <w:r w:rsidRPr="00001F7B">
        <w:rPr>
          <w:rFonts w:cstheme="minorHAnsi"/>
        </w:rPr>
        <w:t>t p</w:t>
      </w:r>
      <w:r w:rsidR="004B1A91" w:rsidRPr="00001F7B">
        <w:rPr>
          <w:rFonts w:cstheme="minorHAnsi"/>
        </w:rPr>
        <w:t xml:space="preserve"> </w:t>
      </w:r>
      <w:r w:rsidRPr="00001F7B">
        <w:rPr>
          <w:rFonts w:cstheme="minorHAnsi"/>
        </w:rPr>
        <w:t>214.</w:t>
      </w:r>
    </w:p>
  </w:footnote>
  <w:footnote w:id="191">
    <w:p w14:paraId="50EFA9A6" w14:textId="24844721" w:rsidR="00D637A7" w:rsidRPr="00001F7B" w:rsidRDefault="00D637A7">
      <w:pPr>
        <w:pStyle w:val="FootnoteText"/>
        <w:rPr>
          <w:rFonts w:cstheme="minorHAnsi"/>
        </w:rPr>
      </w:pPr>
      <w:r w:rsidRPr="00001F7B">
        <w:rPr>
          <w:rStyle w:val="FootnoteReference"/>
          <w:rFonts w:cstheme="minorHAnsi"/>
        </w:rPr>
        <w:footnoteRef/>
      </w:r>
      <w:r w:rsidRPr="00001F7B">
        <w:rPr>
          <w:rFonts w:cstheme="minorHAnsi"/>
        </w:rPr>
        <w:t xml:space="preserve"> For </w:t>
      </w:r>
      <w:proofErr w:type="spellStart"/>
      <w:r w:rsidRPr="00001F7B">
        <w:rPr>
          <w:rFonts w:cstheme="minorHAnsi"/>
        </w:rPr>
        <w:t>Heideman</w:t>
      </w:r>
      <w:r w:rsidR="00795F2A" w:rsidRPr="00001F7B">
        <w:rPr>
          <w:rFonts w:cstheme="minorHAnsi"/>
        </w:rPr>
        <w:t>n</w:t>
      </w:r>
      <w:proofErr w:type="spellEnd"/>
      <w:r w:rsidRPr="00001F7B">
        <w:rPr>
          <w:rFonts w:cstheme="minorHAnsi"/>
        </w:rPr>
        <w:t xml:space="preserve">, ‘Object and Purpose in International Uniform Conventions’ (2018) EBLR 907, </w:t>
      </w:r>
      <w:r w:rsidR="008166D0" w:rsidRPr="00001F7B">
        <w:rPr>
          <w:rFonts w:cstheme="minorHAnsi"/>
        </w:rPr>
        <w:t xml:space="preserve">p 914 </w:t>
      </w:r>
      <w:r w:rsidR="008166D0" w:rsidRPr="00001F7B">
        <w:rPr>
          <w:rFonts w:cstheme="minorHAnsi"/>
          <w:i/>
          <w:iCs/>
        </w:rPr>
        <w:t xml:space="preserve">et </w:t>
      </w:r>
      <w:proofErr w:type="spellStart"/>
      <w:r w:rsidR="008166D0" w:rsidRPr="00001F7B">
        <w:rPr>
          <w:rFonts w:cstheme="minorHAnsi"/>
          <w:i/>
          <w:iCs/>
        </w:rPr>
        <w:t>seq</w:t>
      </w:r>
      <w:proofErr w:type="spellEnd"/>
      <w:r w:rsidR="008166D0" w:rsidRPr="00001F7B">
        <w:rPr>
          <w:rFonts w:cstheme="minorHAnsi"/>
        </w:rPr>
        <w:t xml:space="preserve">, </w:t>
      </w:r>
      <w:r w:rsidRPr="00001F7B">
        <w:rPr>
          <w:rFonts w:cstheme="minorHAnsi"/>
        </w:rPr>
        <w:t>the object of a treaty is its subject matter and the purpose or purposes are its objective or objectives</w:t>
      </w:r>
      <w:r w:rsidR="008166D0" w:rsidRPr="00001F7B">
        <w:rPr>
          <w:rFonts w:cstheme="minorHAnsi"/>
        </w:rPr>
        <w:t>,</w:t>
      </w:r>
      <w:r w:rsidRPr="00001F7B">
        <w:rPr>
          <w:rFonts w:cstheme="minorHAnsi"/>
        </w:rPr>
        <w:t xml:space="preserve"> i.e.</w:t>
      </w:r>
      <w:r w:rsidR="008166D0" w:rsidRPr="00001F7B">
        <w:rPr>
          <w:rFonts w:cstheme="minorHAnsi"/>
        </w:rPr>
        <w:t>,</w:t>
      </w:r>
      <w:r w:rsidRPr="00001F7B">
        <w:rPr>
          <w:rFonts w:cstheme="minorHAnsi"/>
        </w:rPr>
        <w:t xml:space="preserve"> to what is it directed and what is it trying to do</w:t>
      </w:r>
      <w:r w:rsidR="00CE4403" w:rsidRPr="00001F7B">
        <w:rPr>
          <w:rFonts w:cstheme="minorHAnsi"/>
        </w:rPr>
        <w:t xml:space="preserve">? </w:t>
      </w:r>
      <w:proofErr w:type="spellStart"/>
      <w:r w:rsidR="00CE4403" w:rsidRPr="00001F7B">
        <w:rPr>
          <w:rFonts w:cstheme="minorHAnsi"/>
        </w:rPr>
        <w:t>Buffard</w:t>
      </w:r>
      <w:proofErr w:type="spellEnd"/>
      <w:r w:rsidR="00CE4403" w:rsidRPr="00001F7B">
        <w:rPr>
          <w:rFonts w:cstheme="minorHAnsi"/>
        </w:rPr>
        <w:t xml:space="preserve"> and </w:t>
      </w:r>
      <w:proofErr w:type="spellStart"/>
      <w:r w:rsidR="00CE4403" w:rsidRPr="00001F7B">
        <w:rPr>
          <w:rFonts w:cstheme="minorHAnsi"/>
        </w:rPr>
        <w:t>Zemanek</w:t>
      </w:r>
      <w:proofErr w:type="spellEnd"/>
      <w:r w:rsidR="00CE4403" w:rsidRPr="00001F7B">
        <w:rPr>
          <w:rFonts w:cstheme="minorHAnsi"/>
        </w:rPr>
        <w:t>, ‘The “Object and Purpose” of a Treaty: An Enigma’ (1998) Austrian Review of International and European Law 311</w:t>
      </w:r>
      <w:r w:rsidR="008166D0" w:rsidRPr="00001F7B">
        <w:rPr>
          <w:rFonts w:cstheme="minorHAnsi"/>
        </w:rPr>
        <w:t>,</w:t>
      </w:r>
      <w:r w:rsidR="00CE4403" w:rsidRPr="00001F7B">
        <w:rPr>
          <w:rFonts w:cstheme="minorHAnsi"/>
        </w:rPr>
        <w:t xml:space="preserve"> say at pp 31</w:t>
      </w:r>
      <w:r w:rsidR="00EE6892" w:rsidRPr="00001F7B">
        <w:rPr>
          <w:rFonts w:cstheme="minorHAnsi"/>
        </w:rPr>
        <w:t>8-319,</w:t>
      </w:r>
      <w:r w:rsidR="00CE4403" w:rsidRPr="00001F7B">
        <w:rPr>
          <w:rFonts w:cstheme="minorHAnsi"/>
        </w:rPr>
        <w:t xml:space="preserve"> that the combination of these two words in one standard expression is now firmly established but the indications are that they are separate and different elements that jointly designate a starting point for interpretation. They note that some writers treat the two words a</w:t>
      </w:r>
      <w:r w:rsidR="008166D0" w:rsidRPr="00001F7B">
        <w:rPr>
          <w:rFonts w:cstheme="minorHAnsi"/>
        </w:rPr>
        <w:t>s</w:t>
      </w:r>
      <w:r w:rsidR="00CE4403" w:rsidRPr="00001F7B">
        <w:rPr>
          <w:rFonts w:cstheme="minorHAnsi"/>
        </w:rPr>
        <w:t xml:space="preserve"> synonymous (p</w:t>
      </w:r>
      <w:r w:rsidR="00836592" w:rsidRPr="00001F7B">
        <w:rPr>
          <w:rFonts w:cstheme="minorHAnsi"/>
        </w:rPr>
        <w:t xml:space="preserve"> </w:t>
      </w:r>
      <w:r w:rsidR="00CE4403" w:rsidRPr="00001F7B">
        <w:rPr>
          <w:rFonts w:cstheme="minorHAnsi"/>
        </w:rPr>
        <w:t>322, mainly German and English). French theory treats them as distinct notions (p</w:t>
      </w:r>
      <w:r w:rsidR="008166D0" w:rsidRPr="00001F7B">
        <w:rPr>
          <w:rFonts w:cstheme="minorHAnsi"/>
        </w:rPr>
        <w:t xml:space="preserve"> </w:t>
      </w:r>
      <w:r w:rsidR="00CE4403" w:rsidRPr="00001F7B">
        <w:rPr>
          <w:rFonts w:cstheme="minorHAnsi"/>
        </w:rPr>
        <w:t>325</w:t>
      </w:r>
      <w:r w:rsidR="0008219E" w:rsidRPr="00001F7B">
        <w:rPr>
          <w:rFonts w:cstheme="minorHAnsi"/>
        </w:rPr>
        <w:t>)</w:t>
      </w:r>
      <w:r w:rsidR="00CE4403" w:rsidRPr="00001F7B">
        <w:rPr>
          <w:rFonts w:cstheme="minorHAnsi"/>
        </w:rPr>
        <w:t xml:space="preserve"> and at p 326 they state</w:t>
      </w:r>
      <w:r w:rsidR="00BE182F" w:rsidRPr="00001F7B">
        <w:rPr>
          <w:rFonts w:cstheme="minorHAnsi"/>
        </w:rPr>
        <w:t>:</w:t>
      </w:r>
      <w:r w:rsidR="00CE4403" w:rsidRPr="00001F7B">
        <w:rPr>
          <w:rFonts w:cstheme="minorHAnsi"/>
        </w:rPr>
        <w:t xml:space="preserve"> “the term “object” indicates thus the substantial content of the norm, the provisions, rights and obligations created by the norm. The object of a treaty is the instrument for the achievement of the treaty’s purpose, and this purpose is, in turn, the general result which the parties want to achieve by the treaty.” They adopt the French formula, see p</w:t>
      </w:r>
      <w:r w:rsidR="008166D0" w:rsidRPr="00001F7B">
        <w:rPr>
          <w:rFonts w:cstheme="minorHAnsi"/>
        </w:rPr>
        <w:t xml:space="preserve"> </w:t>
      </w:r>
      <w:r w:rsidR="00CE4403" w:rsidRPr="00001F7B">
        <w:rPr>
          <w:rFonts w:cstheme="minorHAnsi"/>
        </w:rPr>
        <w:t>331</w:t>
      </w:r>
      <w:r w:rsidR="00E925BA" w:rsidRPr="00001F7B">
        <w:rPr>
          <w:rFonts w:cstheme="minorHAnsi"/>
        </w:rPr>
        <w:t xml:space="preserve">. Ammann, </w:t>
      </w:r>
      <w:r w:rsidR="00E93045" w:rsidRPr="00001F7B">
        <w:rPr>
          <w:rFonts w:cstheme="minorHAnsi"/>
          <w:i/>
          <w:iCs/>
        </w:rPr>
        <w:t>Domestic Courts and the</w:t>
      </w:r>
      <w:r w:rsidR="00E93045" w:rsidRPr="00001F7B">
        <w:rPr>
          <w:rFonts w:cstheme="minorHAnsi"/>
        </w:rPr>
        <w:t xml:space="preserve"> </w:t>
      </w:r>
      <w:r w:rsidR="00E93045" w:rsidRPr="00001F7B">
        <w:rPr>
          <w:rFonts w:cstheme="minorHAnsi"/>
          <w:i/>
          <w:iCs/>
        </w:rPr>
        <w:t>Interpretation of International Law</w:t>
      </w:r>
      <w:r w:rsidR="00E93045" w:rsidRPr="00001F7B">
        <w:rPr>
          <w:rFonts w:cstheme="minorHAnsi"/>
        </w:rPr>
        <w:t xml:space="preserve"> 2020, Brill </w:t>
      </w:r>
      <w:r w:rsidR="00E925BA" w:rsidRPr="00001F7B">
        <w:rPr>
          <w:rFonts w:cstheme="minorHAnsi"/>
        </w:rPr>
        <w:t>p 209, states the distinction they make has not gained any clout in international legal practice.</w:t>
      </w:r>
    </w:p>
  </w:footnote>
  <w:footnote w:id="192">
    <w:p w14:paraId="641256E4" w14:textId="6FE68B6C" w:rsidR="00F95CAC" w:rsidRPr="00001F7B" w:rsidRDefault="0009444E" w:rsidP="00F95CAC">
      <w:pPr>
        <w:widowControl w:val="0"/>
        <w:autoSpaceDE w:val="0"/>
        <w:autoSpaceDN w:val="0"/>
        <w:adjustRightInd w:val="0"/>
        <w:spacing w:after="0" w:line="240" w:lineRule="auto"/>
        <w:rPr>
          <w:rFonts w:eastAsiaTheme="minorEastAsia" w:cstheme="minorHAnsi"/>
          <w:color w:val="000000"/>
          <w:sz w:val="20"/>
          <w:szCs w:val="20"/>
          <w:lang w:eastAsia="en-GB"/>
        </w:rPr>
      </w:pPr>
      <w:r w:rsidRPr="00001F7B">
        <w:rPr>
          <w:rStyle w:val="FootnoteReference"/>
          <w:rFonts w:cstheme="minorHAnsi"/>
          <w:sz w:val="20"/>
          <w:szCs w:val="20"/>
        </w:rPr>
        <w:footnoteRef/>
      </w:r>
      <w:r w:rsidRPr="00001F7B">
        <w:rPr>
          <w:rFonts w:cstheme="minorHAnsi"/>
          <w:sz w:val="20"/>
          <w:szCs w:val="20"/>
        </w:rPr>
        <w:t xml:space="preserve"> In England the decision of the House of Lords in </w:t>
      </w:r>
      <w:proofErr w:type="spellStart"/>
      <w:r w:rsidRPr="00001F7B">
        <w:rPr>
          <w:rFonts w:cstheme="minorHAnsi"/>
          <w:i/>
          <w:iCs/>
          <w:sz w:val="20"/>
          <w:szCs w:val="20"/>
        </w:rPr>
        <w:t>Fothergill</w:t>
      </w:r>
      <w:proofErr w:type="spellEnd"/>
      <w:r w:rsidRPr="00001F7B">
        <w:rPr>
          <w:rFonts w:cstheme="minorHAnsi"/>
          <w:i/>
          <w:iCs/>
          <w:sz w:val="20"/>
          <w:szCs w:val="20"/>
        </w:rPr>
        <w:t xml:space="preserve"> </w:t>
      </w:r>
      <w:r w:rsidR="00362A63" w:rsidRPr="00001F7B">
        <w:rPr>
          <w:rFonts w:cstheme="minorHAnsi"/>
          <w:i/>
          <w:iCs/>
          <w:sz w:val="20"/>
          <w:szCs w:val="20"/>
        </w:rPr>
        <w:t xml:space="preserve">v Monarch Airlines </w:t>
      </w:r>
      <w:r w:rsidR="00F95CAC" w:rsidRPr="00001F7B">
        <w:rPr>
          <w:rFonts w:cstheme="minorHAnsi"/>
          <w:i/>
          <w:iCs/>
          <w:sz w:val="20"/>
          <w:szCs w:val="20"/>
        </w:rPr>
        <w:t>Ltd</w:t>
      </w:r>
      <w:r w:rsidR="00EE6892" w:rsidRPr="00001F7B">
        <w:rPr>
          <w:rFonts w:cstheme="minorHAnsi"/>
          <w:sz w:val="20"/>
          <w:szCs w:val="20"/>
        </w:rPr>
        <w:t>, above</w:t>
      </w:r>
      <w:r w:rsidR="00836592" w:rsidRPr="00001F7B">
        <w:rPr>
          <w:rFonts w:cstheme="minorHAnsi"/>
          <w:sz w:val="20"/>
          <w:szCs w:val="20"/>
        </w:rPr>
        <w:t>,</w:t>
      </w:r>
      <w:r w:rsidR="00EE6892" w:rsidRPr="00001F7B">
        <w:rPr>
          <w:rFonts w:cstheme="minorHAnsi"/>
          <w:sz w:val="20"/>
          <w:szCs w:val="20"/>
        </w:rPr>
        <w:t xml:space="preserve"> </w:t>
      </w:r>
      <w:proofErr w:type="spellStart"/>
      <w:r w:rsidR="00EE6892" w:rsidRPr="00001F7B">
        <w:rPr>
          <w:rFonts w:cstheme="minorHAnsi"/>
          <w:sz w:val="20"/>
          <w:szCs w:val="20"/>
        </w:rPr>
        <w:t>fn</w:t>
      </w:r>
      <w:proofErr w:type="spellEnd"/>
      <w:r w:rsidR="00EE6892" w:rsidRPr="00001F7B">
        <w:rPr>
          <w:rFonts w:cstheme="minorHAnsi"/>
          <w:sz w:val="20"/>
          <w:szCs w:val="20"/>
        </w:rPr>
        <w:t xml:space="preserve"> 76,</w:t>
      </w:r>
    </w:p>
    <w:p w14:paraId="22880545" w14:textId="7A7F94CF" w:rsidR="0009444E" w:rsidRPr="00001F7B" w:rsidRDefault="00F244C6" w:rsidP="00F95CAC">
      <w:pPr>
        <w:widowControl w:val="0"/>
        <w:autoSpaceDE w:val="0"/>
        <w:autoSpaceDN w:val="0"/>
        <w:adjustRightInd w:val="0"/>
        <w:spacing w:after="0" w:line="240" w:lineRule="auto"/>
        <w:rPr>
          <w:rFonts w:cstheme="minorHAnsi"/>
          <w:sz w:val="20"/>
          <w:szCs w:val="20"/>
        </w:rPr>
      </w:pPr>
      <w:r w:rsidRPr="00001F7B">
        <w:rPr>
          <w:rFonts w:cstheme="minorHAnsi"/>
          <w:sz w:val="20"/>
          <w:szCs w:val="20"/>
        </w:rPr>
        <w:t xml:space="preserve">concerning carriage by air </w:t>
      </w:r>
      <w:r w:rsidR="0009444E" w:rsidRPr="00001F7B">
        <w:rPr>
          <w:rFonts w:cstheme="minorHAnsi"/>
          <w:sz w:val="20"/>
          <w:szCs w:val="20"/>
        </w:rPr>
        <w:t>is a prime example</w:t>
      </w:r>
      <w:r w:rsidR="00F95CAC" w:rsidRPr="00001F7B">
        <w:rPr>
          <w:rFonts w:cstheme="minorHAnsi"/>
          <w:sz w:val="20"/>
          <w:szCs w:val="20"/>
        </w:rPr>
        <w:t xml:space="preserve"> (</w:t>
      </w:r>
      <w:r w:rsidR="00F95CAC" w:rsidRPr="00001F7B">
        <w:rPr>
          <w:rFonts w:eastAsiaTheme="minorEastAsia" w:cstheme="minorHAnsi"/>
          <w:color w:val="000000"/>
          <w:sz w:val="20"/>
          <w:szCs w:val="20"/>
          <w:lang w:eastAsia="en-GB"/>
        </w:rPr>
        <w:t>considered further in the review of UK law in the Annex folder)</w:t>
      </w:r>
      <w:r w:rsidR="0009444E" w:rsidRPr="00001F7B">
        <w:rPr>
          <w:rFonts w:cstheme="minorHAnsi"/>
          <w:sz w:val="20"/>
          <w:szCs w:val="20"/>
        </w:rPr>
        <w:t xml:space="preserve">.  </w:t>
      </w:r>
      <w:r w:rsidR="00F95CAC" w:rsidRPr="00001F7B">
        <w:rPr>
          <w:rFonts w:cstheme="minorHAnsi"/>
          <w:sz w:val="20"/>
          <w:szCs w:val="20"/>
        </w:rPr>
        <w:t xml:space="preserve">Note particularly the statement of </w:t>
      </w:r>
      <w:r w:rsidR="0009444E" w:rsidRPr="00001F7B">
        <w:rPr>
          <w:rFonts w:cstheme="minorHAnsi"/>
          <w:sz w:val="20"/>
          <w:szCs w:val="20"/>
        </w:rPr>
        <w:t>Lord Wilberforce</w:t>
      </w:r>
      <w:r w:rsidR="00F95CAC" w:rsidRPr="00001F7B">
        <w:rPr>
          <w:rFonts w:cstheme="minorHAnsi"/>
          <w:sz w:val="20"/>
          <w:szCs w:val="20"/>
        </w:rPr>
        <w:t xml:space="preserve"> (p 272)</w:t>
      </w:r>
      <w:r w:rsidR="0009444E" w:rsidRPr="00001F7B">
        <w:rPr>
          <w:rFonts w:cstheme="minorHAnsi"/>
          <w:sz w:val="20"/>
          <w:szCs w:val="20"/>
        </w:rPr>
        <w:t xml:space="preserve">: </w:t>
      </w:r>
      <w:r w:rsidR="0009444E" w:rsidRPr="00001F7B">
        <w:rPr>
          <w:rFonts w:eastAsia="Times New Roman" w:cstheme="minorHAnsi"/>
          <w:color w:val="3D3D3D"/>
          <w:sz w:val="20"/>
          <w:szCs w:val="20"/>
          <w:lang w:eastAsia="en-GB"/>
        </w:rPr>
        <w:t>“I start by considering the purpose of article 26”. In Germany</w:t>
      </w:r>
      <w:r w:rsidRPr="00001F7B">
        <w:rPr>
          <w:rFonts w:eastAsia="Times New Roman" w:cstheme="minorHAnsi"/>
          <w:color w:val="3D3D3D"/>
          <w:sz w:val="20"/>
          <w:szCs w:val="20"/>
          <w:lang w:eastAsia="en-GB"/>
        </w:rPr>
        <w:t>, in its decision of 15.12.2011</w:t>
      </w:r>
      <w:r w:rsidR="00EE6892" w:rsidRPr="00001F7B">
        <w:rPr>
          <w:rFonts w:eastAsia="Times New Roman" w:cstheme="minorHAnsi"/>
          <w:color w:val="3D3D3D"/>
          <w:sz w:val="20"/>
          <w:szCs w:val="20"/>
          <w:lang w:eastAsia="en-GB"/>
        </w:rPr>
        <w:t xml:space="preserve">, above, </w:t>
      </w:r>
      <w:proofErr w:type="spellStart"/>
      <w:r w:rsidR="00EE6892" w:rsidRPr="00001F7B">
        <w:rPr>
          <w:rFonts w:eastAsia="Times New Roman" w:cstheme="minorHAnsi"/>
          <w:color w:val="3D3D3D"/>
          <w:sz w:val="20"/>
          <w:szCs w:val="20"/>
          <w:lang w:eastAsia="en-GB"/>
        </w:rPr>
        <w:t>fn</w:t>
      </w:r>
      <w:proofErr w:type="spellEnd"/>
      <w:r w:rsidR="00EE6892" w:rsidRPr="00001F7B">
        <w:rPr>
          <w:rFonts w:eastAsia="Times New Roman" w:cstheme="minorHAnsi"/>
          <w:color w:val="3D3D3D"/>
          <w:sz w:val="20"/>
          <w:szCs w:val="20"/>
          <w:lang w:eastAsia="en-GB"/>
        </w:rPr>
        <w:t xml:space="preserve"> </w:t>
      </w:r>
      <w:r w:rsidR="00533695" w:rsidRPr="00001F7B">
        <w:rPr>
          <w:rFonts w:eastAsia="Times New Roman" w:cstheme="minorHAnsi"/>
          <w:color w:val="3D3D3D"/>
          <w:sz w:val="20"/>
          <w:szCs w:val="20"/>
          <w:lang w:eastAsia="en-GB"/>
        </w:rPr>
        <w:t>8</w:t>
      </w:r>
      <w:r w:rsidR="00EE6892" w:rsidRPr="00001F7B">
        <w:rPr>
          <w:rFonts w:eastAsia="Times New Roman" w:cstheme="minorHAnsi"/>
          <w:color w:val="3D3D3D"/>
          <w:sz w:val="20"/>
          <w:szCs w:val="20"/>
          <w:lang w:eastAsia="en-GB"/>
        </w:rPr>
        <w:t>4,</w:t>
      </w:r>
      <w:r w:rsidR="00043777" w:rsidRPr="00001F7B">
        <w:rPr>
          <w:rFonts w:eastAsia="Times New Roman" w:cstheme="minorHAnsi"/>
          <w:color w:val="3D3D3D"/>
          <w:sz w:val="20"/>
          <w:szCs w:val="20"/>
          <w:lang w:eastAsia="en-GB"/>
        </w:rPr>
        <w:t xml:space="preserve"> </w:t>
      </w:r>
      <w:r w:rsidRPr="00001F7B">
        <w:rPr>
          <w:rFonts w:eastAsia="Times New Roman" w:cstheme="minorHAnsi"/>
          <w:color w:val="3D3D3D"/>
          <w:sz w:val="20"/>
          <w:szCs w:val="20"/>
          <w:lang w:eastAsia="en-GB"/>
        </w:rPr>
        <w:t>concerning art 2 of CMR the BGH, referred (at para 20) to the meaning and purpose of the provision being of decisive importance</w:t>
      </w:r>
      <w:r w:rsidR="00A1598A" w:rsidRPr="00001F7B">
        <w:rPr>
          <w:rFonts w:eastAsia="Times New Roman" w:cstheme="minorHAnsi"/>
          <w:color w:val="3D3D3D"/>
          <w:sz w:val="20"/>
          <w:szCs w:val="20"/>
          <w:lang w:eastAsia="en-GB"/>
        </w:rPr>
        <w:t>.</w:t>
      </w:r>
    </w:p>
  </w:footnote>
  <w:footnote w:id="193">
    <w:p w14:paraId="57E8C355" w14:textId="683143FD" w:rsidR="004A0708" w:rsidRPr="00001F7B" w:rsidRDefault="004A0708" w:rsidP="00D91564">
      <w:pPr>
        <w:pStyle w:val="FootnoteText"/>
        <w:rPr>
          <w:rFonts w:cstheme="minorHAnsi"/>
        </w:rPr>
      </w:pPr>
      <w:r w:rsidRPr="00001F7B">
        <w:rPr>
          <w:rStyle w:val="FootnoteReference"/>
          <w:rFonts w:cstheme="minorHAnsi"/>
        </w:rPr>
        <w:footnoteRef/>
      </w:r>
      <w:r w:rsidRPr="00001F7B">
        <w:rPr>
          <w:rFonts w:cstheme="minorHAnsi"/>
        </w:rPr>
        <w:t xml:space="preserve"> </w:t>
      </w:r>
      <w:bookmarkStart w:id="13" w:name="_Hlk112834739"/>
      <w:proofErr w:type="spellStart"/>
      <w:r w:rsidRPr="00001F7B">
        <w:rPr>
          <w:rFonts w:cstheme="minorHAnsi"/>
        </w:rPr>
        <w:t>Hendrik</w:t>
      </w:r>
      <w:r w:rsidR="00E1335D">
        <w:rPr>
          <w:rFonts w:cstheme="minorHAnsi"/>
        </w:rPr>
        <w:t>s</w:t>
      </w:r>
      <w:r w:rsidRPr="00001F7B">
        <w:rPr>
          <w:rFonts w:cstheme="minorHAnsi"/>
        </w:rPr>
        <w:t>e</w:t>
      </w:r>
      <w:proofErr w:type="spellEnd"/>
      <w:r w:rsidRPr="00001F7B">
        <w:rPr>
          <w:rFonts w:cstheme="minorHAnsi"/>
        </w:rPr>
        <w:t xml:space="preserve"> and </w:t>
      </w:r>
      <w:proofErr w:type="spellStart"/>
      <w:r w:rsidRPr="00001F7B">
        <w:rPr>
          <w:rFonts w:cstheme="minorHAnsi"/>
        </w:rPr>
        <w:t>Margetson</w:t>
      </w:r>
      <w:bookmarkEnd w:id="13"/>
      <w:proofErr w:type="spellEnd"/>
      <w:r w:rsidRPr="00001F7B">
        <w:rPr>
          <w:rFonts w:cstheme="minorHAnsi"/>
        </w:rPr>
        <w:t xml:space="preserve">, </w:t>
      </w:r>
      <w:r w:rsidR="00E93045" w:rsidRPr="00001F7B">
        <w:rPr>
          <w:rFonts w:cstheme="minorHAnsi"/>
        </w:rPr>
        <w:t xml:space="preserve">above </w:t>
      </w:r>
      <w:proofErr w:type="spellStart"/>
      <w:r w:rsidR="00E93045" w:rsidRPr="00001F7B">
        <w:rPr>
          <w:rFonts w:cstheme="minorHAnsi"/>
        </w:rPr>
        <w:t>fn</w:t>
      </w:r>
      <w:proofErr w:type="spellEnd"/>
      <w:r w:rsidR="00E93045" w:rsidRPr="00001F7B">
        <w:rPr>
          <w:rFonts w:cstheme="minorHAnsi"/>
        </w:rPr>
        <w:t xml:space="preserve"> </w:t>
      </w:r>
      <w:r w:rsidR="00533695" w:rsidRPr="00001F7B">
        <w:rPr>
          <w:rFonts w:cstheme="minorHAnsi"/>
        </w:rPr>
        <w:t>10</w:t>
      </w:r>
      <w:r w:rsidR="00E93045" w:rsidRPr="00001F7B">
        <w:rPr>
          <w:rFonts w:cstheme="minorHAnsi"/>
        </w:rPr>
        <w:t xml:space="preserve">, </w:t>
      </w:r>
      <w:r w:rsidRPr="00001F7B">
        <w:rPr>
          <w:rFonts w:cstheme="minorHAnsi"/>
        </w:rPr>
        <w:t>p</w:t>
      </w:r>
      <w:r w:rsidR="00E93045" w:rsidRPr="00001F7B">
        <w:rPr>
          <w:rFonts w:cstheme="minorHAnsi"/>
        </w:rPr>
        <w:t xml:space="preserve"> </w:t>
      </w:r>
      <w:r w:rsidRPr="00001F7B">
        <w:rPr>
          <w:rFonts w:cstheme="minorHAnsi"/>
        </w:rPr>
        <w:t>77</w:t>
      </w:r>
      <w:r w:rsidR="00792FDC" w:rsidRPr="00001F7B">
        <w:rPr>
          <w:rFonts w:cstheme="minorHAnsi"/>
        </w:rPr>
        <w:t xml:space="preserve"> conflating the purpose of the treat</w:t>
      </w:r>
      <w:r w:rsidR="00F777C4" w:rsidRPr="00001F7B">
        <w:rPr>
          <w:rFonts w:cstheme="minorHAnsi"/>
        </w:rPr>
        <w:t>y</w:t>
      </w:r>
      <w:r w:rsidR="00792FDC" w:rsidRPr="00001F7B">
        <w:rPr>
          <w:rFonts w:cstheme="minorHAnsi"/>
        </w:rPr>
        <w:t xml:space="preserve"> and the purpose of its individual provisions say</w:t>
      </w:r>
      <w:r w:rsidR="00043777" w:rsidRPr="00001F7B">
        <w:rPr>
          <w:rFonts w:cstheme="minorHAnsi"/>
        </w:rPr>
        <w:t>:</w:t>
      </w:r>
      <w:r w:rsidR="00792FDC" w:rsidRPr="00001F7B">
        <w:rPr>
          <w:rFonts w:cstheme="minorHAnsi"/>
        </w:rPr>
        <w:t xml:space="preserve"> </w:t>
      </w:r>
      <w:r w:rsidRPr="00001F7B">
        <w:rPr>
          <w:rFonts w:cstheme="minorHAnsi"/>
        </w:rPr>
        <w:t>“The great importance of teleological</w:t>
      </w:r>
      <w:r w:rsidR="00792FDC" w:rsidRPr="00001F7B">
        <w:rPr>
          <w:rFonts w:cstheme="minorHAnsi"/>
        </w:rPr>
        <w:t xml:space="preserve"> </w:t>
      </w:r>
      <w:r w:rsidRPr="00001F7B">
        <w:rPr>
          <w:rFonts w:cstheme="minorHAnsi"/>
        </w:rPr>
        <w:t xml:space="preserve">construction is emphasised in the case law.” In </w:t>
      </w:r>
      <w:proofErr w:type="spellStart"/>
      <w:r w:rsidRPr="00001F7B">
        <w:rPr>
          <w:rFonts w:cstheme="minorHAnsi"/>
        </w:rPr>
        <w:t>fn</w:t>
      </w:r>
      <w:proofErr w:type="spellEnd"/>
      <w:r w:rsidR="00362A63" w:rsidRPr="00001F7B">
        <w:rPr>
          <w:rFonts w:cstheme="minorHAnsi"/>
        </w:rPr>
        <w:t xml:space="preserve"> </w:t>
      </w:r>
      <w:r w:rsidRPr="00001F7B">
        <w:rPr>
          <w:rFonts w:cstheme="minorHAnsi"/>
        </w:rPr>
        <w:t>51 they cite</w:t>
      </w:r>
      <w:r w:rsidR="003E1916" w:rsidRPr="00001F7B">
        <w:rPr>
          <w:rFonts w:cstheme="minorHAnsi"/>
        </w:rPr>
        <w:t xml:space="preserve"> </w:t>
      </w:r>
      <w:r w:rsidRPr="00001F7B">
        <w:rPr>
          <w:rFonts w:cstheme="minorHAnsi"/>
        </w:rPr>
        <w:t>the advice of the Advocate General of the Supreme Court of the Netherlands (SCN), Strikwerda, to the SCN for its judgment of 14 June 1996, NJ 1997, 703</w:t>
      </w:r>
      <w:r w:rsidR="003E1916" w:rsidRPr="00001F7B">
        <w:rPr>
          <w:rFonts w:cstheme="minorHAnsi"/>
        </w:rPr>
        <w:t xml:space="preserve"> and indicate that</w:t>
      </w:r>
      <w:r w:rsidRPr="00001F7B">
        <w:rPr>
          <w:rFonts w:cstheme="minorHAnsi"/>
        </w:rPr>
        <w:t xml:space="preserve"> Strikwerda is of the opinion that, in case of unclearness, a teleological construction or a construction based on comparative law research should lead to a solution.</w:t>
      </w:r>
      <w:r w:rsidR="00A602F3" w:rsidRPr="00001F7B">
        <w:rPr>
          <w:rFonts w:cstheme="minorHAnsi"/>
        </w:rPr>
        <w:t xml:space="preserve"> </w:t>
      </w:r>
      <w:r w:rsidR="003E1916" w:rsidRPr="00001F7B">
        <w:rPr>
          <w:rFonts w:cstheme="minorHAnsi"/>
        </w:rPr>
        <w:t>They say s</w:t>
      </w:r>
      <w:r w:rsidRPr="00001F7B">
        <w:rPr>
          <w:rFonts w:cstheme="minorHAnsi"/>
        </w:rPr>
        <w:t>ee in the same sense point 3.3</w:t>
      </w:r>
      <w:r w:rsidR="003E1916" w:rsidRPr="00001F7B">
        <w:rPr>
          <w:rFonts w:cstheme="minorHAnsi"/>
        </w:rPr>
        <w:t xml:space="preserve"> </w:t>
      </w:r>
      <w:r w:rsidRPr="00001F7B">
        <w:rPr>
          <w:rFonts w:cstheme="minorHAnsi"/>
        </w:rPr>
        <w:t>of the judgment of the SCN of 29 June 1990, NJ 1992, 106.</w:t>
      </w:r>
      <w:r w:rsidR="003E1916" w:rsidRPr="00001F7B">
        <w:rPr>
          <w:rFonts w:cstheme="minorHAnsi"/>
        </w:rPr>
        <w:t xml:space="preserve"> </w:t>
      </w:r>
      <w:r w:rsidRPr="00001F7B">
        <w:rPr>
          <w:rFonts w:cstheme="minorHAnsi"/>
        </w:rPr>
        <w:t>Furthermore,</w:t>
      </w:r>
      <w:r w:rsidR="00E35832" w:rsidRPr="00001F7B">
        <w:rPr>
          <w:rFonts w:cstheme="minorHAnsi"/>
        </w:rPr>
        <w:t xml:space="preserve"> </w:t>
      </w:r>
      <w:r w:rsidR="00A602F3" w:rsidRPr="00001F7B">
        <w:rPr>
          <w:rFonts w:cstheme="minorHAnsi"/>
        </w:rPr>
        <w:t>they note that</w:t>
      </w:r>
      <w:r w:rsidRPr="00001F7B">
        <w:rPr>
          <w:rFonts w:cstheme="minorHAnsi"/>
        </w:rPr>
        <w:t xml:space="preserve"> the SCN held (sub point 3.4 of its judgment</w:t>
      </w:r>
      <w:r w:rsidR="00A602F3" w:rsidRPr="00001F7B">
        <w:rPr>
          <w:rFonts w:cstheme="minorHAnsi"/>
        </w:rPr>
        <w:t xml:space="preserve"> </w:t>
      </w:r>
      <w:r w:rsidRPr="00001F7B">
        <w:rPr>
          <w:rFonts w:cstheme="minorHAnsi"/>
        </w:rPr>
        <w:t xml:space="preserve">of 14 June 1996) that </w:t>
      </w:r>
      <w:r w:rsidR="00E35832" w:rsidRPr="00001F7B">
        <w:rPr>
          <w:rFonts w:cstheme="minorHAnsi"/>
        </w:rPr>
        <w:t xml:space="preserve">the </w:t>
      </w:r>
      <w:r w:rsidRPr="00001F7B">
        <w:rPr>
          <w:rFonts w:cstheme="minorHAnsi"/>
          <w:i/>
          <w:iCs/>
        </w:rPr>
        <w:t>import and intention of Art. 2</w:t>
      </w:r>
      <w:r w:rsidR="003E1916" w:rsidRPr="00001F7B">
        <w:rPr>
          <w:rFonts w:cstheme="minorHAnsi"/>
          <w:i/>
          <w:iCs/>
        </w:rPr>
        <w:t xml:space="preserve"> </w:t>
      </w:r>
      <w:r w:rsidRPr="00001F7B">
        <w:rPr>
          <w:rFonts w:cstheme="minorHAnsi"/>
          <w:i/>
          <w:iCs/>
        </w:rPr>
        <w:t>CMR</w:t>
      </w:r>
      <w:r w:rsidR="003E1916" w:rsidRPr="00001F7B">
        <w:rPr>
          <w:rFonts w:cstheme="minorHAnsi"/>
          <w:i/>
          <w:iCs/>
        </w:rPr>
        <w:t xml:space="preserve"> </w:t>
      </w:r>
      <w:r w:rsidRPr="00001F7B">
        <w:rPr>
          <w:rFonts w:cstheme="minorHAnsi"/>
          <w:i/>
          <w:iCs/>
        </w:rPr>
        <w:t>is decisive</w:t>
      </w:r>
      <w:r w:rsidR="00792FDC" w:rsidRPr="00001F7B">
        <w:rPr>
          <w:rFonts w:cstheme="minorHAnsi"/>
          <w:i/>
          <w:iCs/>
        </w:rPr>
        <w:t xml:space="preserve"> </w:t>
      </w:r>
      <w:r w:rsidR="00792FDC" w:rsidRPr="00001F7B">
        <w:rPr>
          <w:rFonts w:cstheme="minorHAnsi"/>
        </w:rPr>
        <w:t>(my emphasis)</w:t>
      </w:r>
      <w:r w:rsidRPr="00001F7B">
        <w:rPr>
          <w:rFonts w:cstheme="minorHAnsi"/>
        </w:rPr>
        <w:t>. The intention is to, as far as possible, prevent the</w:t>
      </w:r>
      <w:r w:rsidR="003E1916" w:rsidRPr="00001F7B">
        <w:rPr>
          <w:rFonts w:cstheme="minorHAnsi"/>
        </w:rPr>
        <w:t xml:space="preserve"> </w:t>
      </w:r>
      <w:r w:rsidRPr="00001F7B">
        <w:rPr>
          <w:rFonts w:cstheme="minorHAnsi"/>
        </w:rPr>
        <w:t xml:space="preserve">extent of liability of the carrier of goods by road </w:t>
      </w:r>
      <w:r w:rsidR="003E1916" w:rsidRPr="00001F7B">
        <w:rPr>
          <w:rFonts w:cstheme="minorHAnsi"/>
        </w:rPr>
        <w:t xml:space="preserve">vis-à-vis </w:t>
      </w:r>
      <w:r w:rsidRPr="00001F7B">
        <w:rPr>
          <w:rFonts w:cstheme="minorHAnsi"/>
        </w:rPr>
        <w:t>the shipper from rising above the liability of other carriers</w:t>
      </w:r>
      <w:r w:rsidR="003E1916" w:rsidRPr="00001F7B">
        <w:rPr>
          <w:rFonts w:cstheme="minorHAnsi"/>
        </w:rPr>
        <w:t xml:space="preserve"> </w:t>
      </w:r>
      <w:r w:rsidRPr="00001F7B">
        <w:rPr>
          <w:rFonts w:cstheme="minorHAnsi"/>
        </w:rPr>
        <w:t>such as sea carriers, vis-a-vis the road carrier</w:t>
      </w:r>
      <w:r w:rsidR="00A602F3" w:rsidRPr="00001F7B">
        <w:rPr>
          <w:rFonts w:cstheme="minorHAnsi"/>
        </w:rPr>
        <w:t xml:space="preserve"> referring to </w:t>
      </w:r>
      <w:r w:rsidRPr="00001F7B">
        <w:rPr>
          <w:rFonts w:cstheme="minorHAnsi"/>
        </w:rPr>
        <w:t xml:space="preserve">van </w:t>
      </w:r>
      <w:proofErr w:type="spellStart"/>
      <w:r w:rsidRPr="00001F7B">
        <w:rPr>
          <w:rFonts w:cstheme="minorHAnsi"/>
        </w:rPr>
        <w:t>Beelen</w:t>
      </w:r>
      <w:proofErr w:type="spellEnd"/>
      <w:r w:rsidR="003E1916" w:rsidRPr="00001F7B">
        <w:rPr>
          <w:rFonts w:cstheme="minorHAnsi"/>
        </w:rPr>
        <w:t xml:space="preserve"> (see, </w:t>
      </w:r>
      <w:r w:rsidR="0092605D" w:rsidRPr="00001F7B">
        <w:rPr>
          <w:rFonts w:cstheme="minorHAnsi"/>
        </w:rPr>
        <w:t xml:space="preserve">below, </w:t>
      </w:r>
      <w:proofErr w:type="spellStart"/>
      <w:r w:rsidR="0092605D" w:rsidRPr="00001F7B">
        <w:rPr>
          <w:rFonts w:cstheme="minorHAnsi"/>
        </w:rPr>
        <w:t>fn</w:t>
      </w:r>
      <w:proofErr w:type="spellEnd"/>
      <w:r w:rsidR="0092605D" w:rsidRPr="00001F7B">
        <w:rPr>
          <w:rFonts w:cstheme="minorHAnsi"/>
        </w:rPr>
        <w:t xml:space="preserve"> </w:t>
      </w:r>
      <w:r w:rsidR="00EA0F5A" w:rsidRPr="00001F7B">
        <w:rPr>
          <w:rFonts w:cstheme="minorHAnsi"/>
        </w:rPr>
        <w:t>201</w:t>
      </w:r>
      <w:r w:rsidR="0092605D" w:rsidRPr="00001F7B">
        <w:rPr>
          <w:rFonts w:cstheme="minorHAnsi"/>
        </w:rPr>
        <w:t xml:space="preserve"> </w:t>
      </w:r>
      <w:r w:rsidRPr="00001F7B">
        <w:rPr>
          <w:rFonts w:cstheme="minorHAnsi"/>
        </w:rPr>
        <w:t>p</w:t>
      </w:r>
      <w:r w:rsidR="0092605D" w:rsidRPr="00001F7B">
        <w:rPr>
          <w:rFonts w:cstheme="minorHAnsi"/>
        </w:rPr>
        <w:t xml:space="preserve"> </w:t>
      </w:r>
      <w:r w:rsidRPr="00001F7B">
        <w:rPr>
          <w:rFonts w:cstheme="minorHAnsi"/>
        </w:rPr>
        <w:t>746</w:t>
      </w:r>
      <w:r w:rsidR="003E1916" w:rsidRPr="00001F7B">
        <w:rPr>
          <w:rFonts w:cstheme="minorHAnsi"/>
        </w:rPr>
        <w:t>)</w:t>
      </w:r>
      <w:r w:rsidR="00792FDC" w:rsidRPr="00001F7B">
        <w:rPr>
          <w:rFonts w:cstheme="minorHAnsi"/>
        </w:rPr>
        <w:t>. They also refer to</w:t>
      </w:r>
      <w:r w:rsidRPr="00001F7B">
        <w:rPr>
          <w:rFonts w:cstheme="minorHAnsi"/>
        </w:rPr>
        <w:t xml:space="preserve"> </w:t>
      </w:r>
      <w:proofErr w:type="spellStart"/>
      <w:r w:rsidRPr="00001F7B">
        <w:rPr>
          <w:rFonts w:cstheme="minorHAnsi"/>
        </w:rPr>
        <w:t>Kropholler</w:t>
      </w:r>
      <w:proofErr w:type="spellEnd"/>
      <w:r w:rsidR="003E1916" w:rsidRPr="00001F7B">
        <w:rPr>
          <w:rFonts w:cstheme="minorHAnsi"/>
          <w:i/>
          <w:iCs/>
        </w:rPr>
        <w:t xml:space="preserve">, </w:t>
      </w:r>
      <w:proofErr w:type="spellStart"/>
      <w:r w:rsidR="003E1916" w:rsidRPr="00001F7B">
        <w:rPr>
          <w:rFonts w:cstheme="minorHAnsi"/>
          <w:i/>
          <w:iCs/>
        </w:rPr>
        <w:t>Internationales</w:t>
      </w:r>
      <w:proofErr w:type="spellEnd"/>
      <w:r w:rsidR="003E1916" w:rsidRPr="00001F7B">
        <w:rPr>
          <w:rFonts w:cstheme="minorHAnsi"/>
          <w:i/>
          <w:iCs/>
        </w:rPr>
        <w:t xml:space="preserve"> </w:t>
      </w:r>
      <w:proofErr w:type="spellStart"/>
      <w:r w:rsidR="003E1916" w:rsidRPr="00001F7B">
        <w:rPr>
          <w:rFonts w:cstheme="minorHAnsi"/>
          <w:i/>
          <w:iCs/>
        </w:rPr>
        <w:t>Einheitsrecht</w:t>
      </w:r>
      <w:proofErr w:type="spellEnd"/>
      <w:r w:rsidR="003E1916" w:rsidRPr="00001F7B">
        <w:rPr>
          <w:rFonts w:cstheme="minorHAnsi"/>
        </w:rPr>
        <w:t xml:space="preserve"> </w:t>
      </w:r>
      <w:r w:rsidR="0092605D" w:rsidRPr="00001F7B">
        <w:rPr>
          <w:rFonts w:cstheme="minorHAnsi"/>
        </w:rPr>
        <w:t>Tübingen</w:t>
      </w:r>
      <w:r w:rsidR="003E1916" w:rsidRPr="00001F7B">
        <w:rPr>
          <w:rFonts w:cstheme="minorHAnsi"/>
        </w:rPr>
        <w:t xml:space="preserve">: J.C.B. Mohr (Paul </w:t>
      </w:r>
      <w:proofErr w:type="spellStart"/>
      <w:r w:rsidR="003E1916" w:rsidRPr="00001F7B">
        <w:rPr>
          <w:rFonts w:cstheme="minorHAnsi"/>
        </w:rPr>
        <w:t>Siebeck</w:t>
      </w:r>
      <w:proofErr w:type="spellEnd"/>
      <w:r w:rsidR="003E1916" w:rsidRPr="00001F7B">
        <w:rPr>
          <w:rFonts w:cstheme="minorHAnsi"/>
        </w:rPr>
        <w:t>), 1975,</w:t>
      </w:r>
      <w:r w:rsidRPr="00001F7B">
        <w:rPr>
          <w:rFonts w:cstheme="minorHAnsi"/>
        </w:rPr>
        <w:t xml:space="preserve"> p</w:t>
      </w:r>
      <w:r w:rsidR="00F84A51" w:rsidRPr="00001F7B">
        <w:rPr>
          <w:rFonts w:cstheme="minorHAnsi"/>
        </w:rPr>
        <w:t xml:space="preserve"> </w:t>
      </w:r>
      <w:r w:rsidRPr="00001F7B">
        <w:rPr>
          <w:rFonts w:cstheme="minorHAnsi"/>
        </w:rPr>
        <w:t>276</w:t>
      </w:r>
      <w:r w:rsidR="00A602F3" w:rsidRPr="00001F7B">
        <w:rPr>
          <w:rFonts w:cstheme="minorHAnsi"/>
        </w:rPr>
        <w:t xml:space="preserve"> </w:t>
      </w:r>
      <w:r w:rsidRPr="00001F7B">
        <w:rPr>
          <w:rFonts w:cstheme="minorHAnsi"/>
        </w:rPr>
        <w:t>on the importance of teleological construction for uniform</w:t>
      </w:r>
      <w:r w:rsidR="00A602F3" w:rsidRPr="00001F7B">
        <w:rPr>
          <w:rFonts w:cstheme="minorHAnsi"/>
        </w:rPr>
        <w:t xml:space="preserve"> </w:t>
      </w:r>
      <w:r w:rsidRPr="00001F7B">
        <w:rPr>
          <w:rFonts w:cstheme="minorHAnsi"/>
        </w:rPr>
        <w:t>construction in general.</w:t>
      </w:r>
      <w:r w:rsidR="002E600D" w:rsidRPr="00001F7B">
        <w:rPr>
          <w:rFonts w:cstheme="minorHAnsi"/>
        </w:rPr>
        <w:t xml:space="preserve"> </w:t>
      </w:r>
      <w:r w:rsidR="008471C7" w:rsidRPr="00001F7B">
        <w:rPr>
          <w:rFonts w:cstheme="minorHAnsi"/>
        </w:rPr>
        <w:t>N</w:t>
      </w:r>
      <w:r w:rsidR="00A613D3" w:rsidRPr="00001F7B">
        <w:rPr>
          <w:rFonts w:cstheme="minorHAnsi"/>
        </w:rPr>
        <w:t xml:space="preserve">ote </w:t>
      </w:r>
      <w:r w:rsidR="008471C7" w:rsidRPr="00001F7B">
        <w:rPr>
          <w:rFonts w:cstheme="minorHAnsi"/>
        </w:rPr>
        <w:t xml:space="preserve">further </w:t>
      </w:r>
      <w:r w:rsidR="00A613D3" w:rsidRPr="00001F7B">
        <w:rPr>
          <w:rFonts w:cstheme="minorHAnsi"/>
        </w:rPr>
        <w:t>that</w:t>
      </w:r>
      <w:r w:rsidR="002E600D" w:rsidRPr="00001F7B">
        <w:rPr>
          <w:rFonts w:cstheme="minorHAnsi"/>
        </w:rPr>
        <w:t xml:space="preserve"> at p 76 they refer to the purpose of the instrument </w:t>
      </w:r>
      <w:r w:rsidR="00A613D3" w:rsidRPr="00001F7B">
        <w:rPr>
          <w:rFonts w:cstheme="minorHAnsi"/>
        </w:rPr>
        <w:t>in the context of the Hague Rules and say:</w:t>
      </w:r>
      <w:r w:rsidR="002E600D" w:rsidRPr="00001F7B">
        <w:rPr>
          <w:rFonts w:cstheme="minorHAnsi"/>
        </w:rPr>
        <w:t xml:space="preserve"> “The resulting text is a result of a reasonably careful weighing of the mutual interests of carriers and the cargo interests. Therefore, the instrument has a certain compromising character.</w:t>
      </w:r>
      <w:r w:rsidR="00913ABB">
        <w:rPr>
          <w:rFonts w:cstheme="minorHAnsi"/>
        </w:rPr>
        <w:t xml:space="preserve"> </w:t>
      </w:r>
      <w:r w:rsidR="002E600D" w:rsidRPr="00001F7B">
        <w:rPr>
          <w:rFonts w:cstheme="minorHAnsi"/>
        </w:rPr>
        <w:t xml:space="preserve">The effect of this compromising character is that judges should be careful not to follow their feelings of what is fair and reasonable. Because of the importance of legal certainty in international trade, principles of fairness and reasonableness should not be allowed to play a (prominent) role.” </w:t>
      </w:r>
      <w:r w:rsidR="00A613D3" w:rsidRPr="00001F7B">
        <w:rPr>
          <w:rFonts w:cstheme="minorHAnsi"/>
        </w:rPr>
        <w:t xml:space="preserve">They indicate in </w:t>
      </w:r>
      <w:r w:rsidR="002E600D" w:rsidRPr="00001F7B">
        <w:rPr>
          <w:rFonts w:cstheme="minorHAnsi"/>
        </w:rPr>
        <w:t>n 45</w:t>
      </w:r>
      <w:r w:rsidR="009E4FB3" w:rsidRPr="00001F7B">
        <w:rPr>
          <w:rFonts w:cstheme="minorHAnsi"/>
        </w:rPr>
        <w:t xml:space="preserve"> </w:t>
      </w:r>
      <w:r w:rsidR="00A613D3" w:rsidRPr="00001F7B">
        <w:rPr>
          <w:rFonts w:cstheme="minorHAnsi"/>
        </w:rPr>
        <w:t>that t</w:t>
      </w:r>
      <w:r w:rsidR="002E600D" w:rsidRPr="00001F7B">
        <w:rPr>
          <w:rFonts w:cstheme="minorHAnsi"/>
        </w:rPr>
        <w:t>his was also recognised by the S</w:t>
      </w:r>
      <w:r w:rsidR="00386A94" w:rsidRPr="00001F7B">
        <w:rPr>
          <w:rFonts w:cstheme="minorHAnsi"/>
        </w:rPr>
        <w:t>CN</w:t>
      </w:r>
      <w:r w:rsidR="002E600D" w:rsidRPr="00001F7B">
        <w:rPr>
          <w:rFonts w:cstheme="minorHAnsi"/>
        </w:rPr>
        <w:t xml:space="preserve"> in </w:t>
      </w:r>
      <w:r w:rsidR="002E600D" w:rsidRPr="00001F7B">
        <w:rPr>
          <w:rFonts w:cstheme="minorHAnsi"/>
          <w:i/>
          <w:iCs/>
        </w:rPr>
        <w:t>NDS Provider</w:t>
      </w:r>
      <w:r w:rsidR="002E600D" w:rsidRPr="00001F7B">
        <w:rPr>
          <w:rFonts w:cstheme="minorHAnsi"/>
        </w:rPr>
        <w:t>,1 February 2008, NJ 2008, 505</w:t>
      </w:r>
      <w:r w:rsidR="001725C8" w:rsidRPr="00001F7B">
        <w:rPr>
          <w:rFonts w:cstheme="minorHAnsi"/>
        </w:rPr>
        <w:t xml:space="preserve">, </w:t>
      </w:r>
      <w:r w:rsidR="00D91564" w:rsidRPr="00001F7B">
        <w:rPr>
          <w:rFonts w:cstheme="minorHAnsi"/>
        </w:rPr>
        <w:t>ECLI:NL:HR:2008:BA5799.</w:t>
      </w:r>
      <w:r w:rsidR="000D6281" w:rsidRPr="00001F7B">
        <w:rPr>
          <w:rFonts w:cstheme="minorHAnsi"/>
        </w:rPr>
        <w:t xml:space="preserve"> See also their discussion of the system of a convention, below, </w:t>
      </w:r>
      <w:proofErr w:type="spellStart"/>
      <w:r w:rsidR="000D6281" w:rsidRPr="00001F7B">
        <w:rPr>
          <w:rFonts w:cstheme="minorHAnsi"/>
        </w:rPr>
        <w:t>fn</w:t>
      </w:r>
      <w:proofErr w:type="spellEnd"/>
      <w:r w:rsidR="000D6281" w:rsidRPr="00001F7B">
        <w:rPr>
          <w:rFonts w:cstheme="minorHAnsi"/>
        </w:rPr>
        <w:t xml:space="preserve"> </w:t>
      </w:r>
      <w:r w:rsidR="008471C7" w:rsidRPr="00001F7B">
        <w:rPr>
          <w:rFonts w:cstheme="minorHAnsi"/>
        </w:rPr>
        <w:t>200</w:t>
      </w:r>
      <w:r w:rsidR="000D6281" w:rsidRPr="00001F7B">
        <w:rPr>
          <w:rFonts w:cstheme="minorHAnsi"/>
        </w:rPr>
        <w:t>.</w:t>
      </w:r>
    </w:p>
  </w:footnote>
  <w:footnote w:id="194">
    <w:p w14:paraId="738192A8" w14:textId="6363B519" w:rsidR="00683600" w:rsidRPr="00001F7B" w:rsidRDefault="00683600">
      <w:pPr>
        <w:pStyle w:val="FootnoteText"/>
        <w:rPr>
          <w:rFonts w:cstheme="minorHAnsi"/>
        </w:rPr>
      </w:pPr>
      <w:r w:rsidRPr="00001F7B">
        <w:rPr>
          <w:rStyle w:val="FootnoteReference"/>
          <w:rFonts w:cstheme="minorHAnsi"/>
        </w:rPr>
        <w:footnoteRef/>
      </w:r>
      <w:r w:rsidRPr="00001F7B">
        <w:rPr>
          <w:rFonts w:cstheme="minorHAnsi"/>
        </w:rPr>
        <w:t xml:space="preserve"> [</w:t>
      </w:r>
      <w:r w:rsidR="006A355A" w:rsidRPr="00001F7B">
        <w:rPr>
          <w:rFonts w:cstheme="minorHAnsi"/>
        </w:rPr>
        <w:t>1977] 1 Lloyd’s Rep. 346,</w:t>
      </w:r>
      <w:r w:rsidR="008471C7" w:rsidRPr="00001F7B">
        <w:rPr>
          <w:rFonts w:cstheme="minorHAnsi"/>
        </w:rPr>
        <w:t xml:space="preserve"> </w:t>
      </w:r>
      <w:r w:rsidR="006A355A" w:rsidRPr="00001F7B">
        <w:rPr>
          <w:rFonts w:cstheme="minorHAnsi"/>
        </w:rPr>
        <w:t>351.</w:t>
      </w:r>
    </w:p>
  </w:footnote>
  <w:footnote w:id="195">
    <w:p w14:paraId="4ACF6877" w14:textId="5DD6F4C7" w:rsidR="00941B28" w:rsidRPr="00001F7B" w:rsidRDefault="00941B28">
      <w:pPr>
        <w:pStyle w:val="FootnoteText"/>
        <w:rPr>
          <w:rFonts w:cstheme="minorHAnsi"/>
        </w:rPr>
      </w:pPr>
      <w:r w:rsidRPr="00001F7B">
        <w:rPr>
          <w:rStyle w:val="FootnoteReference"/>
          <w:rFonts w:cstheme="minorHAnsi"/>
        </w:rPr>
        <w:footnoteRef/>
      </w:r>
      <w:r w:rsidRPr="00001F7B">
        <w:rPr>
          <w:rFonts w:cstheme="minorHAnsi"/>
        </w:rPr>
        <w:t xml:space="preserve"> </w:t>
      </w:r>
      <w:r w:rsidR="009905EE" w:rsidRPr="00001F7B">
        <w:rPr>
          <w:rFonts w:cstheme="minorHAnsi"/>
        </w:rPr>
        <w:t>NB Amman</w:t>
      </w:r>
      <w:r w:rsidR="00F84A51" w:rsidRPr="00001F7B">
        <w:rPr>
          <w:rFonts w:cstheme="minorHAnsi"/>
        </w:rPr>
        <w:t xml:space="preserve">, above, </w:t>
      </w:r>
      <w:proofErr w:type="spellStart"/>
      <w:r w:rsidR="00F84A51" w:rsidRPr="00001F7B">
        <w:rPr>
          <w:rFonts w:cstheme="minorHAnsi"/>
        </w:rPr>
        <w:t>fn</w:t>
      </w:r>
      <w:proofErr w:type="spellEnd"/>
      <w:r w:rsidR="00F84A51" w:rsidRPr="00001F7B">
        <w:rPr>
          <w:rFonts w:cstheme="minorHAnsi"/>
        </w:rPr>
        <w:t xml:space="preserve"> </w:t>
      </w:r>
      <w:r w:rsidR="00ED6582" w:rsidRPr="00001F7B">
        <w:rPr>
          <w:rFonts w:cstheme="minorHAnsi"/>
        </w:rPr>
        <w:t>190</w:t>
      </w:r>
      <w:r w:rsidR="00F84A51" w:rsidRPr="00001F7B">
        <w:rPr>
          <w:rFonts w:cstheme="minorHAnsi"/>
        </w:rPr>
        <w:t>,</w:t>
      </w:r>
      <w:r w:rsidR="009905EE" w:rsidRPr="00001F7B">
        <w:rPr>
          <w:rFonts w:cstheme="minorHAnsi"/>
        </w:rPr>
        <w:t xml:space="preserve"> p 212 “…purposive interpretation must, indeed, be used with caution, and it cannot, on its own, form the basis of a judicial decision.”</w:t>
      </w:r>
    </w:p>
  </w:footnote>
  <w:footnote w:id="196">
    <w:p w14:paraId="227A0CB3" w14:textId="0D1E0AC8" w:rsidR="0029750B" w:rsidRPr="00001F7B" w:rsidRDefault="0029750B">
      <w:pPr>
        <w:pStyle w:val="FootnoteText"/>
        <w:rPr>
          <w:rFonts w:cstheme="minorHAnsi"/>
        </w:rPr>
      </w:pPr>
      <w:r w:rsidRPr="00001F7B">
        <w:rPr>
          <w:rStyle w:val="FootnoteReference"/>
          <w:rFonts w:cstheme="minorHAnsi"/>
        </w:rPr>
        <w:footnoteRef/>
      </w:r>
      <w:r w:rsidRPr="00001F7B">
        <w:rPr>
          <w:rFonts w:cstheme="minorHAnsi"/>
        </w:rPr>
        <w:t xml:space="preserve"> Sinclair, </w:t>
      </w:r>
      <w:r w:rsidR="00DF6E7B" w:rsidRPr="00001F7B">
        <w:rPr>
          <w:rFonts w:cstheme="minorHAnsi"/>
          <w:i/>
          <w:iCs/>
        </w:rPr>
        <w:t>The Vienna Convention on</w:t>
      </w:r>
      <w:r w:rsidR="00DF6E7B" w:rsidRPr="00001F7B">
        <w:rPr>
          <w:rFonts w:cstheme="minorHAnsi"/>
        </w:rPr>
        <w:t xml:space="preserve"> t</w:t>
      </w:r>
      <w:r w:rsidRPr="00001F7B">
        <w:rPr>
          <w:rFonts w:cstheme="minorHAnsi"/>
          <w:i/>
          <w:iCs/>
        </w:rPr>
        <w:t>he Law of Treaties</w:t>
      </w:r>
      <w:r w:rsidRPr="00001F7B">
        <w:rPr>
          <w:rFonts w:cstheme="minorHAnsi"/>
        </w:rPr>
        <w:t xml:space="preserve">, </w:t>
      </w:r>
      <w:r w:rsidR="00DF6E7B" w:rsidRPr="00001F7B">
        <w:rPr>
          <w:rFonts w:cstheme="minorHAnsi"/>
        </w:rPr>
        <w:t xml:space="preserve">1973, Manchester University Press, </w:t>
      </w:r>
      <w:r w:rsidRPr="00001F7B">
        <w:rPr>
          <w:rFonts w:cstheme="minorHAnsi"/>
        </w:rPr>
        <w:t xml:space="preserve">p.75: “…from the ILC </w:t>
      </w:r>
      <w:r w:rsidR="00533D7F" w:rsidRPr="00001F7B">
        <w:rPr>
          <w:rFonts w:cstheme="minorHAnsi"/>
        </w:rPr>
        <w:t>C</w:t>
      </w:r>
      <w:r w:rsidRPr="00001F7B">
        <w:rPr>
          <w:rFonts w:cstheme="minorHAnsi"/>
        </w:rPr>
        <w:t xml:space="preserve">ommentary the object and purpose are primarily to be gathered from the text of the treaty and particularly from the preamble….If the convention rules are applied in this sense i.e. if consideration of object and purpose is largely confined to the terms of the treaty itself – the danger that teleological interpretation will involve an excessive departure from the text is minimised; it is in any event clear that, within the framework of the Convention regime, consideration of the object and purpose is only one element of the general rule, and a subsidiary element at that.” </w:t>
      </w:r>
      <w:r w:rsidR="00E147C7" w:rsidRPr="00001F7B">
        <w:rPr>
          <w:rFonts w:cstheme="minorHAnsi"/>
        </w:rPr>
        <w:t xml:space="preserve">See also </w:t>
      </w:r>
      <w:r w:rsidRPr="00001F7B">
        <w:rPr>
          <w:rFonts w:cstheme="minorHAnsi"/>
        </w:rPr>
        <w:t>Villager</w:t>
      </w:r>
      <w:r w:rsidR="00E147C7" w:rsidRPr="00001F7B">
        <w:rPr>
          <w:rFonts w:cstheme="minorHAnsi"/>
        </w:rPr>
        <w:t xml:space="preserve"> (above, </w:t>
      </w:r>
      <w:proofErr w:type="spellStart"/>
      <w:r w:rsidR="00E147C7" w:rsidRPr="00001F7B">
        <w:rPr>
          <w:rFonts w:cstheme="minorHAnsi"/>
        </w:rPr>
        <w:t>fn</w:t>
      </w:r>
      <w:proofErr w:type="spellEnd"/>
      <w:r w:rsidR="00E147C7" w:rsidRPr="00001F7B">
        <w:rPr>
          <w:rFonts w:cstheme="minorHAnsi"/>
        </w:rPr>
        <w:t xml:space="preserve"> 47, p</w:t>
      </w:r>
      <w:r w:rsidR="001B4CF3" w:rsidRPr="00001F7B">
        <w:rPr>
          <w:rFonts w:cstheme="minorHAnsi"/>
        </w:rPr>
        <w:t xml:space="preserve"> 110)</w:t>
      </w:r>
      <w:r w:rsidRPr="00001F7B">
        <w:rPr>
          <w:rFonts w:cstheme="minorHAnsi"/>
        </w:rPr>
        <w:t>: “…</w:t>
      </w:r>
      <w:r w:rsidR="009366E8" w:rsidRPr="00001F7B">
        <w:rPr>
          <w:rFonts w:cstheme="minorHAnsi"/>
        </w:rPr>
        <w:t>interpretation in the light of a treaty’s object and purpose finds its limits in the treaty text itself. One of the (originally many possible) ordinary meanings will eventually prevail. In other words, Article 31 avoids an extreme functional interpretation which may, in fact, lead to ‘legislation’ or the revision of a treaty.”</w:t>
      </w:r>
    </w:p>
  </w:footnote>
  <w:footnote w:id="197">
    <w:p w14:paraId="2D1D0492" w14:textId="571CCA4D" w:rsidR="00823BD6" w:rsidRPr="00001F7B" w:rsidRDefault="00823BD6">
      <w:pPr>
        <w:pStyle w:val="FootnoteText"/>
        <w:rPr>
          <w:rFonts w:cstheme="minorHAnsi"/>
        </w:rPr>
      </w:pPr>
      <w:r w:rsidRPr="00001F7B">
        <w:rPr>
          <w:rStyle w:val="FootnoteReference"/>
          <w:rFonts w:cstheme="minorHAnsi"/>
        </w:rPr>
        <w:footnoteRef/>
      </w:r>
      <w:r w:rsidRPr="00001F7B">
        <w:rPr>
          <w:rFonts w:cstheme="minorHAnsi"/>
        </w:rPr>
        <w:t xml:space="preserve"> In </w:t>
      </w:r>
      <w:r w:rsidR="0077024E" w:rsidRPr="00001F7B">
        <w:rPr>
          <w:rFonts w:cstheme="minorHAnsi"/>
          <w:i/>
          <w:iCs/>
        </w:rPr>
        <w:t xml:space="preserve"> </w:t>
      </w:r>
      <w:r w:rsidRPr="00001F7B">
        <w:rPr>
          <w:rFonts w:cstheme="minorHAnsi"/>
          <w:i/>
          <w:iCs/>
        </w:rPr>
        <w:t xml:space="preserve">Buchanan v </w:t>
      </w:r>
      <w:proofErr w:type="spellStart"/>
      <w:r w:rsidRPr="00001F7B">
        <w:rPr>
          <w:rFonts w:cstheme="minorHAnsi"/>
          <w:i/>
          <w:iCs/>
        </w:rPr>
        <w:t>Babco</w:t>
      </w:r>
      <w:proofErr w:type="spellEnd"/>
      <w:r w:rsidRPr="00001F7B">
        <w:rPr>
          <w:rFonts w:cstheme="minorHAnsi"/>
        </w:rPr>
        <w:t xml:space="preserve">, </w:t>
      </w:r>
      <w:r w:rsidR="0048525D" w:rsidRPr="00001F7B">
        <w:rPr>
          <w:rFonts w:cstheme="minorHAnsi"/>
        </w:rPr>
        <w:t>[1978] AC 141</w:t>
      </w:r>
      <w:r w:rsidR="0077024E" w:rsidRPr="00001F7B">
        <w:rPr>
          <w:rFonts w:cstheme="minorHAnsi"/>
        </w:rPr>
        <w:t xml:space="preserve"> </w:t>
      </w:r>
      <w:r w:rsidR="0048525D" w:rsidRPr="00001F7B">
        <w:rPr>
          <w:rFonts w:cstheme="minorHAnsi"/>
        </w:rPr>
        <w:t>(see the Review of UK law</w:t>
      </w:r>
      <w:r w:rsidR="00913ABB">
        <w:rPr>
          <w:rFonts w:cstheme="minorHAnsi"/>
        </w:rPr>
        <w:t xml:space="preserve"> </w:t>
      </w:r>
      <w:r w:rsidR="0030588A" w:rsidRPr="00001F7B">
        <w:rPr>
          <w:rFonts w:cstheme="minorHAnsi"/>
        </w:rPr>
        <w:t>in the Annex folder</w:t>
      </w:r>
      <w:r w:rsidR="0048525D" w:rsidRPr="00001F7B">
        <w:rPr>
          <w:rFonts w:cstheme="minorHAnsi"/>
        </w:rPr>
        <w:t xml:space="preserve">, section </w:t>
      </w:r>
      <w:r w:rsidR="0048525D" w:rsidRPr="00001F7B">
        <w:rPr>
          <w:rFonts w:cstheme="minorHAnsi"/>
          <w:b/>
          <w:bCs/>
        </w:rPr>
        <w:t>1.2</w:t>
      </w:r>
      <w:r w:rsidR="0048525D" w:rsidRPr="00001F7B">
        <w:rPr>
          <w:rFonts w:cstheme="minorHAnsi"/>
        </w:rPr>
        <w:t>)</w:t>
      </w:r>
      <w:r w:rsidR="0077024E" w:rsidRPr="00001F7B">
        <w:rPr>
          <w:rFonts w:cstheme="minorHAnsi"/>
        </w:rPr>
        <w:t>,</w:t>
      </w:r>
      <w:r w:rsidR="0048525D" w:rsidRPr="00001F7B">
        <w:rPr>
          <w:rFonts w:cstheme="minorHAnsi"/>
        </w:rPr>
        <w:t xml:space="preserve"> </w:t>
      </w:r>
      <w:r w:rsidRPr="00001F7B">
        <w:rPr>
          <w:rFonts w:cstheme="minorHAnsi"/>
        </w:rPr>
        <w:t xml:space="preserve">the majority of the House of Lords demonstrated failure to have proper regard to the balance of interest created by the compensation scheme of CMR. The central feature of the scheme </w:t>
      </w:r>
      <w:r w:rsidR="00567BF7" w:rsidRPr="00001F7B">
        <w:rPr>
          <w:rFonts w:cstheme="minorHAnsi"/>
        </w:rPr>
        <w:t>is</w:t>
      </w:r>
      <w:r w:rsidRPr="00001F7B">
        <w:rPr>
          <w:rFonts w:cstheme="minorHAnsi"/>
        </w:rPr>
        <w:t xml:space="preserve"> limitation </w:t>
      </w:r>
      <w:r w:rsidR="00B758B7" w:rsidRPr="00001F7B">
        <w:rPr>
          <w:rFonts w:cstheme="minorHAnsi"/>
        </w:rPr>
        <w:t>o</w:t>
      </w:r>
      <w:r w:rsidRPr="00001F7B">
        <w:rPr>
          <w:rFonts w:cstheme="minorHAnsi"/>
        </w:rPr>
        <w:t>f liability.</w:t>
      </w:r>
      <w:r w:rsidR="00913ABB">
        <w:rPr>
          <w:rFonts w:cstheme="minorHAnsi"/>
        </w:rPr>
        <w:t xml:space="preserve"> </w:t>
      </w:r>
      <w:r w:rsidR="00343ECC" w:rsidRPr="00001F7B">
        <w:rPr>
          <w:rFonts w:cstheme="minorHAnsi"/>
        </w:rPr>
        <w:t>The</w:t>
      </w:r>
      <w:r w:rsidRPr="00001F7B">
        <w:rPr>
          <w:rFonts w:cstheme="minorHAnsi"/>
        </w:rPr>
        <w:t xml:space="preserve"> extra elements added by art 23.4 could </w:t>
      </w:r>
      <w:r w:rsidR="00343ECC" w:rsidRPr="00001F7B">
        <w:rPr>
          <w:rFonts w:cstheme="minorHAnsi"/>
        </w:rPr>
        <w:t>hardly</w:t>
      </w:r>
      <w:r w:rsidRPr="00001F7B">
        <w:rPr>
          <w:rFonts w:cstheme="minorHAnsi"/>
        </w:rPr>
        <w:t xml:space="preserve"> be intended to undermine the system of limitation but that is precisely what the majority </w:t>
      </w:r>
      <w:r w:rsidR="00D233C7" w:rsidRPr="00001F7B">
        <w:rPr>
          <w:rFonts w:cstheme="minorHAnsi"/>
        </w:rPr>
        <w:t>allowed</w:t>
      </w:r>
      <w:r w:rsidRPr="00001F7B">
        <w:rPr>
          <w:rFonts w:cstheme="minorHAnsi"/>
        </w:rPr>
        <w:t xml:space="preserve"> by taking an overly wide meaning of </w:t>
      </w:r>
      <w:r w:rsidR="0048525D" w:rsidRPr="00001F7B">
        <w:rPr>
          <w:rFonts w:cstheme="minorHAnsi"/>
        </w:rPr>
        <w:t>the</w:t>
      </w:r>
      <w:r w:rsidRPr="00001F7B">
        <w:rPr>
          <w:rFonts w:cstheme="minorHAnsi"/>
        </w:rPr>
        <w:t xml:space="preserve"> wording thus </w:t>
      </w:r>
      <w:r w:rsidR="00D233C7" w:rsidRPr="00001F7B">
        <w:rPr>
          <w:rFonts w:cstheme="minorHAnsi"/>
        </w:rPr>
        <w:t xml:space="preserve">giving </w:t>
      </w:r>
      <w:r w:rsidRPr="00001F7B">
        <w:rPr>
          <w:rFonts w:cstheme="minorHAnsi"/>
        </w:rPr>
        <w:t>substantial compensation</w:t>
      </w:r>
      <w:r w:rsidR="00D233C7" w:rsidRPr="00001F7B">
        <w:rPr>
          <w:rFonts w:cstheme="minorHAnsi"/>
        </w:rPr>
        <w:t xml:space="preserve"> to</w:t>
      </w:r>
      <w:r w:rsidRPr="00001F7B">
        <w:rPr>
          <w:rFonts w:cstheme="minorHAnsi"/>
        </w:rPr>
        <w:t xml:space="preserve"> the claimant with the defendant receiving no benefit from limitation in respect of that head of damage. </w:t>
      </w:r>
      <w:r w:rsidR="00567BF7" w:rsidRPr="00001F7B">
        <w:rPr>
          <w:rFonts w:cstheme="minorHAnsi"/>
        </w:rPr>
        <w:t xml:space="preserve">Application of the Vienna </w:t>
      </w:r>
      <w:r w:rsidR="00343ECC" w:rsidRPr="00001F7B">
        <w:rPr>
          <w:rFonts w:cstheme="minorHAnsi"/>
        </w:rPr>
        <w:t>R</w:t>
      </w:r>
      <w:r w:rsidR="00567BF7" w:rsidRPr="00001F7B">
        <w:rPr>
          <w:rFonts w:cstheme="minorHAnsi"/>
        </w:rPr>
        <w:t xml:space="preserve">ules, keeping the requirement for the ordinary and natural meaning in mind (the wide meaning adopted in fact straying far from any ordinary and natural meaning) and </w:t>
      </w:r>
      <w:r w:rsidR="00B758B7" w:rsidRPr="00001F7B">
        <w:rPr>
          <w:rFonts w:cstheme="minorHAnsi"/>
        </w:rPr>
        <w:t xml:space="preserve">keeping the compensation scheme as context more clearly in mind </w:t>
      </w:r>
      <w:r w:rsidR="00645C76" w:rsidRPr="00001F7B">
        <w:rPr>
          <w:rFonts w:cstheme="minorHAnsi"/>
        </w:rPr>
        <w:t>could well have produced a different result</w:t>
      </w:r>
      <w:r w:rsidR="00567BF7" w:rsidRPr="00001F7B">
        <w:rPr>
          <w:rFonts w:cstheme="minorHAnsi"/>
        </w:rPr>
        <w:t xml:space="preserve">.  </w:t>
      </w:r>
      <w:r w:rsidRPr="00001F7B">
        <w:rPr>
          <w:rFonts w:cstheme="minorHAnsi"/>
        </w:rPr>
        <w:t xml:space="preserve"> </w:t>
      </w:r>
    </w:p>
  </w:footnote>
  <w:footnote w:id="198">
    <w:p w14:paraId="1ACCE888" w14:textId="181E7C8C" w:rsidR="007E2B64" w:rsidRPr="00001F7B" w:rsidRDefault="007E2B64" w:rsidP="00AA6F7A">
      <w:pPr>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Amman, above, </w:t>
      </w:r>
      <w:proofErr w:type="spellStart"/>
      <w:r w:rsidRPr="00001F7B">
        <w:rPr>
          <w:rFonts w:cstheme="minorHAnsi"/>
          <w:sz w:val="20"/>
          <w:szCs w:val="20"/>
        </w:rPr>
        <w:t>fn</w:t>
      </w:r>
      <w:proofErr w:type="spellEnd"/>
      <w:r w:rsidRPr="00001F7B">
        <w:rPr>
          <w:rFonts w:cstheme="minorHAnsi"/>
          <w:sz w:val="20"/>
          <w:szCs w:val="20"/>
        </w:rPr>
        <w:t xml:space="preserve"> </w:t>
      </w:r>
      <w:r w:rsidR="0048525D" w:rsidRPr="00001F7B">
        <w:rPr>
          <w:rFonts w:cstheme="minorHAnsi"/>
          <w:sz w:val="20"/>
          <w:szCs w:val="20"/>
        </w:rPr>
        <w:t>190</w:t>
      </w:r>
      <w:r w:rsidRPr="00001F7B">
        <w:rPr>
          <w:rFonts w:cstheme="minorHAnsi"/>
          <w:sz w:val="20"/>
          <w:szCs w:val="20"/>
        </w:rPr>
        <w:t>, p 212</w:t>
      </w:r>
      <w:r w:rsidR="00176F60" w:rsidRPr="00001F7B">
        <w:rPr>
          <w:rFonts w:cstheme="minorHAnsi"/>
          <w:sz w:val="20"/>
          <w:szCs w:val="20"/>
        </w:rPr>
        <w:t xml:space="preserve"> says:</w:t>
      </w:r>
      <w:r w:rsidRPr="00001F7B">
        <w:rPr>
          <w:rFonts w:cstheme="minorHAnsi"/>
          <w:sz w:val="20"/>
          <w:szCs w:val="20"/>
        </w:rPr>
        <w:t xml:space="preserve"> “…purposive interpretation must, indeed, be used with caution, and it cannot, on its own, form the basis of a judicial decision.” Mola and </w:t>
      </w:r>
      <w:proofErr w:type="spellStart"/>
      <w:r w:rsidRPr="00001F7B">
        <w:rPr>
          <w:rFonts w:cstheme="minorHAnsi"/>
          <w:sz w:val="20"/>
          <w:szCs w:val="20"/>
        </w:rPr>
        <w:t>Poncib</w:t>
      </w:r>
      <w:r w:rsidR="00176F60" w:rsidRPr="00001F7B">
        <w:rPr>
          <w:rFonts w:cstheme="minorHAnsi"/>
          <w:sz w:val="20"/>
          <w:szCs w:val="20"/>
        </w:rPr>
        <w:t>ò</w:t>
      </w:r>
      <w:proofErr w:type="spellEnd"/>
      <w:r w:rsidR="00176F60" w:rsidRPr="00001F7B">
        <w:rPr>
          <w:rFonts w:cstheme="minorHAnsi"/>
          <w:sz w:val="20"/>
          <w:szCs w:val="20"/>
        </w:rPr>
        <w:t xml:space="preserve">, above, </w:t>
      </w:r>
      <w:proofErr w:type="spellStart"/>
      <w:r w:rsidR="00176F60" w:rsidRPr="00001F7B">
        <w:rPr>
          <w:rFonts w:cstheme="minorHAnsi"/>
          <w:sz w:val="20"/>
          <w:szCs w:val="20"/>
        </w:rPr>
        <w:t>fn</w:t>
      </w:r>
      <w:proofErr w:type="spellEnd"/>
      <w:r w:rsidR="00176F60" w:rsidRPr="00001F7B">
        <w:rPr>
          <w:rFonts w:cstheme="minorHAnsi"/>
          <w:sz w:val="20"/>
          <w:szCs w:val="20"/>
        </w:rPr>
        <w:t xml:space="preserve"> </w:t>
      </w:r>
      <w:r w:rsidR="0048525D" w:rsidRPr="00001F7B">
        <w:rPr>
          <w:rFonts w:cstheme="minorHAnsi"/>
          <w:sz w:val="20"/>
          <w:szCs w:val="20"/>
        </w:rPr>
        <w:t>7</w:t>
      </w:r>
      <w:r w:rsidR="00176F60" w:rsidRPr="00001F7B">
        <w:rPr>
          <w:rFonts w:cstheme="minorHAnsi"/>
          <w:sz w:val="20"/>
          <w:szCs w:val="20"/>
        </w:rPr>
        <w:t xml:space="preserve">, </w:t>
      </w:r>
      <w:r w:rsidR="00594A7E" w:rsidRPr="00001F7B">
        <w:rPr>
          <w:rFonts w:cstheme="minorHAnsi"/>
          <w:sz w:val="20"/>
          <w:szCs w:val="20"/>
        </w:rPr>
        <w:t xml:space="preserve">pp 866-867, </w:t>
      </w:r>
      <w:r w:rsidR="00176F60" w:rsidRPr="00001F7B">
        <w:rPr>
          <w:rFonts w:cstheme="minorHAnsi"/>
          <w:sz w:val="20"/>
          <w:szCs w:val="20"/>
        </w:rPr>
        <w:t>say</w:t>
      </w:r>
      <w:r w:rsidRPr="00001F7B">
        <w:rPr>
          <w:rFonts w:cstheme="minorHAnsi"/>
          <w:sz w:val="20"/>
          <w:szCs w:val="20"/>
        </w:rPr>
        <w:t xml:space="preserve"> </w:t>
      </w:r>
      <w:r w:rsidR="00594A7E" w:rsidRPr="00001F7B">
        <w:rPr>
          <w:rFonts w:cstheme="minorHAnsi"/>
          <w:sz w:val="20"/>
          <w:szCs w:val="20"/>
        </w:rPr>
        <w:t xml:space="preserve">that the teleological approach </w:t>
      </w:r>
      <w:r w:rsidRPr="00001F7B">
        <w:rPr>
          <w:rFonts w:cstheme="minorHAnsi"/>
          <w:sz w:val="20"/>
          <w:szCs w:val="20"/>
        </w:rPr>
        <w:t>cannot result in the alteration of the clear meaning of terms, and cannot be made in isolation from the terms of the treaty. Additionally, a purely general teleological approach falling short of considering the other elements of the general rule of interpretation set under the VCLT would be at odds with this rule.”</w:t>
      </w:r>
      <w:r w:rsidR="009B69A4" w:rsidRPr="00001F7B">
        <w:rPr>
          <w:rFonts w:cstheme="minorHAnsi"/>
          <w:sz w:val="20"/>
          <w:szCs w:val="20"/>
        </w:rPr>
        <w:t xml:space="preserve"> See, however, below, </w:t>
      </w:r>
      <w:proofErr w:type="spellStart"/>
      <w:r w:rsidR="009B69A4" w:rsidRPr="00001F7B">
        <w:rPr>
          <w:rFonts w:cstheme="minorHAnsi"/>
          <w:sz w:val="20"/>
          <w:szCs w:val="20"/>
        </w:rPr>
        <w:t>fn</w:t>
      </w:r>
      <w:proofErr w:type="spellEnd"/>
      <w:r w:rsidR="009B69A4" w:rsidRPr="00001F7B">
        <w:rPr>
          <w:rFonts w:cstheme="minorHAnsi"/>
          <w:sz w:val="20"/>
          <w:szCs w:val="20"/>
        </w:rPr>
        <w:t xml:space="preserve"> 199.</w:t>
      </w:r>
    </w:p>
  </w:footnote>
  <w:footnote w:id="199">
    <w:p w14:paraId="4C43F9C4" w14:textId="2D740D31" w:rsidR="003C65D0" w:rsidRPr="00001F7B" w:rsidRDefault="003C65D0">
      <w:pPr>
        <w:pStyle w:val="FootnoteText"/>
        <w:rPr>
          <w:rFonts w:cstheme="minorHAnsi"/>
        </w:rPr>
      </w:pPr>
      <w:r w:rsidRPr="00001F7B">
        <w:rPr>
          <w:rStyle w:val="FootnoteReference"/>
          <w:rFonts w:cstheme="minorHAnsi"/>
        </w:rPr>
        <w:footnoteRef/>
      </w:r>
      <w:r w:rsidRPr="00001F7B">
        <w:rPr>
          <w:rFonts w:cstheme="minorHAnsi"/>
        </w:rPr>
        <w:t xml:space="preserve"> Mola and </w:t>
      </w:r>
      <w:proofErr w:type="spellStart"/>
      <w:r w:rsidRPr="00001F7B">
        <w:rPr>
          <w:rFonts w:cstheme="minorHAnsi"/>
        </w:rPr>
        <w:t>Poncibò</w:t>
      </w:r>
      <w:proofErr w:type="spellEnd"/>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w:t>
      </w:r>
      <w:r w:rsidR="009B69A4" w:rsidRPr="00001F7B">
        <w:rPr>
          <w:rFonts w:cstheme="minorHAnsi"/>
        </w:rPr>
        <w:t>7</w:t>
      </w:r>
      <w:r w:rsidRPr="00001F7B">
        <w:rPr>
          <w:rFonts w:cstheme="minorHAnsi"/>
        </w:rPr>
        <w:t>, p 866 note emphasis on purpose of the treaty in favour of a teleological interpretation in hu</w:t>
      </w:r>
      <w:r w:rsidR="00AD6639" w:rsidRPr="00001F7B">
        <w:rPr>
          <w:rFonts w:cstheme="minorHAnsi"/>
        </w:rPr>
        <w:t>m</w:t>
      </w:r>
      <w:r w:rsidRPr="00001F7B">
        <w:rPr>
          <w:rFonts w:cstheme="minorHAnsi"/>
        </w:rPr>
        <w:t>an rights treaty law.</w:t>
      </w:r>
    </w:p>
  </w:footnote>
  <w:footnote w:id="200">
    <w:p w14:paraId="00790481" w14:textId="3F76CDA8" w:rsidR="00101AA7" w:rsidRPr="00001F7B" w:rsidRDefault="00101AA7">
      <w:pPr>
        <w:pStyle w:val="FootnoteText"/>
        <w:rPr>
          <w:rFonts w:cstheme="minorHAnsi"/>
        </w:rPr>
      </w:pPr>
      <w:r w:rsidRPr="00001F7B">
        <w:rPr>
          <w:rStyle w:val="FootnoteReference"/>
          <w:rFonts w:cstheme="minorHAnsi"/>
        </w:rPr>
        <w:footnoteRef/>
      </w:r>
      <w:r w:rsidRPr="00001F7B">
        <w:rPr>
          <w:rFonts w:cstheme="minorHAnsi"/>
        </w:rPr>
        <w:t xml:space="preserve"> Cf., the position in respect of correction of mistakes in the UK, Review of UK Law, </w:t>
      </w:r>
      <w:r w:rsidR="000425B7" w:rsidRPr="00001F7B">
        <w:rPr>
          <w:rFonts w:cstheme="minorHAnsi"/>
        </w:rPr>
        <w:t>Annex Folder, tex</w:t>
      </w:r>
      <w:r w:rsidR="00EC6E09" w:rsidRPr="00001F7B">
        <w:rPr>
          <w:rFonts w:cstheme="minorHAnsi"/>
        </w:rPr>
        <w:t>t</w:t>
      </w:r>
      <w:r w:rsidR="000425B7" w:rsidRPr="00001F7B">
        <w:rPr>
          <w:rFonts w:cstheme="minorHAnsi"/>
        </w:rPr>
        <w:t xml:space="preserve"> to </w:t>
      </w:r>
      <w:proofErr w:type="spellStart"/>
      <w:r w:rsidR="000425B7" w:rsidRPr="00001F7B">
        <w:rPr>
          <w:rFonts w:cstheme="minorHAnsi"/>
        </w:rPr>
        <w:t>fn</w:t>
      </w:r>
      <w:proofErr w:type="spellEnd"/>
      <w:r w:rsidR="000425B7" w:rsidRPr="00001F7B">
        <w:rPr>
          <w:rFonts w:cstheme="minorHAnsi"/>
        </w:rPr>
        <w:t xml:space="preserve"> </w:t>
      </w:r>
      <w:r w:rsidR="00ED7403">
        <w:rPr>
          <w:rFonts w:cstheme="minorHAnsi"/>
        </w:rPr>
        <w:t>70</w:t>
      </w:r>
      <w:r w:rsidR="000425B7" w:rsidRPr="00001F7B">
        <w:rPr>
          <w:rFonts w:cstheme="minorHAnsi"/>
        </w:rPr>
        <w:t xml:space="preserve">. </w:t>
      </w:r>
      <w:r w:rsidR="004F52E9" w:rsidRPr="00001F7B">
        <w:rPr>
          <w:rFonts w:cstheme="minorHAnsi"/>
        </w:rPr>
        <w:t xml:space="preserve">However, in </w:t>
      </w:r>
      <w:proofErr w:type="spellStart"/>
      <w:r w:rsidR="007314E0" w:rsidRPr="00001F7B">
        <w:rPr>
          <w:rFonts w:cstheme="minorHAnsi"/>
        </w:rPr>
        <w:t>Aust</w:t>
      </w:r>
      <w:proofErr w:type="spellEnd"/>
      <w:r w:rsidR="007314E0" w:rsidRPr="00001F7B">
        <w:rPr>
          <w:rFonts w:cstheme="minorHAnsi"/>
        </w:rPr>
        <w:t xml:space="preserve">, </w:t>
      </w:r>
      <w:r w:rsidR="007314E0" w:rsidRPr="00001F7B">
        <w:rPr>
          <w:rFonts w:cstheme="minorHAnsi"/>
          <w:i/>
          <w:iCs/>
        </w:rPr>
        <w:t>Modern Treaty Law and Practice</w:t>
      </w:r>
      <w:r w:rsidR="007314E0" w:rsidRPr="00001F7B">
        <w:rPr>
          <w:rFonts w:cstheme="minorHAnsi"/>
        </w:rPr>
        <w:t xml:space="preserve"> 3</w:t>
      </w:r>
      <w:r w:rsidR="007314E0" w:rsidRPr="00001F7B">
        <w:rPr>
          <w:rFonts w:cstheme="minorHAnsi"/>
          <w:vertAlign w:val="superscript"/>
        </w:rPr>
        <w:t>rd</w:t>
      </w:r>
      <w:r w:rsidR="007314E0" w:rsidRPr="00001F7B">
        <w:rPr>
          <w:rFonts w:cstheme="minorHAnsi"/>
        </w:rPr>
        <w:t xml:space="preserve"> ed, 2013, CUP, </w:t>
      </w:r>
      <w:proofErr w:type="spellStart"/>
      <w:r w:rsidR="009B69A4" w:rsidRPr="00001F7B">
        <w:rPr>
          <w:rFonts w:cstheme="minorHAnsi"/>
        </w:rPr>
        <w:t>ch</w:t>
      </w:r>
      <w:proofErr w:type="spellEnd"/>
      <w:r w:rsidR="009B69A4" w:rsidRPr="00001F7B">
        <w:rPr>
          <w:rFonts w:cstheme="minorHAnsi"/>
        </w:rPr>
        <w:t xml:space="preserve"> 13 (Interpretation), </w:t>
      </w:r>
      <w:r w:rsidR="007314E0" w:rsidRPr="00001F7B">
        <w:rPr>
          <w:rFonts w:cstheme="minorHAnsi"/>
        </w:rPr>
        <w:t xml:space="preserve">text to n 62, the suggestion is noted that even when the ordinary meaning appears to be clear, </w:t>
      </w:r>
      <w:r w:rsidR="00EC6E09" w:rsidRPr="00001F7B">
        <w:rPr>
          <w:rFonts w:cstheme="minorHAnsi"/>
        </w:rPr>
        <w:t xml:space="preserve">if it is evident from the </w:t>
      </w:r>
      <w:r w:rsidR="00EC6E09" w:rsidRPr="00001F7B">
        <w:rPr>
          <w:rFonts w:cstheme="minorHAnsi"/>
          <w:i/>
          <w:iCs/>
        </w:rPr>
        <w:t>travaux</w:t>
      </w:r>
      <w:r w:rsidR="00EC6E09" w:rsidRPr="00001F7B">
        <w:rPr>
          <w:rFonts w:cstheme="minorHAnsi"/>
        </w:rPr>
        <w:t xml:space="preserve"> that the ordinary meaning does not represent the intention of the parties</w:t>
      </w:r>
      <w:r w:rsidR="00D411AB" w:rsidRPr="00001F7B">
        <w:rPr>
          <w:rFonts w:cstheme="minorHAnsi"/>
        </w:rPr>
        <w:t>, t</w:t>
      </w:r>
      <w:r w:rsidR="00EC6E09" w:rsidRPr="00001F7B">
        <w:rPr>
          <w:rFonts w:cstheme="minorHAnsi"/>
        </w:rPr>
        <w:t xml:space="preserve">he primary duty in art 31.1 to interpret a treaty in good faith requires a court to ’correct’ </w:t>
      </w:r>
      <w:r w:rsidR="002677D7" w:rsidRPr="00001F7B">
        <w:rPr>
          <w:rFonts w:cstheme="minorHAnsi"/>
        </w:rPr>
        <w:t xml:space="preserve">the ordinary meaning, citing </w:t>
      </w:r>
      <w:proofErr w:type="spellStart"/>
      <w:r w:rsidR="002677D7" w:rsidRPr="00001F7B">
        <w:rPr>
          <w:rFonts w:cstheme="minorHAnsi"/>
        </w:rPr>
        <w:t>Schwebel</w:t>
      </w:r>
      <w:proofErr w:type="spellEnd"/>
      <w:r w:rsidR="002677D7" w:rsidRPr="00001F7B">
        <w:rPr>
          <w:rFonts w:cstheme="minorHAnsi"/>
        </w:rPr>
        <w:t xml:space="preserve">, </w:t>
      </w:r>
      <w:r w:rsidR="00D411AB" w:rsidRPr="00001F7B">
        <w:rPr>
          <w:rFonts w:cstheme="minorHAnsi"/>
        </w:rPr>
        <w:t xml:space="preserve">‘May Preparatory Work be Used to Correct Rather than Confirm the “Clear” meaning of a Treaty Provision?” in </w:t>
      </w:r>
      <w:proofErr w:type="spellStart"/>
      <w:r w:rsidR="00D411AB" w:rsidRPr="00001F7B">
        <w:rPr>
          <w:rFonts w:cstheme="minorHAnsi"/>
        </w:rPr>
        <w:t>Makarczyk</w:t>
      </w:r>
      <w:proofErr w:type="spellEnd"/>
      <w:r w:rsidR="00D411AB" w:rsidRPr="00001F7B">
        <w:rPr>
          <w:rFonts w:cstheme="minorHAnsi"/>
        </w:rPr>
        <w:t xml:space="preserve"> (ed)</w:t>
      </w:r>
      <w:r w:rsidR="003F3B35" w:rsidRPr="00001F7B">
        <w:rPr>
          <w:rFonts w:cstheme="minorHAnsi"/>
        </w:rPr>
        <w:t xml:space="preserve"> </w:t>
      </w:r>
      <w:r w:rsidR="003F3B35" w:rsidRPr="00001F7B">
        <w:rPr>
          <w:rFonts w:cstheme="minorHAnsi"/>
          <w:i/>
          <w:iCs/>
        </w:rPr>
        <w:t>Theory of International Law at the Threshold of the 21st Centur</w:t>
      </w:r>
      <w:r w:rsidR="009F64CD">
        <w:rPr>
          <w:rFonts w:cstheme="minorHAnsi"/>
          <w:i/>
          <w:iCs/>
        </w:rPr>
        <w:t xml:space="preserve">y </w:t>
      </w:r>
      <w:r w:rsidR="009F64CD" w:rsidRPr="009F64CD">
        <w:rPr>
          <w:rFonts w:cstheme="minorHAnsi"/>
        </w:rPr>
        <w:t>2017, CUP</w:t>
      </w:r>
      <w:r w:rsidR="009F64CD">
        <w:rPr>
          <w:rFonts w:cstheme="minorHAnsi"/>
          <w:i/>
          <w:iCs/>
        </w:rPr>
        <w:t xml:space="preserve"> </w:t>
      </w:r>
      <w:r w:rsidR="003F3B35" w:rsidRPr="00001F7B">
        <w:rPr>
          <w:rFonts w:cstheme="minorHAnsi"/>
        </w:rPr>
        <w:t>at pp 541-547.</w:t>
      </w:r>
    </w:p>
  </w:footnote>
  <w:footnote w:id="201">
    <w:p w14:paraId="26BCCD07" w14:textId="6CE2D576" w:rsidR="00F91FB2" w:rsidRPr="00001F7B" w:rsidRDefault="00F91FB2" w:rsidP="00F91FB2">
      <w:pPr>
        <w:pStyle w:val="FootnoteText"/>
        <w:rPr>
          <w:rFonts w:cstheme="minorHAnsi"/>
        </w:rPr>
      </w:pPr>
      <w:r w:rsidRPr="00001F7B">
        <w:rPr>
          <w:rStyle w:val="FootnoteReference"/>
          <w:rFonts w:cstheme="minorHAnsi"/>
        </w:rPr>
        <w:footnoteRef/>
      </w:r>
      <w:r w:rsidR="00CD5955" w:rsidRPr="00001F7B">
        <w:rPr>
          <w:rFonts w:cstheme="minorHAnsi"/>
        </w:rPr>
        <w:t xml:space="preserve"> </w:t>
      </w:r>
      <w:proofErr w:type="spellStart"/>
      <w:r w:rsidRPr="00001F7B">
        <w:rPr>
          <w:rFonts w:cstheme="minorHAnsi"/>
        </w:rPr>
        <w:t>Buffard</w:t>
      </w:r>
      <w:proofErr w:type="spellEnd"/>
      <w:r w:rsidRPr="00001F7B">
        <w:rPr>
          <w:rFonts w:cstheme="minorHAnsi"/>
        </w:rPr>
        <w:t xml:space="preserve"> and </w:t>
      </w:r>
      <w:proofErr w:type="spellStart"/>
      <w:r w:rsidRPr="00001F7B">
        <w:rPr>
          <w:rFonts w:cstheme="minorHAnsi"/>
        </w:rPr>
        <w:t>Zemanek</w:t>
      </w:r>
      <w:proofErr w:type="spellEnd"/>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w:t>
      </w:r>
      <w:r w:rsidR="00CD5955" w:rsidRPr="00001F7B">
        <w:rPr>
          <w:rFonts w:cstheme="minorHAnsi"/>
        </w:rPr>
        <w:t>190</w:t>
      </w:r>
      <w:r w:rsidRPr="00001F7B">
        <w:rPr>
          <w:rFonts w:cstheme="minorHAnsi"/>
        </w:rPr>
        <w:t xml:space="preserve">, p 332 state: “… the preamble of a treaty, and occasionally a programmatic article, are the prime indicators of the purpose of a treaty. Sometimes one may also ﬁnd there a summary of the treaty’s object” </w:t>
      </w:r>
      <w:r w:rsidR="00DC6C01" w:rsidRPr="00001F7B">
        <w:rPr>
          <w:rFonts w:cstheme="minorHAnsi"/>
        </w:rPr>
        <w:t>At</w:t>
      </w:r>
      <w:r w:rsidRPr="00001F7B">
        <w:rPr>
          <w:rFonts w:cstheme="minorHAnsi"/>
        </w:rPr>
        <w:t xml:space="preserve"> p 332</w:t>
      </w:r>
      <w:r w:rsidR="00DC6C01" w:rsidRPr="00001F7B">
        <w:rPr>
          <w:rFonts w:cstheme="minorHAnsi"/>
        </w:rPr>
        <w:t xml:space="preserve"> they also refer to the need to test this against </w:t>
      </w:r>
      <w:r w:rsidRPr="00001F7B">
        <w:rPr>
          <w:rFonts w:cstheme="minorHAnsi"/>
        </w:rPr>
        <w:t>the text of the treaty and all other available material and, if necessary, adjusted in the light of that test. The result of that process can then be used as a guideline in the interpretation of other treaty provisions or for assessing compliance with them.</w:t>
      </w:r>
      <w:r w:rsidR="00EC76D8" w:rsidRPr="00001F7B">
        <w:rPr>
          <w:rFonts w:cstheme="minorHAnsi"/>
        </w:rPr>
        <w:t xml:space="preserve"> See also </w:t>
      </w:r>
      <w:proofErr w:type="spellStart"/>
      <w:r w:rsidR="00EC76D8" w:rsidRPr="00001F7B">
        <w:rPr>
          <w:rFonts w:cstheme="minorHAnsi"/>
        </w:rPr>
        <w:t>Hendrik</w:t>
      </w:r>
      <w:r w:rsidR="00E1335D">
        <w:rPr>
          <w:rFonts w:cstheme="minorHAnsi"/>
        </w:rPr>
        <w:t>s</w:t>
      </w:r>
      <w:r w:rsidR="00EC76D8" w:rsidRPr="00001F7B">
        <w:rPr>
          <w:rFonts w:cstheme="minorHAnsi"/>
        </w:rPr>
        <w:t>e</w:t>
      </w:r>
      <w:proofErr w:type="spellEnd"/>
      <w:r w:rsidR="00EC76D8" w:rsidRPr="00001F7B">
        <w:rPr>
          <w:rFonts w:cstheme="minorHAnsi"/>
        </w:rPr>
        <w:t xml:space="preserve"> and </w:t>
      </w:r>
      <w:proofErr w:type="spellStart"/>
      <w:r w:rsidR="00EC76D8" w:rsidRPr="00001F7B">
        <w:rPr>
          <w:rFonts w:cstheme="minorHAnsi"/>
        </w:rPr>
        <w:t>Margetson</w:t>
      </w:r>
      <w:proofErr w:type="spellEnd"/>
      <w:r w:rsidR="00EC76D8" w:rsidRPr="00001F7B">
        <w:rPr>
          <w:rFonts w:cstheme="minorHAnsi"/>
        </w:rPr>
        <w:t>, above</w:t>
      </w:r>
      <w:r w:rsidR="00DC6C01" w:rsidRPr="00001F7B">
        <w:rPr>
          <w:rFonts w:cstheme="minorHAnsi"/>
        </w:rPr>
        <w:t>,</w:t>
      </w:r>
      <w:r w:rsidR="00EC76D8" w:rsidRPr="00001F7B">
        <w:rPr>
          <w:rFonts w:cstheme="minorHAnsi"/>
        </w:rPr>
        <w:t xml:space="preserve"> </w:t>
      </w:r>
      <w:proofErr w:type="spellStart"/>
      <w:r w:rsidR="00EC76D8" w:rsidRPr="00001F7B">
        <w:rPr>
          <w:rFonts w:cstheme="minorHAnsi"/>
        </w:rPr>
        <w:t>fn</w:t>
      </w:r>
      <w:proofErr w:type="spellEnd"/>
      <w:r w:rsidR="00EC76D8" w:rsidRPr="00001F7B">
        <w:rPr>
          <w:rFonts w:cstheme="minorHAnsi"/>
        </w:rPr>
        <w:t xml:space="preserve">  </w:t>
      </w:r>
      <w:r w:rsidR="00DC6C01" w:rsidRPr="00001F7B">
        <w:rPr>
          <w:rFonts w:cstheme="minorHAnsi"/>
        </w:rPr>
        <w:t xml:space="preserve">10, </w:t>
      </w:r>
      <w:r w:rsidRPr="00001F7B">
        <w:rPr>
          <w:rFonts w:cstheme="minorHAnsi"/>
        </w:rPr>
        <w:t>p.79</w:t>
      </w:r>
      <w:r w:rsidR="00EC76D8" w:rsidRPr="00001F7B">
        <w:rPr>
          <w:rFonts w:cstheme="minorHAnsi"/>
        </w:rPr>
        <w:t>:</w:t>
      </w:r>
      <w:r w:rsidRPr="00001F7B">
        <w:rPr>
          <w:rFonts w:cstheme="minorHAnsi"/>
        </w:rPr>
        <w:t xml:space="preserve"> “Systematic Construction</w:t>
      </w:r>
      <w:r w:rsidR="00EC76D8" w:rsidRPr="00001F7B">
        <w:rPr>
          <w:rFonts w:cstheme="minorHAnsi"/>
        </w:rPr>
        <w:t>.</w:t>
      </w:r>
      <w:r w:rsidRPr="00001F7B">
        <w:rPr>
          <w:rFonts w:cstheme="minorHAnsi"/>
        </w:rPr>
        <w:t xml:space="preserve"> The system of a convention can also provide information as to the way a provision of uniform law should be construed. Take the system of the CMR, which is quite clear. There are however instances in which that system is deviated from. For example, it is remarkable that the liability of the carrier for his servants and agents is regulated in Article 3 CMR and not in the general provision regarding liability of the carrier, even though the liability of the carrier for the defective condition of the vehicle used by him is regulated in Article 17(3).”  </w:t>
      </w:r>
    </w:p>
  </w:footnote>
  <w:footnote w:id="202">
    <w:p w14:paraId="4C2B2549" w14:textId="62A63E6D" w:rsidR="0082105B" w:rsidRPr="00001F7B" w:rsidRDefault="0082105B" w:rsidP="004045F8">
      <w:pPr>
        <w:pStyle w:val="FootnoteText"/>
        <w:rPr>
          <w:rFonts w:cstheme="minorHAnsi"/>
        </w:rPr>
      </w:pPr>
      <w:r w:rsidRPr="00001F7B">
        <w:rPr>
          <w:rStyle w:val="FootnoteReference"/>
          <w:rFonts w:cstheme="minorHAnsi"/>
        </w:rPr>
        <w:footnoteRef/>
      </w:r>
      <w:r w:rsidRPr="00001F7B">
        <w:rPr>
          <w:rFonts w:cstheme="minorHAnsi"/>
        </w:rPr>
        <w:t xml:space="preserve"> “The aim was the creation of uniform regulation of the liability of the carrier” </w:t>
      </w:r>
      <w:proofErr w:type="spellStart"/>
      <w:r w:rsidRPr="00001F7B">
        <w:rPr>
          <w:rFonts w:cstheme="minorHAnsi"/>
        </w:rPr>
        <w:t>Hendrik</w:t>
      </w:r>
      <w:r w:rsidR="00E1335D">
        <w:rPr>
          <w:rFonts w:cstheme="minorHAnsi"/>
        </w:rPr>
        <w:t>s</w:t>
      </w:r>
      <w:r w:rsidRPr="00001F7B">
        <w:rPr>
          <w:rFonts w:cstheme="minorHAnsi"/>
        </w:rPr>
        <w:t>e</w:t>
      </w:r>
      <w:proofErr w:type="spellEnd"/>
      <w:r w:rsidRPr="00001F7B">
        <w:rPr>
          <w:rFonts w:cstheme="minorHAnsi"/>
        </w:rPr>
        <w:t xml:space="preserve"> and </w:t>
      </w:r>
      <w:proofErr w:type="spellStart"/>
      <w:r w:rsidRPr="00001F7B">
        <w:rPr>
          <w:rFonts w:cstheme="minorHAnsi"/>
        </w:rPr>
        <w:t>Margetson</w:t>
      </w:r>
      <w:proofErr w:type="spellEnd"/>
      <w:r w:rsidRPr="00001F7B">
        <w:rPr>
          <w:rFonts w:cstheme="minorHAnsi"/>
        </w:rPr>
        <w:t xml:space="preserve">, </w:t>
      </w:r>
      <w:r w:rsidR="00DC6C01" w:rsidRPr="00001F7B">
        <w:rPr>
          <w:rFonts w:cstheme="minorHAnsi"/>
          <w:i/>
          <w:iCs/>
        </w:rPr>
        <w:t xml:space="preserve">op </w:t>
      </w:r>
      <w:proofErr w:type="spellStart"/>
      <w:r w:rsidR="00DC6C01" w:rsidRPr="00001F7B">
        <w:rPr>
          <w:rFonts w:cstheme="minorHAnsi"/>
          <w:i/>
          <w:iCs/>
        </w:rPr>
        <w:t>cit</w:t>
      </w:r>
      <w:proofErr w:type="spellEnd"/>
      <w:r w:rsidR="007A4228" w:rsidRPr="00001F7B">
        <w:rPr>
          <w:rFonts w:cstheme="minorHAnsi"/>
        </w:rPr>
        <w:t>,</w:t>
      </w:r>
      <w:r w:rsidR="00DC6C01" w:rsidRPr="00001F7B">
        <w:rPr>
          <w:rFonts w:cstheme="minorHAnsi"/>
        </w:rPr>
        <w:t xml:space="preserve"> p</w:t>
      </w:r>
      <w:r w:rsidR="004045F8" w:rsidRPr="00001F7B">
        <w:rPr>
          <w:rFonts w:cstheme="minorHAnsi"/>
        </w:rPr>
        <w:t xml:space="preserve">p.77, citing van </w:t>
      </w:r>
      <w:proofErr w:type="spellStart"/>
      <w:r w:rsidR="004045F8" w:rsidRPr="00001F7B">
        <w:rPr>
          <w:rFonts w:cstheme="minorHAnsi"/>
        </w:rPr>
        <w:t>Beelen</w:t>
      </w:r>
      <w:proofErr w:type="spellEnd"/>
      <w:r w:rsidR="004045F8" w:rsidRPr="00001F7B">
        <w:rPr>
          <w:rFonts w:cstheme="minorHAnsi"/>
        </w:rPr>
        <w:t xml:space="preserve">,'De </w:t>
      </w:r>
      <w:proofErr w:type="spellStart"/>
      <w:r w:rsidR="004045F8" w:rsidRPr="00001F7B">
        <w:rPr>
          <w:rFonts w:cstheme="minorHAnsi"/>
        </w:rPr>
        <w:t>aansprakelijkheid</w:t>
      </w:r>
      <w:proofErr w:type="spellEnd"/>
      <w:r w:rsidR="004045F8" w:rsidRPr="00001F7B">
        <w:rPr>
          <w:rFonts w:cstheme="minorHAnsi"/>
        </w:rPr>
        <w:t xml:space="preserve"> van de </w:t>
      </w:r>
      <w:proofErr w:type="spellStart"/>
      <w:r w:rsidR="004045F8" w:rsidRPr="00001F7B">
        <w:rPr>
          <w:rFonts w:cstheme="minorHAnsi"/>
        </w:rPr>
        <w:t>wegvervoerder</w:t>
      </w:r>
      <w:proofErr w:type="spellEnd"/>
      <w:r w:rsidR="004045F8" w:rsidRPr="00001F7B">
        <w:rPr>
          <w:rFonts w:cstheme="minorHAnsi"/>
        </w:rPr>
        <w:t xml:space="preserve"> </w:t>
      </w:r>
      <w:proofErr w:type="spellStart"/>
      <w:r w:rsidR="004045F8" w:rsidRPr="00001F7B">
        <w:rPr>
          <w:rFonts w:cstheme="minorHAnsi"/>
        </w:rPr>
        <w:t>bij</w:t>
      </w:r>
      <w:proofErr w:type="spellEnd"/>
      <w:r w:rsidR="004045F8" w:rsidRPr="00001F7B">
        <w:rPr>
          <w:rFonts w:cstheme="minorHAnsi"/>
        </w:rPr>
        <w:t xml:space="preserve"> </w:t>
      </w:r>
      <w:proofErr w:type="spellStart"/>
      <w:r w:rsidR="004045F8" w:rsidRPr="00001F7B">
        <w:rPr>
          <w:rFonts w:cstheme="minorHAnsi"/>
        </w:rPr>
        <w:t>stapelvervoer</w:t>
      </w:r>
      <w:proofErr w:type="spellEnd"/>
      <w:r w:rsidR="004045F8" w:rsidRPr="00001F7B">
        <w:rPr>
          <w:rFonts w:cstheme="minorHAnsi"/>
        </w:rPr>
        <w:t xml:space="preserve"> conform art. 2 CMR', </w:t>
      </w:r>
      <w:r w:rsidR="003B523F" w:rsidRPr="00001F7B">
        <w:rPr>
          <w:rFonts w:cstheme="minorHAnsi"/>
        </w:rPr>
        <w:t xml:space="preserve">(1991) 6 </w:t>
      </w:r>
      <w:r w:rsidR="004045F8" w:rsidRPr="00001F7B">
        <w:rPr>
          <w:rFonts w:cstheme="minorHAnsi"/>
        </w:rPr>
        <w:t>ETL 745-746.</w:t>
      </w:r>
      <w:r w:rsidRPr="00001F7B">
        <w:rPr>
          <w:rFonts w:cstheme="minorHAnsi"/>
        </w:rPr>
        <w:t xml:space="preserve"> </w:t>
      </w:r>
    </w:p>
  </w:footnote>
  <w:footnote w:id="203">
    <w:p w14:paraId="5BF15008" w14:textId="1747354A" w:rsidR="00575B51" w:rsidRPr="00001F7B" w:rsidRDefault="00575B51">
      <w:pPr>
        <w:pStyle w:val="FootnoteText"/>
        <w:rPr>
          <w:rFonts w:cstheme="minorHAnsi"/>
        </w:rPr>
      </w:pPr>
      <w:r w:rsidRPr="00001F7B">
        <w:rPr>
          <w:rStyle w:val="FootnoteReference"/>
          <w:rFonts w:cstheme="minorHAnsi"/>
        </w:rPr>
        <w:footnoteRef/>
      </w:r>
      <w:r w:rsidRPr="00001F7B">
        <w:rPr>
          <w:rFonts w:cstheme="minorHAnsi"/>
        </w:rPr>
        <w:t xml:space="preserve"> See above, </w:t>
      </w:r>
      <w:r w:rsidRPr="00001F7B">
        <w:rPr>
          <w:rFonts w:cstheme="minorHAnsi"/>
          <w:b/>
          <w:bCs/>
        </w:rPr>
        <w:t>2.4.1.1</w:t>
      </w:r>
      <w:r w:rsidRPr="00001F7B">
        <w:rPr>
          <w:rFonts w:cstheme="minorHAnsi"/>
        </w:rPr>
        <w:t>.</w:t>
      </w:r>
    </w:p>
  </w:footnote>
  <w:footnote w:id="204">
    <w:p w14:paraId="39663EF5" w14:textId="34FA2844" w:rsidR="003624A2" w:rsidRPr="00001F7B" w:rsidRDefault="003624A2" w:rsidP="009F6BA7">
      <w:pPr>
        <w:pStyle w:val="FootnoteText"/>
        <w:rPr>
          <w:rFonts w:cstheme="minorHAnsi"/>
        </w:rPr>
      </w:pPr>
      <w:r w:rsidRPr="00001F7B">
        <w:rPr>
          <w:rStyle w:val="FootnoteReference"/>
          <w:rFonts w:cstheme="minorHAnsi"/>
        </w:rPr>
        <w:footnoteRef/>
      </w:r>
      <w:r w:rsidRPr="00001F7B">
        <w:rPr>
          <w:rFonts w:cstheme="minorHAnsi"/>
        </w:rPr>
        <w:t xml:space="preserve"> Mola and </w:t>
      </w:r>
      <w:proofErr w:type="spellStart"/>
      <w:r w:rsidRPr="00001F7B">
        <w:rPr>
          <w:rFonts w:cstheme="minorHAnsi"/>
        </w:rPr>
        <w:t>Poncib</w:t>
      </w:r>
      <w:r w:rsidR="0021791F">
        <w:rPr>
          <w:rFonts w:cstheme="minorHAnsi"/>
        </w:rPr>
        <w:t>ò</w:t>
      </w:r>
      <w:proofErr w:type="spellEnd"/>
      <w:r w:rsidR="003B523F" w:rsidRPr="00001F7B">
        <w:rPr>
          <w:rFonts w:cstheme="minorHAnsi"/>
        </w:rPr>
        <w:t xml:space="preserve">, above, </w:t>
      </w:r>
      <w:proofErr w:type="spellStart"/>
      <w:r w:rsidR="007B31C7" w:rsidRPr="00001F7B">
        <w:rPr>
          <w:rFonts w:cstheme="minorHAnsi"/>
        </w:rPr>
        <w:t>fn</w:t>
      </w:r>
      <w:proofErr w:type="spellEnd"/>
      <w:r w:rsidR="00297FD1" w:rsidRPr="00001F7B">
        <w:rPr>
          <w:rFonts w:cstheme="minorHAnsi"/>
        </w:rPr>
        <w:t xml:space="preserve"> 98</w:t>
      </w:r>
      <w:r w:rsidR="00AB2163" w:rsidRPr="00001F7B">
        <w:rPr>
          <w:rFonts w:cstheme="minorHAnsi"/>
        </w:rPr>
        <w:t xml:space="preserve">. See also </w:t>
      </w:r>
      <w:r w:rsidRPr="00001F7B">
        <w:rPr>
          <w:rFonts w:cstheme="minorHAnsi"/>
        </w:rPr>
        <w:t xml:space="preserve">p </w:t>
      </w:r>
      <w:r w:rsidR="009F6BA7" w:rsidRPr="00001F7B">
        <w:rPr>
          <w:rFonts w:cstheme="minorHAnsi"/>
        </w:rPr>
        <w:t>871-87</w:t>
      </w:r>
      <w:r w:rsidR="00AB2163" w:rsidRPr="00001F7B">
        <w:rPr>
          <w:rFonts w:cstheme="minorHAnsi"/>
        </w:rPr>
        <w:t xml:space="preserve">2: </w:t>
      </w:r>
      <w:r w:rsidR="009F6BA7" w:rsidRPr="00001F7B">
        <w:rPr>
          <w:rFonts w:cstheme="minorHAnsi"/>
        </w:rPr>
        <w:t>“Legal scholars often note that an objective interpretation, especially when based on the text of the Convention, has to be preferred to uniform private law instruments. Subjectivity – referring, for example, to shared expectations or values of the drafters (rather than the meaning of words) – has been said to (further) open the door for judges towards discretion, and particularly, the homeward trend.</w:t>
      </w:r>
      <w:r w:rsidR="00AB2163" w:rsidRPr="00001F7B">
        <w:rPr>
          <w:rFonts w:cstheme="minorHAnsi"/>
        </w:rPr>
        <w:t xml:space="preserve"> </w:t>
      </w:r>
      <w:r w:rsidR="009F6BA7" w:rsidRPr="00001F7B">
        <w:rPr>
          <w:rFonts w:cstheme="minorHAnsi"/>
        </w:rPr>
        <w:t>On such a basis one may maintain that the priority assigned by the VCLT rules to</w:t>
      </w:r>
      <w:r w:rsidR="00823A5C" w:rsidRPr="00001F7B">
        <w:rPr>
          <w:rFonts w:cstheme="minorHAnsi"/>
        </w:rPr>
        <w:t xml:space="preserve"> </w:t>
      </w:r>
      <w:r w:rsidR="009F6BA7" w:rsidRPr="00001F7B">
        <w:rPr>
          <w:rFonts w:cstheme="minorHAnsi"/>
        </w:rPr>
        <w:t xml:space="preserve">objective interpretation (Article 31 of the VCLT) perfectly ﬁts within the interpretative hermeneutics that are proper for uniform private law conventions, such as the CISG. In particular, we note that this rule of VCLT guides the interpreter on the </w:t>
      </w:r>
      <w:r w:rsidR="00AB2163" w:rsidRPr="00001F7B">
        <w:rPr>
          <w:rFonts w:cstheme="minorHAnsi"/>
        </w:rPr>
        <w:t>priorities</w:t>
      </w:r>
      <w:r w:rsidR="009F6BA7" w:rsidRPr="00001F7B">
        <w:rPr>
          <w:rFonts w:cstheme="minorHAnsi"/>
        </w:rPr>
        <w:t xml:space="preserve"> within methodologies, by clearly establishing a relationship among them.”</w:t>
      </w:r>
    </w:p>
  </w:footnote>
  <w:footnote w:id="205">
    <w:p w14:paraId="0DCC12D1" w14:textId="0013E8CA" w:rsidR="00384464" w:rsidRPr="00001F7B" w:rsidRDefault="00384464" w:rsidP="00384464">
      <w:pPr>
        <w:pStyle w:val="FootnoteText"/>
        <w:rPr>
          <w:rFonts w:cstheme="minorHAnsi"/>
        </w:rPr>
      </w:pPr>
      <w:r w:rsidRPr="00001F7B">
        <w:rPr>
          <w:rStyle w:val="FootnoteReference"/>
          <w:rFonts w:cstheme="minorHAnsi"/>
        </w:rPr>
        <w:footnoteRef/>
      </w:r>
      <w:r w:rsidRPr="00001F7B">
        <w:rPr>
          <w:rFonts w:cstheme="minorHAnsi"/>
        </w:rPr>
        <w:t xml:space="preserve"> Cf., Waibel, </w:t>
      </w:r>
      <w:r w:rsidR="00AB2163" w:rsidRPr="00001F7B">
        <w:rPr>
          <w:rFonts w:cstheme="minorHAnsi"/>
        </w:rPr>
        <w:t xml:space="preserve">above, </w:t>
      </w:r>
      <w:proofErr w:type="spellStart"/>
      <w:r w:rsidR="00AB2163" w:rsidRPr="00001F7B">
        <w:rPr>
          <w:rFonts w:cstheme="minorHAnsi"/>
        </w:rPr>
        <w:t>fn</w:t>
      </w:r>
      <w:proofErr w:type="spellEnd"/>
      <w:r w:rsidR="00AB2163" w:rsidRPr="00001F7B">
        <w:rPr>
          <w:rFonts w:cstheme="minorHAnsi"/>
        </w:rPr>
        <w:t xml:space="preserve"> </w:t>
      </w:r>
      <w:r w:rsidR="002B01CB" w:rsidRPr="00001F7B">
        <w:rPr>
          <w:rFonts w:cstheme="minorHAnsi"/>
        </w:rPr>
        <w:t>3</w:t>
      </w:r>
      <w:r w:rsidR="006E60E4" w:rsidRPr="00001F7B">
        <w:rPr>
          <w:rFonts w:cstheme="minorHAnsi"/>
        </w:rPr>
        <w:t xml:space="preserve">, </w:t>
      </w:r>
      <w:r w:rsidRPr="00001F7B">
        <w:rPr>
          <w:rFonts w:cstheme="minorHAnsi"/>
        </w:rPr>
        <w:t>pp 1</w:t>
      </w:r>
      <w:r w:rsidR="006E60E4" w:rsidRPr="00001F7B">
        <w:rPr>
          <w:rFonts w:cstheme="minorHAnsi"/>
        </w:rPr>
        <w:t>8</w:t>
      </w:r>
      <w:r w:rsidRPr="00001F7B">
        <w:rPr>
          <w:rFonts w:cstheme="minorHAnsi"/>
        </w:rPr>
        <w:t>-1</w:t>
      </w:r>
      <w:r w:rsidR="006E60E4" w:rsidRPr="00001F7B">
        <w:rPr>
          <w:rFonts w:cstheme="minorHAnsi"/>
        </w:rPr>
        <w:t>9</w:t>
      </w:r>
      <w:r w:rsidRPr="00001F7B">
        <w:rPr>
          <w:rFonts w:cstheme="minorHAnsi"/>
        </w:rPr>
        <w:t xml:space="preserve"> noting that uniformity in multilateral uniform private law treaties is necessary to prevent a multitude of competing interpretations by diverse treaty interpreters that risks undercutting the effectiveness of the treaty regime in comparison with</w:t>
      </w:r>
      <w:r w:rsidR="008D4541" w:rsidRPr="00001F7B">
        <w:rPr>
          <w:rFonts w:cstheme="minorHAnsi"/>
        </w:rPr>
        <w:t xml:space="preserve"> </w:t>
      </w:r>
      <w:r w:rsidRPr="00001F7B">
        <w:rPr>
          <w:rFonts w:cstheme="minorHAnsi"/>
        </w:rPr>
        <w:t>bilateral, ‘public’ treaties, such as extradition</w:t>
      </w:r>
      <w:r w:rsidR="006E60E4" w:rsidRPr="00001F7B">
        <w:rPr>
          <w:rFonts w:cstheme="minorHAnsi"/>
        </w:rPr>
        <w:t xml:space="preserve"> </w:t>
      </w:r>
      <w:r w:rsidRPr="00001F7B">
        <w:rPr>
          <w:rFonts w:cstheme="minorHAnsi"/>
        </w:rPr>
        <w:t>and tax treaties</w:t>
      </w:r>
      <w:r w:rsidR="008D4541" w:rsidRPr="00001F7B">
        <w:rPr>
          <w:rFonts w:cstheme="minorHAnsi"/>
        </w:rPr>
        <w:t xml:space="preserve"> involving </w:t>
      </w:r>
      <w:r w:rsidRPr="00001F7B">
        <w:rPr>
          <w:rFonts w:cstheme="minorHAnsi"/>
        </w:rPr>
        <w:t>a far smaller number of interpreters</w:t>
      </w:r>
      <w:r w:rsidR="008D4541" w:rsidRPr="00001F7B">
        <w:rPr>
          <w:rFonts w:cstheme="minorHAnsi"/>
        </w:rPr>
        <w:t>.</w:t>
      </w:r>
      <w:r w:rsidRPr="00001F7B">
        <w:rPr>
          <w:rFonts w:cstheme="minorHAnsi"/>
        </w:rPr>
        <w:t xml:space="preserve">  </w:t>
      </w:r>
    </w:p>
  </w:footnote>
  <w:footnote w:id="206">
    <w:p w14:paraId="4B9EB355" w14:textId="4D3C5BD5" w:rsidR="007E3D13" w:rsidRPr="00001F7B" w:rsidRDefault="007E3D13">
      <w:pPr>
        <w:pStyle w:val="FootnoteText"/>
        <w:rPr>
          <w:rFonts w:cstheme="minorHAnsi"/>
        </w:rPr>
      </w:pPr>
      <w:r w:rsidRPr="00001F7B">
        <w:rPr>
          <w:rStyle w:val="FootnoteReference"/>
          <w:rFonts w:cstheme="minorHAnsi"/>
        </w:rPr>
        <w:footnoteRef/>
      </w:r>
      <w:r w:rsidRPr="00001F7B">
        <w:rPr>
          <w:rFonts w:cstheme="minorHAnsi"/>
        </w:rPr>
        <w:t xml:space="preserve"> Cf., Ammann, above, </w:t>
      </w:r>
      <w:proofErr w:type="spellStart"/>
      <w:r w:rsidRPr="00001F7B">
        <w:rPr>
          <w:rFonts w:cstheme="minorHAnsi"/>
        </w:rPr>
        <w:t>fn</w:t>
      </w:r>
      <w:proofErr w:type="spellEnd"/>
      <w:r w:rsidRPr="00001F7B">
        <w:rPr>
          <w:rFonts w:cstheme="minorHAnsi"/>
        </w:rPr>
        <w:t xml:space="preserve"> </w:t>
      </w:r>
      <w:r w:rsidR="00195AEA" w:rsidRPr="00001F7B">
        <w:rPr>
          <w:rFonts w:cstheme="minorHAnsi"/>
        </w:rPr>
        <w:t>190</w:t>
      </w:r>
      <w:r w:rsidRPr="00001F7B">
        <w:rPr>
          <w:rFonts w:cstheme="minorHAnsi"/>
        </w:rPr>
        <w:t>, p 210 “A treaty that mandates the unification or harmonization of an area of the law, for instance, cannot be interpreted like an international human rights treaty governed by the principle of subsidiarity, as the respective purposes of these instruments differ.”</w:t>
      </w:r>
      <w:r w:rsidR="000E7704">
        <w:rPr>
          <w:rFonts w:cstheme="minorHAnsi"/>
        </w:rPr>
        <w:t xml:space="preserve"> For further consideration of the  economic perspective in the context of interpretation of CMR see </w:t>
      </w:r>
      <w:proofErr w:type="spellStart"/>
      <w:r w:rsidR="000E7704">
        <w:rPr>
          <w:rFonts w:cstheme="minorHAnsi"/>
        </w:rPr>
        <w:t>Schelin</w:t>
      </w:r>
      <w:proofErr w:type="spellEnd"/>
      <w:r w:rsidR="000E7704">
        <w:rPr>
          <w:rFonts w:cstheme="minorHAnsi"/>
        </w:rPr>
        <w:t>, ‘Methods of Interpreting the CMR Convention</w:t>
      </w:r>
      <w:r w:rsidR="00B054EF">
        <w:rPr>
          <w:rFonts w:cstheme="minorHAnsi"/>
        </w:rPr>
        <w:t xml:space="preserve">’ (2002) </w:t>
      </w:r>
      <w:proofErr w:type="spellStart"/>
      <w:r w:rsidR="00B054EF">
        <w:rPr>
          <w:rFonts w:cstheme="minorHAnsi"/>
        </w:rPr>
        <w:t>Transportrecht</w:t>
      </w:r>
      <w:proofErr w:type="spellEnd"/>
      <w:r w:rsidR="00B054EF">
        <w:rPr>
          <w:rFonts w:cstheme="minorHAnsi"/>
        </w:rPr>
        <w:t xml:space="preserve"> 382.</w:t>
      </w:r>
    </w:p>
  </w:footnote>
  <w:footnote w:id="207">
    <w:p w14:paraId="07E23209" w14:textId="66299498" w:rsidR="000F7998" w:rsidRPr="00001F7B" w:rsidRDefault="000F7998">
      <w:pPr>
        <w:pStyle w:val="FootnoteText"/>
        <w:rPr>
          <w:rFonts w:cstheme="minorHAnsi"/>
        </w:rPr>
      </w:pPr>
      <w:r w:rsidRPr="00001F7B">
        <w:rPr>
          <w:rStyle w:val="FootnoteReference"/>
          <w:rFonts w:cstheme="minorHAnsi"/>
        </w:rPr>
        <w:footnoteRef/>
      </w:r>
      <w:r w:rsidRPr="00001F7B">
        <w:rPr>
          <w:rFonts w:cstheme="minorHAnsi"/>
        </w:rPr>
        <w:t xml:space="preserve"> 1966</w:t>
      </w:r>
      <w:r w:rsidR="002D036B" w:rsidRPr="00001F7B">
        <w:rPr>
          <w:rFonts w:cstheme="minorHAnsi"/>
        </w:rPr>
        <w:t xml:space="preserve"> Commentary, above </w:t>
      </w:r>
      <w:proofErr w:type="spellStart"/>
      <w:r w:rsidR="002D036B" w:rsidRPr="00001F7B">
        <w:rPr>
          <w:rFonts w:cstheme="minorHAnsi"/>
        </w:rPr>
        <w:t>fn</w:t>
      </w:r>
      <w:proofErr w:type="spellEnd"/>
      <w:r w:rsidR="002D036B" w:rsidRPr="00001F7B">
        <w:rPr>
          <w:rFonts w:cstheme="minorHAnsi"/>
        </w:rPr>
        <w:t xml:space="preserve"> </w:t>
      </w:r>
      <w:r w:rsidR="00195AEA" w:rsidRPr="00001F7B">
        <w:rPr>
          <w:rFonts w:cstheme="minorHAnsi"/>
        </w:rPr>
        <w:t>38</w:t>
      </w:r>
      <w:r w:rsidR="002D036B" w:rsidRPr="00001F7B">
        <w:rPr>
          <w:rFonts w:cstheme="minorHAnsi"/>
        </w:rPr>
        <w:t xml:space="preserve">, </w:t>
      </w:r>
      <w:r w:rsidRPr="00001F7B">
        <w:rPr>
          <w:rFonts w:cstheme="minorHAnsi"/>
        </w:rPr>
        <w:t>p</w:t>
      </w:r>
      <w:r w:rsidR="002D036B" w:rsidRPr="00001F7B">
        <w:rPr>
          <w:rFonts w:cstheme="minorHAnsi"/>
        </w:rPr>
        <w:t xml:space="preserve"> </w:t>
      </w:r>
      <w:r w:rsidRPr="00001F7B">
        <w:rPr>
          <w:rFonts w:cstheme="minorHAnsi"/>
        </w:rPr>
        <w:t>220</w:t>
      </w:r>
      <w:r w:rsidR="002D036B" w:rsidRPr="00001F7B">
        <w:rPr>
          <w:rFonts w:cstheme="minorHAnsi"/>
        </w:rPr>
        <w:t>,</w:t>
      </w:r>
      <w:r w:rsidRPr="00001F7B">
        <w:rPr>
          <w:rFonts w:cstheme="minorHAnsi"/>
        </w:rPr>
        <w:t xml:space="preserve"> para 10</w:t>
      </w:r>
      <w:r w:rsidR="002D036B" w:rsidRPr="00001F7B">
        <w:rPr>
          <w:rFonts w:cstheme="minorHAnsi"/>
        </w:rPr>
        <w:t>.</w:t>
      </w:r>
    </w:p>
  </w:footnote>
  <w:footnote w:id="208">
    <w:p w14:paraId="139E9346" w14:textId="4BD8F432" w:rsidR="00CB3ABA" w:rsidRPr="00001F7B" w:rsidRDefault="00CB3ABA">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Loc.cit</w:t>
      </w:r>
      <w:proofErr w:type="spellEnd"/>
      <w:r w:rsidRPr="00001F7B">
        <w:rPr>
          <w:rFonts w:cstheme="minorHAnsi"/>
        </w:rPr>
        <w:t xml:space="preserve">. </w:t>
      </w:r>
    </w:p>
  </w:footnote>
  <w:footnote w:id="209">
    <w:p w14:paraId="6FF94869" w14:textId="7B945B0C" w:rsidR="0069799A" w:rsidRPr="00001F7B" w:rsidRDefault="0069799A">
      <w:pPr>
        <w:pStyle w:val="FootnoteText"/>
        <w:rPr>
          <w:rFonts w:cstheme="minorHAnsi"/>
        </w:rPr>
      </w:pPr>
      <w:r w:rsidRPr="00001F7B">
        <w:rPr>
          <w:rStyle w:val="FootnoteReference"/>
          <w:rFonts w:cstheme="minorHAnsi"/>
        </w:rPr>
        <w:footnoteRef/>
      </w:r>
      <w:r w:rsidRPr="00001F7B">
        <w:rPr>
          <w:rFonts w:cstheme="minorHAnsi"/>
        </w:rPr>
        <w:t xml:space="preserve"> See, however, </w:t>
      </w:r>
      <w:r w:rsidR="00C52509">
        <w:rPr>
          <w:rFonts w:cstheme="minorHAnsi"/>
        </w:rPr>
        <w:t>the discussion at the t</w:t>
      </w:r>
      <w:r w:rsidR="008C176B">
        <w:rPr>
          <w:rFonts w:cstheme="minorHAnsi"/>
        </w:rPr>
        <w:t xml:space="preserve">ext </w:t>
      </w:r>
      <w:r w:rsidR="00C52509">
        <w:rPr>
          <w:rFonts w:cstheme="minorHAnsi"/>
        </w:rPr>
        <w:t>to</w:t>
      </w:r>
      <w:r w:rsidR="008C176B">
        <w:rPr>
          <w:rFonts w:cstheme="minorHAnsi"/>
        </w:rPr>
        <w:t xml:space="preserve"> </w:t>
      </w:r>
      <w:proofErr w:type="spellStart"/>
      <w:r w:rsidR="008C176B">
        <w:rPr>
          <w:rFonts w:cstheme="minorHAnsi"/>
        </w:rPr>
        <w:t>fn</w:t>
      </w:r>
      <w:r w:rsidR="00C52509">
        <w:rPr>
          <w:rFonts w:cstheme="minorHAnsi"/>
        </w:rPr>
        <w:t>s</w:t>
      </w:r>
      <w:proofErr w:type="spellEnd"/>
      <w:r w:rsidR="008C176B">
        <w:rPr>
          <w:rFonts w:cstheme="minorHAnsi"/>
        </w:rPr>
        <w:t xml:space="preserve"> 281</w:t>
      </w:r>
      <w:r w:rsidR="00C52509">
        <w:rPr>
          <w:rFonts w:cstheme="minorHAnsi"/>
        </w:rPr>
        <w:t>-284</w:t>
      </w:r>
      <w:r w:rsidR="008C176B">
        <w:rPr>
          <w:rFonts w:cstheme="minorHAnsi"/>
        </w:rPr>
        <w:t xml:space="preserve"> below.</w:t>
      </w:r>
    </w:p>
  </w:footnote>
  <w:footnote w:id="210">
    <w:p w14:paraId="5D05EC61" w14:textId="2FF28A14" w:rsidR="004B66C1" w:rsidRPr="00001F7B" w:rsidRDefault="004B66C1" w:rsidP="004B66C1">
      <w:pPr>
        <w:pStyle w:val="FootnoteText"/>
        <w:rPr>
          <w:rFonts w:cstheme="minorHAnsi"/>
        </w:rPr>
      </w:pPr>
      <w:r w:rsidRPr="00001F7B">
        <w:rPr>
          <w:rStyle w:val="FootnoteReference"/>
          <w:rFonts w:cstheme="minorHAnsi"/>
        </w:rPr>
        <w:footnoteRef/>
      </w:r>
      <w:r w:rsidRPr="00001F7B">
        <w:rPr>
          <w:rFonts w:cstheme="minorHAnsi"/>
        </w:rPr>
        <w:t xml:space="preserve"> Briggs, ‘The Travaux </w:t>
      </w:r>
      <w:proofErr w:type="spellStart"/>
      <w:r w:rsidRPr="00001F7B">
        <w:rPr>
          <w:rFonts w:cstheme="minorHAnsi"/>
        </w:rPr>
        <w:t>Pr</w:t>
      </w:r>
      <w:r w:rsidR="00456B92" w:rsidRPr="00001F7B">
        <w:rPr>
          <w:rFonts w:cstheme="minorHAnsi"/>
        </w:rPr>
        <w:t>ép</w:t>
      </w:r>
      <w:r w:rsidRPr="00001F7B">
        <w:rPr>
          <w:rFonts w:cstheme="minorHAnsi"/>
        </w:rPr>
        <w:t>aratoires</w:t>
      </w:r>
      <w:proofErr w:type="spellEnd"/>
      <w:r w:rsidRPr="00001F7B">
        <w:rPr>
          <w:rFonts w:cstheme="minorHAnsi"/>
        </w:rPr>
        <w:t xml:space="preserve"> of the Vienna Convention on the Law of</w:t>
      </w:r>
      <w:r w:rsidR="00B30243" w:rsidRPr="00001F7B">
        <w:rPr>
          <w:rFonts w:cstheme="minorHAnsi"/>
        </w:rPr>
        <w:t xml:space="preserve"> </w:t>
      </w:r>
      <w:r w:rsidRPr="00001F7B">
        <w:rPr>
          <w:rFonts w:cstheme="minorHAnsi"/>
        </w:rPr>
        <w:t>Treaties’ (1971) 65 AM</w:t>
      </w:r>
      <w:r w:rsidR="002D036B" w:rsidRPr="00001F7B">
        <w:rPr>
          <w:rFonts w:cstheme="minorHAnsi"/>
        </w:rPr>
        <w:t xml:space="preserve"> </w:t>
      </w:r>
      <w:r w:rsidRPr="00001F7B">
        <w:rPr>
          <w:rFonts w:cstheme="minorHAnsi"/>
        </w:rPr>
        <w:t xml:space="preserve">J </w:t>
      </w:r>
      <w:proofErr w:type="spellStart"/>
      <w:r w:rsidRPr="00001F7B">
        <w:rPr>
          <w:rFonts w:cstheme="minorHAnsi"/>
        </w:rPr>
        <w:t>INT'l</w:t>
      </w:r>
      <w:proofErr w:type="spellEnd"/>
      <w:r w:rsidR="002D036B" w:rsidRPr="00001F7B">
        <w:rPr>
          <w:rFonts w:cstheme="minorHAnsi"/>
        </w:rPr>
        <w:t xml:space="preserve"> </w:t>
      </w:r>
      <w:r w:rsidRPr="00001F7B">
        <w:rPr>
          <w:rFonts w:cstheme="minorHAnsi"/>
        </w:rPr>
        <w:t>L</w:t>
      </w:r>
      <w:r w:rsidR="002D036B" w:rsidRPr="00001F7B">
        <w:rPr>
          <w:rFonts w:cstheme="minorHAnsi"/>
        </w:rPr>
        <w:t xml:space="preserve">, </w:t>
      </w:r>
      <w:r w:rsidRPr="00001F7B">
        <w:rPr>
          <w:rFonts w:cstheme="minorHAnsi"/>
        </w:rPr>
        <w:t xml:space="preserve">705, </w:t>
      </w:r>
      <w:r w:rsidR="002D036B" w:rsidRPr="00001F7B">
        <w:rPr>
          <w:rFonts w:cstheme="minorHAnsi"/>
        </w:rPr>
        <w:t xml:space="preserve">at p </w:t>
      </w:r>
      <w:r w:rsidRPr="00001F7B">
        <w:rPr>
          <w:rFonts w:cstheme="minorHAnsi"/>
        </w:rPr>
        <w:t>710</w:t>
      </w:r>
      <w:r w:rsidR="00AE7D5E" w:rsidRPr="00001F7B">
        <w:rPr>
          <w:rFonts w:cstheme="minorHAnsi"/>
        </w:rPr>
        <w:t xml:space="preserve">, </w:t>
      </w:r>
      <w:r w:rsidR="00223897" w:rsidRPr="00001F7B">
        <w:rPr>
          <w:rFonts w:cstheme="minorHAnsi"/>
        </w:rPr>
        <w:t>quoting</w:t>
      </w:r>
      <w:r w:rsidR="00AE7D5E" w:rsidRPr="00001F7B">
        <w:rPr>
          <w:rFonts w:cstheme="minorHAnsi"/>
        </w:rPr>
        <w:t xml:space="preserve"> Waldock, </w:t>
      </w:r>
      <w:r w:rsidR="0053000D" w:rsidRPr="00001F7B">
        <w:rPr>
          <w:rFonts w:cstheme="minorHAnsi"/>
        </w:rPr>
        <w:t>“</w:t>
      </w:r>
      <w:r w:rsidR="00223897" w:rsidRPr="00001F7B">
        <w:rPr>
          <w:rFonts w:cstheme="minorHAnsi"/>
        </w:rPr>
        <w:t>T</w:t>
      </w:r>
      <w:r w:rsidR="0093075E" w:rsidRPr="00001F7B">
        <w:rPr>
          <w:rFonts w:cstheme="minorHAnsi"/>
        </w:rPr>
        <w:t xml:space="preserve">he term supplementary is adopted to show </w:t>
      </w:r>
      <w:r w:rsidR="00875C09" w:rsidRPr="00001F7B">
        <w:rPr>
          <w:rFonts w:cstheme="minorHAnsi"/>
        </w:rPr>
        <w:t>that the</w:t>
      </w:r>
      <w:r w:rsidR="00C522D6" w:rsidRPr="00001F7B">
        <w:rPr>
          <w:rFonts w:cstheme="minorHAnsi"/>
        </w:rPr>
        <w:t>se</w:t>
      </w:r>
      <w:r w:rsidR="00875C09" w:rsidRPr="00001F7B">
        <w:rPr>
          <w:rFonts w:cstheme="minorHAnsi"/>
        </w:rPr>
        <w:t xml:space="preserve"> means are not an alternative means of interpretation separate from the general rule</w:t>
      </w:r>
      <w:r w:rsidR="006905EF">
        <w:rPr>
          <w:rFonts w:cstheme="minorHAnsi"/>
        </w:rPr>
        <w:t>”</w:t>
      </w:r>
      <w:r w:rsidR="00C522D6" w:rsidRPr="00001F7B">
        <w:rPr>
          <w:rFonts w:cstheme="minorHAnsi"/>
        </w:rPr>
        <w:t xml:space="preserve"> </w:t>
      </w:r>
      <w:r w:rsidR="0093075E" w:rsidRPr="00001F7B">
        <w:rPr>
          <w:rFonts w:cstheme="minorHAnsi"/>
        </w:rPr>
        <w:t xml:space="preserve">1966 </w:t>
      </w:r>
      <w:r w:rsidR="00533D7F" w:rsidRPr="00001F7B">
        <w:rPr>
          <w:rFonts w:cstheme="minorHAnsi"/>
        </w:rPr>
        <w:t>C</w:t>
      </w:r>
      <w:r w:rsidR="0053000D" w:rsidRPr="00001F7B">
        <w:rPr>
          <w:rFonts w:cstheme="minorHAnsi"/>
        </w:rPr>
        <w:t>ommentary</w:t>
      </w:r>
      <w:r w:rsidR="00223897" w:rsidRPr="00001F7B">
        <w:rPr>
          <w:rFonts w:cstheme="minorHAnsi"/>
        </w:rPr>
        <w:t xml:space="preserve">, </w:t>
      </w:r>
      <w:r w:rsidR="00195AEA" w:rsidRPr="00001F7B">
        <w:rPr>
          <w:rFonts w:cstheme="minorHAnsi"/>
        </w:rPr>
        <w:t xml:space="preserve">above, </w:t>
      </w:r>
      <w:proofErr w:type="spellStart"/>
      <w:r w:rsidR="00195AEA" w:rsidRPr="00001F7B">
        <w:rPr>
          <w:rFonts w:cstheme="minorHAnsi"/>
        </w:rPr>
        <w:t>fn</w:t>
      </w:r>
      <w:proofErr w:type="spellEnd"/>
      <w:r w:rsidR="00195AEA" w:rsidRPr="00001F7B">
        <w:rPr>
          <w:rFonts w:cstheme="minorHAnsi"/>
        </w:rPr>
        <w:t xml:space="preserve"> 38, </w:t>
      </w:r>
      <w:r w:rsidR="0093075E" w:rsidRPr="00001F7B">
        <w:rPr>
          <w:rFonts w:cstheme="minorHAnsi"/>
        </w:rPr>
        <w:t>p</w:t>
      </w:r>
      <w:r w:rsidR="00223897" w:rsidRPr="00001F7B">
        <w:rPr>
          <w:rFonts w:cstheme="minorHAnsi"/>
        </w:rPr>
        <w:t xml:space="preserve"> </w:t>
      </w:r>
      <w:r w:rsidR="0093075E" w:rsidRPr="00001F7B">
        <w:rPr>
          <w:rFonts w:cstheme="minorHAnsi"/>
        </w:rPr>
        <w:t>223, para 19</w:t>
      </w:r>
      <w:r w:rsidR="00875C09" w:rsidRPr="00001F7B">
        <w:rPr>
          <w:rFonts w:cstheme="minorHAnsi"/>
        </w:rPr>
        <w:t xml:space="preserve"> </w:t>
      </w:r>
      <w:r w:rsidR="00223897" w:rsidRPr="00001F7B">
        <w:rPr>
          <w:rFonts w:cstheme="minorHAnsi"/>
        </w:rPr>
        <w:t xml:space="preserve">(Briggs notes the value of the records of the ILC as </w:t>
      </w:r>
      <w:r w:rsidR="00223897" w:rsidRPr="00001F7B">
        <w:rPr>
          <w:rFonts w:cstheme="minorHAnsi"/>
          <w:i/>
          <w:iCs/>
        </w:rPr>
        <w:t xml:space="preserve">travaux </w:t>
      </w:r>
      <w:proofErr w:type="spellStart"/>
      <w:r w:rsidR="00223897" w:rsidRPr="00001F7B">
        <w:rPr>
          <w:rFonts w:cstheme="minorHAnsi"/>
          <w:i/>
          <w:iCs/>
        </w:rPr>
        <w:t>préparatoires</w:t>
      </w:r>
      <w:proofErr w:type="spellEnd"/>
      <w:r w:rsidR="00223897" w:rsidRPr="00001F7B">
        <w:rPr>
          <w:rFonts w:cstheme="minorHAnsi"/>
        </w:rPr>
        <w:t>, pp 711-712)</w:t>
      </w:r>
      <w:r w:rsidR="0053000D" w:rsidRPr="00001F7B">
        <w:rPr>
          <w:rFonts w:cstheme="minorHAnsi"/>
        </w:rPr>
        <w:t>.</w:t>
      </w:r>
    </w:p>
  </w:footnote>
  <w:footnote w:id="211">
    <w:p w14:paraId="2FB02787" w14:textId="3CE3D64A" w:rsidR="008D68E4" w:rsidRPr="00001F7B" w:rsidRDefault="008D68E4">
      <w:pPr>
        <w:pStyle w:val="FootnoteText"/>
        <w:rPr>
          <w:rFonts w:cstheme="minorHAnsi"/>
        </w:rPr>
      </w:pPr>
      <w:r w:rsidRPr="00001F7B">
        <w:rPr>
          <w:rStyle w:val="FootnoteReference"/>
          <w:rFonts w:cstheme="minorHAnsi"/>
        </w:rPr>
        <w:footnoteRef/>
      </w:r>
      <w:r w:rsidRPr="00001F7B">
        <w:rPr>
          <w:rFonts w:cstheme="minorHAnsi"/>
        </w:rPr>
        <w:t xml:space="preserve"> Touched on earlier, see above, text to </w:t>
      </w:r>
      <w:proofErr w:type="spellStart"/>
      <w:r w:rsidRPr="00001F7B">
        <w:rPr>
          <w:rFonts w:cstheme="minorHAnsi"/>
        </w:rPr>
        <w:t>fn</w:t>
      </w:r>
      <w:proofErr w:type="spellEnd"/>
      <w:r w:rsidRPr="00001F7B">
        <w:rPr>
          <w:rFonts w:cstheme="minorHAnsi"/>
        </w:rPr>
        <w:t xml:space="preserve"> 199. </w:t>
      </w:r>
    </w:p>
  </w:footnote>
  <w:footnote w:id="212">
    <w:p w14:paraId="6151DC9A" w14:textId="28521FA8" w:rsidR="0077310E" w:rsidRPr="00001F7B" w:rsidRDefault="0077310E">
      <w:pPr>
        <w:pStyle w:val="FootnoteText"/>
        <w:rPr>
          <w:rFonts w:cstheme="minorHAnsi"/>
        </w:rPr>
      </w:pPr>
      <w:r w:rsidRPr="00001F7B">
        <w:rPr>
          <w:rStyle w:val="FootnoteReference"/>
          <w:rFonts w:cstheme="minorHAnsi"/>
        </w:rPr>
        <w:footnoteRef/>
      </w:r>
      <w:r w:rsidRPr="00001F7B">
        <w:rPr>
          <w:rFonts w:cstheme="minorHAnsi"/>
        </w:rPr>
        <w:t xml:space="preserve"> As Gardiner,</w:t>
      </w:r>
      <w:r w:rsidR="0053000D" w:rsidRPr="00001F7B">
        <w:rPr>
          <w:rFonts w:cstheme="minorHAnsi"/>
        </w:rPr>
        <w:t xml:space="preserve"> above,</w:t>
      </w:r>
      <w:r w:rsidRPr="00001F7B">
        <w:rPr>
          <w:rFonts w:cstheme="minorHAnsi"/>
        </w:rPr>
        <w:t xml:space="preserve"> </w:t>
      </w:r>
      <w:proofErr w:type="spellStart"/>
      <w:r w:rsidR="0053000D" w:rsidRPr="00001F7B">
        <w:rPr>
          <w:rFonts w:cstheme="minorHAnsi"/>
        </w:rPr>
        <w:t>f</w:t>
      </w:r>
      <w:r w:rsidRPr="00001F7B">
        <w:rPr>
          <w:rFonts w:cstheme="minorHAnsi"/>
        </w:rPr>
        <w:t>n</w:t>
      </w:r>
      <w:proofErr w:type="spellEnd"/>
      <w:r w:rsidR="00CE2C8F" w:rsidRPr="00001F7B">
        <w:rPr>
          <w:rFonts w:cstheme="minorHAnsi"/>
        </w:rPr>
        <w:t xml:space="preserve"> 5</w:t>
      </w:r>
      <w:r w:rsidRPr="00001F7B">
        <w:rPr>
          <w:rFonts w:cstheme="minorHAnsi"/>
        </w:rPr>
        <w:t>, says</w:t>
      </w:r>
      <w:r w:rsidR="00CE2C8F" w:rsidRPr="00001F7B">
        <w:rPr>
          <w:rFonts w:cstheme="minorHAnsi"/>
        </w:rPr>
        <w:t xml:space="preserve"> at </w:t>
      </w:r>
      <w:r w:rsidRPr="00001F7B">
        <w:rPr>
          <w:rFonts w:cstheme="minorHAnsi"/>
        </w:rPr>
        <w:t xml:space="preserve"> p</w:t>
      </w:r>
      <w:r w:rsidR="0053000D" w:rsidRPr="00001F7B">
        <w:rPr>
          <w:rFonts w:cstheme="minorHAnsi"/>
        </w:rPr>
        <w:t xml:space="preserve"> </w:t>
      </w:r>
      <w:r w:rsidRPr="00001F7B">
        <w:rPr>
          <w:rFonts w:cstheme="minorHAnsi"/>
        </w:rPr>
        <w:t>409</w:t>
      </w:r>
      <w:r w:rsidR="00CE2C8F" w:rsidRPr="00001F7B">
        <w:rPr>
          <w:rFonts w:cstheme="minorHAnsi"/>
        </w:rPr>
        <w:t>,</w:t>
      </w:r>
      <w:r w:rsidRPr="00001F7B">
        <w:rPr>
          <w:rFonts w:cstheme="minorHAnsi"/>
        </w:rPr>
        <w:t xml:space="preserve"> in respect of supplementary means: “When used ‘to confirm’ meaning they are of a lesser rule than the general rule, but when used ‘to determine’ meaning they are dominant.’ </w:t>
      </w:r>
    </w:p>
  </w:footnote>
  <w:footnote w:id="213">
    <w:p w14:paraId="3E6DCD37" w14:textId="0D94C887" w:rsidR="008E12DB" w:rsidRPr="00001F7B" w:rsidRDefault="008E12DB">
      <w:pPr>
        <w:pStyle w:val="FootnoteText"/>
        <w:rPr>
          <w:rFonts w:cstheme="minorHAnsi"/>
        </w:rPr>
      </w:pPr>
      <w:r w:rsidRPr="00001F7B">
        <w:rPr>
          <w:rStyle w:val="FootnoteReference"/>
          <w:rFonts w:cstheme="minorHAnsi"/>
        </w:rPr>
        <w:footnoteRef/>
      </w:r>
      <w:r w:rsidRPr="00001F7B">
        <w:rPr>
          <w:rFonts w:cstheme="minorHAnsi"/>
        </w:rPr>
        <w:t xml:space="preserve"> </w:t>
      </w:r>
      <w:r w:rsidR="006F1DA6" w:rsidRPr="00001F7B">
        <w:rPr>
          <w:rFonts w:cstheme="minorHAnsi"/>
        </w:rPr>
        <w:t>See Gardiner</w:t>
      </w:r>
      <w:r w:rsidR="0069580D" w:rsidRPr="00001F7B">
        <w:rPr>
          <w:rFonts w:cstheme="minorHAnsi"/>
        </w:rPr>
        <w:t xml:space="preserve">, </w:t>
      </w:r>
      <w:r w:rsidR="0069580D" w:rsidRPr="00001F7B">
        <w:rPr>
          <w:rFonts w:cstheme="minorHAnsi"/>
          <w:i/>
          <w:iCs/>
        </w:rPr>
        <w:t xml:space="preserve">op </w:t>
      </w:r>
      <w:proofErr w:type="spellStart"/>
      <w:r w:rsidR="0069580D" w:rsidRPr="00001F7B">
        <w:rPr>
          <w:rFonts w:cstheme="minorHAnsi"/>
          <w:i/>
          <w:iCs/>
        </w:rPr>
        <w:t>cit</w:t>
      </w:r>
      <w:proofErr w:type="spellEnd"/>
      <w:r w:rsidR="0069580D" w:rsidRPr="00001F7B">
        <w:rPr>
          <w:rFonts w:cstheme="minorHAnsi"/>
        </w:rPr>
        <w:t>,</w:t>
      </w:r>
      <w:r w:rsidR="006F1DA6" w:rsidRPr="00001F7B">
        <w:rPr>
          <w:rFonts w:cstheme="minorHAnsi"/>
        </w:rPr>
        <w:t xml:space="preserve"> pp 161-162 who notes the p</w:t>
      </w:r>
      <w:r w:rsidR="00E941CF" w:rsidRPr="00001F7B">
        <w:rPr>
          <w:rFonts w:cstheme="minorHAnsi"/>
        </w:rPr>
        <w:t>oi</w:t>
      </w:r>
      <w:r w:rsidR="006F1DA6" w:rsidRPr="00001F7B">
        <w:rPr>
          <w:rFonts w:cstheme="minorHAnsi"/>
        </w:rPr>
        <w:t xml:space="preserve">nt made in </w:t>
      </w:r>
      <w:proofErr w:type="spellStart"/>
      <w:r w:rsidR="006F1DA6" w:rsidRPr="00001F7B">
        <w:rPr>
          <w:rFonts w:cstheme="minorHAnsi"/>
          <w:i/>
          <w:iCs/>
        </w:rPr>
        <w:t>Aguas</w:t>
      </w:r>
      <w:proofErr w:type="spellEnd"/>
      <w:r w:rsidR="006F1DA6" w:rsidRPr="00001F7B">
        <w:rPr>
          <w:rFonts w:cstheme="minorHAnsi"/>
          <w:i/>
          <w:iCs/>
        </w:rPr>
        <w:t xml:space="preserve"> del </w:t>
      </w:r>
      <w:proofErr w:type="spellStart"/>
      <w:r w:rsidR="006F1DA6" w:rsidRPr="00001F7B">
        <w:rPr>
          <w:rFonts w:cstheme="minorHAnsi"/>
          <w:i/>
          <w:iCs/>
        </w:rPr>
        <w:t>Tunari</w:t>
      </w:r>
      <w:proofErr w:type="spellEnd"/>
      <w:r w:rsidR="006F1DA6" w:rsidRPr="00001F7B">
        <w:rPr>
          <w:rFonts w:cstheme="minorHAnsi"/>
          <w:i/>
          <w:iCs/>
        </w:rPr>
        <w:t xml:space="preserve"> v Bolivia</w:t>
      </w:r>
      <w:r w:rsidR="006F1DA6" w:rsidRPr="00001F7B">
        <w:rPr>
          <w:rFonts w:cstheme="minorHAnsi"/>
        </w:rPr>
        <w:t xml:space="preserve"> (ICSIS ARB/02/03), Award of 21 October 2005, para 91, that </w:t>
      </w:r>
      <w:r w:rsidR="00E941CF" w:rsidRPr="00001F7B">
        <w:rPr>
          <w:rFonts w:cstheme="minorHAnsi"/>
        </w:rPr>
        <w:t xml:space="preserve">(in effect) </w:t>
      </w:r>
      <w:r w:rsidR="006F1DA6" w:rsidRPr="00001F7B">
        <w:rPr>
          <w:rFonts w:cstheme="minorHAnsi"/>
        </w:rPr>
        <w:t xml:space="preserve">the Rules involve a process of progressive encirclement whereby the tribunal </w:t>
      </w:r>
      <w:r w:rsidR="00E941CF" w:rsidRPr="00001F7B">
        <w:rPr>
          <w:rFonts w:cstheme="minorHAnsi"/>
        </w:rPr>
        <w:t>closes</w:t>
      </w:r>
      <w:r w:rsidR="006F1DA6" w:rsidRPr="00001F7B">
        <w:rPr>
          <w:rFonts w:cstheme="minorHAnsi"/>
        </w:rPr>
        <w:t xml:space="preserve"> in </w:t>
      </w:r>
      <w:r w:rsidR="00E941CF" w:rsidRPr="00001F7B">
        <w:rPr>
          <w:rFonts w:cstheme="minorHAnsi"/>
        </w:rPr>
        <w:t>on the proper interpretation.</w:t>
      </w:r>
      <w:r w:rsidR="001F6874" w:rsidRPr="00001F7B">
        <w:rPr>
          <w:rFonts w:cstheme="minorHAnsi"/>
        </w:rPr>
        <w:t xml:space="preserve"> See also Mortensen, below, </w:t>
      </w:r>
      <w:proofErr w:type="spellStart"/>
      <w:r w:rsidR="001F6874" w:rsidRPr="00001F7B">
        <w:rPr>
          <w:rFonts w:cstheme="minorHAnsi"/>
        </w:rPr>
        <w:t>fn</w:t>
      </w:r>
      <w:proofErr w:type="spellEnd"/>
      <w:r w:rsidR="001F6874" w:rsidRPr="00001F7B">
        <w:rPr>
          <w:rFonts w:cstheme="minorHAnsi"/>
        </w:rPr>
        <w:t xml:space="preserve"> </w:t>
      </w:r>
      <w:r w:rsidR="00337EBB" w:rsidRPr="00001F7B">
        <w:rPr>
          <w:rFonts w:cstheme="minorHAnsi"/>
        </w:rPr>
        <w:t>282</w:t>
      </w:r>
      <w:r w:rsidR="008C2171" w:rsidRPr="00001F7B">
        <w:rPr>
          <w:rFonts w:cstheme="minorHAnsi"/>
        </w:rPr>
        <w:t>, who sees the role of confirmation as allowing the interpreter to check and reassess the provisional hypothesis yielded under Article 31 (at p 787).</w:t>
      </w:r>
    </w:p>
  </w:footnote>
  <w:footnote w:id="214">
    <w:p w14:paraId="500C10F9" w14:textId="05AC24CC" w:rsidR="00484262" w:rsidRPr="00001F7B" w:rsidRDefault="00484262">
      <w:pPr>
        <w:pStyle w:val="FootnoteText"/>
        <w:rPr>
          <w:rFonts w:cstheme="minorHAnsi"/>
        </w:rPr>
      </w:pPr>
      <w:r w:rsidRPr="00001F7B">
        <w:rPr>
          <w:rStyle w:val="FootnoteReference"/>
          <w:rFonts w:cstheme="minorHAnsi"/>
        </w:rPr>
        <w:footnoteRef/>
      </w:r>
      <w:r w:rsidRPr="00001F7B">
        <w:rPr>
          <w:rFonts w:cstheme="minorHAnsi"/>
        </w:rPr>
        <w:t xml:space="preserve"> </w:t>
      </w:r>
      <w:r w:rsidR="00C522D6" w:rsidRPr="00001F7B">
        <w:rPr>
          <w:rFonts w:cstheme="minorHAnsi"/>
        </w:rPr>
        <w:t xml:space="preserve">See </w:t>
      </w:r>
      <w:r w:rsidRPr="00001F7B">
        <w:rPr>
          <w:rFonts w:cstheme="minorHAnsi"/>
        </w:rPr>
        <w:t xml:space="preserve">1966 </w:t>
      </w:r>
      <w:r w:rsidR="00533D7F" w:rsidRPr="00001F7B">
        <w:rPr>
          <w:rFonts w:cstheme="minorHAnsi"/>
        </w:rPr>
        <w:t>C</w:t>
      </w:r>
      <w:r w:rsidR="0053000D" w:rsidRPr="00001F7B">
        <w:rPr>
          <w:rFonts w:cstheme="minorHAnsi"/>
        </w:rPr>
        <w:t>ommentary</w:t>
      </w:r>
      <w:r w:rsidRPr="00001F7B">
        <w:rPr>
          <w:rFonts w:cstheme="minorHAnsi"/>
        </w:rPr>
        <w:t xml:space="preserve">, </w:t>
      </w:r>
      <w:r w:rsidR="0053000D" w:rsidRPr="00001F7B">
        <w:rPr>
          <w:rFonts w:cstheme="minorHAnsi"/>
        </w:rPr>
        <w:t xml:space="preserve">above, </w:t>
      </w:r>
      <w:proofErr w:type="spellStart"/>
      <w:r w:rsidR="0053000D" w:rsidRPr="00001F7B">
        <w:rPr>
          <w:rFonts w:cstheme="minorHAnsi"/>
        </w:rPr>
        <w:t>fn</w:t>
      </w:r>
      <w:proofErr w:type="spellEnd"/>
      <w:r w:rsidR="0053000D" w:rsidRPr="00001F7B">
        <w:rPr>
          <w:rFonts w:cstheme="minorHAnsi"/>
        </w:rPr>
        <w:t xml:space="preserve"> </w:t>
      </w:r>
      <w:r w:rsidR="0069580D" w:rsidRPr="00001F7B">
        <w:rPr>
          <w:rFonts w:cstheme="minorHAnsi"/>
        </w:rPr>
        <w:t>38</w:t>
      </w:r>
      <w:r w:rsidR="0053000D" w:rsidRPr="00001F7B">
        <w:rPr>
          <w:rFonts w:cstheme="minorHAnsi"/>
        </w:rPr>
        <w:t xml:space="preserve">, </w:t>
      </w:r>
      <w:r w:rsidRPr="00001F7B">
        <w:rPr>
          <w:rFonts w:cstheme="minorHAnsi"/>
        </w:rPr>
        <w:t>p</w:t>
      </w:r>
      <w:r w:rsidR="0053000D" w:rsidRPr="00001F7B">
        <w:rPr>
          <w:rFonts w:cstheme="minorHAnsi"/>
        </w:rPr>
        <w:t xml:space="preserve"> </w:t>
      </w:r>
      <w:r w:rsidRPr="00001F7B">
        <w:rPr>
          <w:rFonts w:cstheme="minorHAnsi"/>
        </w:rPr>
        <w:t>223, para</w:t>
      </w:r>
      <w:r w:rsidR="0053000D" w:rsidRPr="00001F7B">
        <w:rPr>
          <w:rFonts w:cstheme="minorHAnsi"/>
        </w:rPr>
        <w:t xml:space="preserve"> </w:t>
      </w:r>
      <w:r w:rsidRPr="00001F7B">
        <w:rPr>
          <w:rFonts w:cstheme="minorHAnsi"/>
        </w:rPr>
        <w:t>19</w:t>
      </w:r>
      <w:r w:rsidR="0077310E" w:rsidRPr="00001F7B">
        <w:rPr>
          <w:rFonts w:cstheme="minorHAnsi"/>
        </w:rPr>
        <w:t>.</w:t>
      </w:r>
    </w:p>
  </w:footnote>
  <w:footnote w:id="215">
    <w:p w14:paraId="0513814A" w14:textId="00D9EEFA" w:rsidR="008D68E4" w:rsidRPr="00001F7B" w:rsidRDefault="008D68E4">
      <w:pPr>
        <w:pStyle w:val="FootnoteText"/>
        <w:rPr>
          <w:rFonts w:cstheme="minorHAnsi"/>
        </w:rPr>
      </w:pPr>
      <w:r w:rsidRPr="00001F7B">
        <w:rPr>
          <w:rStyle w:val="FootnoteReference"/>
          <w:rFonts w:cstheme="minorHAnsi"/>
        </w:rPr>
        <w:footnoteRef/>
      </w:r>
      <w:r w:rsidRPr="00001F7B">
        <w:rPr>
          <w:rFonts w:cstheme="minorHAnsi"/>
        </w:rPr>
        <w:t xml:space="preserve"> At </w:t>
      </w:r>
      <w:proofErr w:type="spellStart"/>
      <w:r w:rsidRPr="00001F7B">
        <w:rPr>
          <w:rFonts w:cstheme="minorHAnsi"/>
        </w:rPr>
        <w:t>fn</w:t>
      </w:r>
      <w:proofErr w:type="spellEnd"/>
      <w:r w:rsidRPr="00001F7B">
        <w:rPr>
          <w:rFonts w:cstheme="minorHAnsi"/>
        </w:rPr>
        <w:t xml:space="preserve"> 199.</w:t>
      </w:r>
    </w:p>
  </w:footnote>
  <w:footnote w:id="216">
    <w:p w14:paraId="6A9F6E43" w14:textId="199334F6" w:rsidR="00177870" w:rsidRPr="00001F7B" w:rsidRDefault="00177870">
      <w:pPr>
        <w:pStyle w:val="FootnoteText"/>
        <w:rPr>
          <w:rFonts w:cstheme="minorHAnsi"/>
        </w:rPr>
      </w:pPr>
      <w:r w:rsidRPr="00001F7B">
        <w:rPr>
          <w:rStyle w:val="FootnoteReference"/>
          <w:rFonts w:cstheme="minorHAnsi"/>
        </w:rPr>
        <w:footnoteRef/>
      </w:r>
      <w:r w:rsidRPr="00001F7B">
        <w:rPr>
          <w:rFonts w:cstheme="minorHAnsi"/>
        </w:rPr>
        <w:t xml:space="preserve"> </w:t>
      </w:r>
      <w:r w:rsidR="00533D7F" w:rsidRPr="00001F7B">
        <w:rPr>
          <w:rFonts w:cstheme="minorHAnsi"/>
        </w:rPr>
        <w:t>1966 C</w:t>
      </w:r>
      <w:r w:rsidR="0053000D" w:rsidRPr="00001F7B">
        <w:rPr>
          <w:rFonts w:cstheme="minorHAnsi"/>
        </w:rPr>
        <w:t>ommentary</w:t>
      </w:r>
      <w:r w:rsidR="00533D7F" w:rsidRPr="00001F7B">
        <w:rPr>
          <w:rFonts w:cstheme="minorHAnsi"/>
        </w:rPr>
        <w:t xml:space="preserve">, above </w:t>
      </w:r>
      <w:proofErr w:type="spellStart"/>
      <w:r w:rsidR="00533D7F" w:rsidRPr="00001F7B">
        <w:rPr>
          <w:rFonts w:cstheme="minorHAnsi"/>
        </w:rPr>
        <w:t>fn</w:t>
      </w:r>
      <w:proofErr w:type="spellEnd"/>
      <w:r w:rsidR="00533D7F" w:rsidRPr="00001F7B">
        <w:rPr>
          <w:rFonts w:cstheme="minorHAnsi"/>
        </w:rPr>
        <w:t xml:space="preserve"> </w:t>
      </w:r>
      <w:r w:rsidR="0069580D" w:rsidRPr="00001F7B">
        <w:rPr>
          <w:rFonts w:cstheme="minorHAnsi"/>
        </w:rPr>
        <w:t>38</w:t>
      </w:r>
      <w:r w:rsidR="00533D7F" w:rsidRPr="00001F7B">
        <w:rPr>
          <w:rFonts w:cstheme="minorHAnsi"/>
        </w:rPr>
        <w:t>,</w:t>
      </w:r>
      <w:r w:rsidR="0053000D" w:rsidRPr="00001F7B">
        <w:rPr>
          <w:rFonts w:cstheme="minorHAnsi"/>
        </w:rPr>
        <w:t xml:space="preserve"> </w:t>
      </w:r>
      <w:r w:rsidRPr="00001F7B">
        <w:rPr>
          <w:rFonts w:cstheme="minorHAnsi"/>
        </w:rPr>
        <w:t>p 22</w:t>
      </w:r>
      <w:r w:rsidR="006853B1" w:rsidRPr="00001F7B">
        <w:rPr>
          <w:rFonts w:cstheme="minorHAnsi"/>
        </w:rPr>
        <w:t>3</w:t>
      </w:r>
      <w:r w:rsidRPr="00001F7B">
        <w:rPr>
          <w:rFonts w:cstheme="minorHAnsi"/>
        </w:rPr>
        <w:t>, para</w:t>
      </w:r>
      <w:r w:rsidR="0053000D" w:rsidRPr="00001F7B">
        <w:rPr>
          <w:rFonts w:cstheme="minorHAnsi"/>
        </w:rPr>
        <w:t xml:space="preserve"> </w:t>
      </w:r>
      <w:r w:rsidRPr="00001F7B">
        <w:rPr>
          <w:rFonts w:cstheme="minorHAnsi"/>
        </w:rPr>
        <w:t>20.</w:t>
      </w:r>
    </w:p>
  </w:footnote>
  <w:footnote w:id="217">
    <w:p w14:paraId="5A00323B" w14:textId="4E500E14" w:rsidR="004F46CF" w:rsidRPr="00001F7B" w:rsidRDefault="004F46CF">
      <w:pPr>
        <w:pStyle w:val="FootnoteText"/>
        <w:rPr>
          <w:rFonts w:cstheme="minorHAnsi"/>
        </w:rPr>
      </w:pPr>
      <w:r w:rsidRPr="00001F7B">
        <w:rPr>
          <w:rStyle w:val="FootnoteReference"/>
          <w:rFonts w:cstheme="minorHAnsi"/>
        </w:rPr>
        <w:footnoteRef/>
      </w:r>
      <w:r w:rsidRPr="00001F7B">
        <w:rPr>
          <w:rFonts w:cstheme="minorHAnsi"/>
        </w:rPr>
        <w:t xml:space="preserve"> </w:t>
      </w:r>
      <w:r w:rsidR="00D23C34" w:rsidRPr="00001F7B">
        <w:rPr>
          <w:rFonts w:cstheme="minorHAnsi"/>
        </w:rPr>
        <w:t xml:space="preserve">Above, </w:t>
      </w:r>
      <w:proofErr w:type="spellStart"/>
      <w:r w:rsidR="00D23C34" w:rsidRPr="00001F7B">
        <w:rPr>
          <w:rFonts w:cstheme="minorHAnsi"/>
        </w:rPr>
        <w:t>fn</w:t>
      </w:r>
      <w:proofErr w:type="spellEnd"/>
      <w:r w:rsidR="00D23C34" w:rsidRPr="00001F7B">
        <w:rPr>
          <w:rFonts w:cstheme="minorHAnsi"/>
        </w:rPr>
        <w:t xml:space="preserve"> 110, </w:t>
      </w:r>
      <w:r w:rsidRPr="00001F7B">
        <w:rPr>
          <w:rFonts w:cstheme="minorHAnsi"/>
        </w:rPr>
        <w:t>P</w:t>
      </w:r>
      <w:r w:rsidR="00D23C34" w:rsidRPr="00001F7B">
        <w:rPr>
          <w:rFonts w:cstheme="minorHAnsi"/>
        </w:rPr>
        <w:t xml:space="preserve"> </w:t>
      </w:r>
      <w:r w:rsidRPr="00001F7B">
        <w:rPr>
          <w:rFonts w:cstheme="minorHAnsi"/>
        </w:rPr>
        <w:t>178</w:t>
      </w:r>
      <w:r w:rsidR="0069580D" w:rsidRPr="00001F7B">
        <w:rPr>
          <w:rFonts w:cstheme="minorHAnsi"/>
        </w:rPr>
        <w:t>,</w:t>
      </w:r>
      <w:r w:rsidRPr="00001F7B">
        <w:rPr>
          <w:rFonts w:cstheme="minorHAnsi"/>
        </w:rPr>
        <w:t xml:space="preserve"> para 10.” Finally, if greater significance were attributed to preparatory work than in the Commission's text of article 28, a greater degree of risk would be created for new States wishing to accede to treaties in the drafting of which they had taken no part. The text of the treaty was what those new States had before them when deciding whether or not to accede; if more weight were attached to preparatory work in the rules of treaty interpretation, new States would be obliged to undertake a thorough analysis of the preparatory work before acceding to treaties, and even a thorough analysis was likely to give them limited enlightenment on the intentions of the parties. The United Kingdom delegation, therefore, could not support the United States proposal because, although the new text placed primary emphasis on the text of the treaty, it gave equal weight to a series of factors of greater or lesser significance in treaty interpretation and was likely to open the door to a never-ending stream of inquiry for would-be interpreters, and to encourage unnecessary disputes.”</w:t>
      </w:r>
    </w:p>
  </w:footnote>
  <w:footnote w:id="218">
    <w:p w14:paraId="7E2254E2" w14:textId="2FD5ACB1" w:rsidR="00EB4707" w:rsidRPr="00001F7B" w:rsidRDefault="00EB4707" w:rsidP="00AA7ABF">
      <w:pPr>
        <w:pStyle w:val="FootnoteText"/>
        <w:rPr>
          <w:rFonts w:cstheme="minorHAnsi"/>
        </w:rPr>
      </w:pPr>
      <w:r w:rsidRPr="00001F7B">
        <w:rPr>
          <w:rStyle w:val="FootnoteReference"/>
          <w:rFonts w:cstheme="minorHAnsi"/>
        </w:rPr>
        <w:footnoteRef/>
      </w:r>
      <w:r w:rsidRPr="00001F7B">
        <w:rPr>
          <w:rFonts w:cstheme="minorHAnsi"/>
          <w:lang w:val="de-DE"/>
        </w:rPr>
        <w:t xml:space="preserve"> De </w:t>
      </w:r>
      <w:proofErr w:type="spellStart"/>
      <w:r w:rsidRPr="00001F7B">
        <w:rPr>
          <w:rFonts w:cstheme="minorHAnsi"/>
          <w:lang w:val="de-DE"/>
        </w:rPr>
        <w:t>Meij</w:t>
      </w:r>
      <w:proofErr w:type="spellEnd"/>
      <w:r w:rsidRPr="00001F7B">
        <w:rPr>
          <w:rFonts w:cstheme="minorHAnsi"/>
          <w:lang w:val="de-DE"/>
        </w:rPr>
        <w:t xml:space="preserve">, </w:t>
      </w:r>
      <w:r w:rsidR="00AA7ABF" w:rsidRPr="00001F7B">
        <w:rPr>
          <w:rFonts w:cstheme="minorHAnsi"/>
          <w:lang w:val="de-DE"/>
        </w:rPr>
        <w:t>‘Samenloop van CMR-</w:t>
      </w:r>
      <w:proofErr w:type="spellStart"/>
      <w:r w:rsidR="00AA7ABF" w:rsidRPr="00001F7B">
        <w:rPr>
          <w:rFonts w:cstheme="minorHAnsi"/>
          <w:lang w:val="de-DE"/>
        </w:rPr>
        <w:t>Verdrag</w:t>
      </w:r>
      <w:proofErr w:type="spellEnd"/>
      <w:r w:rsidR="00AA7ABF" w:rsidRPr="00001F7B">
        <w:rPr>
          <w:rFonts w:cstheme="minorHAnsi"/>
          <w:lang w:val="de-DE"/>
        </w:rPr>
        <w:t xml:space="preserve"> </w:t>
      </w:r>
      <w:r w:rsidR="00686644" w:rsidRPr="00001F7B">
        <w:rPr>
          <w:rFonts w:cstheme="minorHAnsi"/>
          <w:lang w:val="de-DE"/>
        </w:rPr>
        <w:t>en</w:t>
      </w:r>
      <w:r w:rsidR="003612C7" w:rsidRPr="00001F7B">
        <w:rPr>
          <w:rFonts w:cstheme="minorHAnsi"/>
          <w:lang w:val="de-DE"/>
        </w:rPr>
        <w:t xml:space="preserve"> </w:t>
      </w:r>
      <w:r w:rsidR="00AA7ABF" w:rsidRPr="00001F7B">
        <w:rPr>
          <w:rFonts w:cstheme="minorHAnsi"/>
          <w:lang w:val="de-DE"/>
        </w:rPr>
        <w:t>EEX-</w:t>
      </w:r>
      <w:proofErr w:type="spellStart"/>
      <w:r w:rsidR="00AA7ABF" w:rsidRPr="00001F7B">
        <w:rPr>
          <w:rFonts w:cstheme="minorHAnsi"/>
          <w:lang w:val="de-DE"/>
        </w:rPr>
        <w:t>Verordening</w:t>
      </w:r>
      <w:proofErr w:type="spellEnd"/>
      <w:r w:rsidR="00AA7ABF" w:rsidRPr="00001F7B">
        <w:rPr>
          <w:rFonts w:cstheme="minorHAnsi"/>
          <w:lang w:val="de-DE"/>
        </w:rPr>
        <w:t>’ (</w:t>
      </w:r>
      <w:proofErr w:type="spellStart"/>
      <w:r w:rsidR="00AA7ABF" w:rsidRPr="00001F7B">
        <w:rPr>
          <w:rFonts w:cstheme="minorHAnsi"/>
          <w:lang w:val="de-DE"/>
        </w:rPr>
        <w:t>diss</w:t>
      </w:r>
      <w:proofErr w:type="spellEnd"/>
      <w:r w:rsidR="00AA7ABF" w:rsidRPr="00001F7B">
        <w:rPr>
          <w:rFonts w:cstheme="minorHAnsi"/>
          <w:lang w:val="de-DE"/>
        </w:rPr>
        <w:t xml:space="preserve">. </w:t>
      </w:r>
      <w:r w:rsidR="00AA7ABF" w:rsidRPr="00001F7B">
        <w:rPr>
          <w:rFonts w:cstheme="minorHAnsi"/>
        </w:rPr>
        <w:t xml:space="preserve">RUG) (Deventer: Kluwer, 2003), as </w:t>
      </w:r>
      <w:r w:rsidR="00686644" w:rsidRPr="00001F7B">
        <w:rPr>
          <w:rFonts w:cstheme="minorHAnsi"/>
        </w:rPr>
        <w:t>noted</w:t>
      </w:r>
      <w:r w:rsidR="00AA7ABF" w:rsidRPr="00001F7B">
        <w:rPr>
          <w:rFonts w:cstheme="minorHAnsi"/>
        </w:rPr>
        <w:t xml:space="preserve"> in </w:t>
      </w:r>
      <w:proofErr w:type="spellStart"/>
      <w:r w:rsidR="00AA7ABF" w:rsidRPr="00001F7B">
        <w:rPr>
          <w:rFonts w:cstheme="minorHAnsi"/>
        </w:rPr>
        <w:t>Hendrik</w:t>
      </w:r>
      <w:r w:rsidR="00B140B1">
        <w:rPr>
          <w:rFonts w:cstheme="minorHAnsi"/>
        </w:rPr>
        <w:t>s</w:t>
      </w:r>
      <w:r w:rsidR="00AA7ABF" w:rsidRPr="00001F7B">
        <w:rPr>
          <w:rFonts w:cstheme="minorHAnsi"/>
        </w:rPr>
        <w:t>e</w:t>
      </w:r>
      <w:proofErr w:type="spellEnd"/>
      <w:r w:rsidR="00AA7ABF" w:rsidRPr="00001F7B">
        <w:rPr>
          <w:rFonts w:cstheme="minorHAnsi"/>
        </w:rPr>
        <w:t xml:space="preserve"> and </w:t>
      </w:r>
      <w:proofErr w:type="spellStart"/>
      <w:r w:rsidR="00AA7ABF" w:rsidRPr="00001F7B">
        <w:rPr>
          <w:rFonts w:cstheme="minorHAnsi"/>
        </w:rPr>
        <w:t>Margetson</w:t>
      </w:r>
      <w:proofErr w:type="spellEnd"/>
      <w:r w:rsidR="00AA7ABF" w:rsidRPr="00001F7B">
        <w:rPr>
          <w:rFonts w:cstheme="minorHAnsi"/>
        </w:rPr>
        <w:t xml:space="preserve">, </w:t>
      </w:r>
      <w:r w:rsidR="009A6846" w:rsidRPr="00001F7B">
        <w:rPr>
          <w:rFonts w:cstheme="minorHAnsi"/>
        </w:rPr>
        <w:t xml:space="preserve">above </w:t>
      </w:r>
      <w:proofErr w:type="spellStart"/>
      <w:r w:rsidR="009A6846" w:rsidRPr="00001F7B">
        <w:rPr>
          <w:rFonts w:cstheme="minorHAnsi"/>
        </w:rPr>
        <w:t>fn</w:t>
      </w:r>
      <w:proofErr w:type="spellEnd"/>
      <w:r w:rsidR="009A6846" w:rsidRPr="00001F7B">
        <w:rPr>
          <w:rFonts w:cstheme="minorHAnsi"/>
        </w:rPr>
        <w:t xml:space="preserve"> </w:t>
      </w:r>
      <w:r w:rsidR="00A77E0E" w:rsidRPr="00001F7B">
        <w:rPr>
          <w:rFonts w:cstheme="minorHAnsi"/>
        </w:rPr>
        <w:t>10</w:t>
      </w:r>
      <w:r w:rsidR="00AA7ABF" w:rsidRPr="00001F7B">
        <w:rPr>
          <w:rFonts w:cstheme="minorHAnsi"/>
        </w:rPr>
        <w:t xml:space="preserve">, </w:t>
      </w:r>
      <w:r w:rsidR="009A6846" w:rsidRPr="00001F7B">
        <w:rPr>
          <w:rFonts w:cstheme="minorHAnsi"/>
        </w:rPr>
        <w:t xml:space="preserve">p </w:t>
      </w:r>
      <w:r w:rsidR="00BB7DF1" w:rsidRPr="00001F7B">
        <w:rPr>
          <w:rFonts w:cstheme="minorHAnsi"/>
        </w:rPr>
        <w:t>77.</w:t>
      </w:r>
    </w:p>
  </w:footnote>
  <w:footnote w:id="219">
    <w:p w14:paraId="20D3C278" w14:textId="03674669" w:rsidR="00B40655" w:rsidRPr="00001F7B" w:rsidRDefault="00B40655">
      <w:pPr>
        <w:pStyle w:val="FootnoteText"/>
        <w:rPr>
          <w:rFonts w:cstheme="minorHAnsi"/>
        </w:rPr>
      </w:pPr>
      <w:r w:rsidRPr="00001F7B">
        <w:rPr>
          <w:rStyle w:val="FootnoteReference"/>
          <w:rFonts w:cstheme="minorHAnsi"/>
        </w:rPr>
        <w:footnoteRef/>
      </w:r>
      <w:r w:rsidRPr="00001F7B">
        <w:rPr>
          <w:rFonts w:cstheme="minorHAnsi"/>
        </w:rPr>
        <w:t xml:space="preserve"> Above</w:t>
      </w:r>
      <w:r w:rsidR="009A6846" w:rsidRPr="00001F7B">
        <w:rPr>
          <w:rFonts w:cstheme="minorHAnsi"/>
        </w:rPr>
        <w:t xml:space="preserve">, </w:t>
      </w:r>
      <w:proofErr w:type="spellStart"/>
      <w:r w:rsidR="009A6846" w:rsidRPr="00001F7B">
        <w:rPr>
          <w:rFonts w:cstheme="minorHAnsi"/>
        </w:rPr>
        <w:t>f</w:t>
      </w:r>
      <w:r w:rsidRPr="00001F7B">
        <w:rPr>
          <w:rFonts w:cstheme="minorHAnsi"/>
        </w:rPr>
        <w:t>n</w:t>
      </w:r>
      <w:proofErr w:type="spellEnd"/>
      <w:r w:rsidR="009A6846" w:rsidRPr="00001F7B">
        <w:rPr>
          <w:rFonts w:cstheme="minorHAnsi"/>
        </w:rPr>
        <w:t xml:space="preserve"> </w:t>
      </w:r>
      <w:r w:rsidR="00A77E0E" w:rsidRPr="00001F7B">
        <w:rPr>
          <w:rFonts w:cstheme="minorHAnsi"/>
        </w:rPr>
        <w:t>76</w:t>
      </w:r>
      <w:r w:rsidRPr="00001F7B">
        <w:rPr>
          <w:rFonts w:cstheme="minorHAnsi"/>
        </w:rPr>
        <w:t>.</w:t>
      </w:r>
    </w:p>
  </w:footnote>
  <w:footnote w:id="220">
    <w:p w14:paraId="63E986E3" w14:textId="2C04DED2" w:rsidR="009C5978" w:rsidRPr="00001F7B" w:rsidRDefault="009C5978">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color w:val="000000"/>
        </w:rPr>
        <w:t xml:space="preserve">29.6.90 (1990) 25 ETL 589, </w:t>
      </w:r>
      <w:r w:rsidR="00D03AD3" w:rsidRPr="00001F7B">
        <w:rPr>
          <w:rFonts w:cstheme="minorHAnsi"/>
          <w:color w:val="000000"/>
        </w:rPr>
        <w:t xml:space="preserve">at p </w:t>
      </w:r>
      <w:r w:rsidRPr="00001F7B">
        <w:rPr>
          <w:rFonts w:cstheme="minorHAnsi"/>
          <w:color w:val="000000"/>
        </w:rPr>
        <w:t>627.</w:t>
      </w:r>
    </w:p>
  </w:footnote>
  <w:footnote w:id="221">
    <w:p w14:paraId="241A73A0" w14:textId="476EBA9C" w:rsidR="00B40655" w:rsidRPr="00001F7B" w:rsidRDefault="00B40655">
      <w:pPr>
        <w:pStyle w:val="FootnoteText"/>
        <w:rPr>
          <w:rFonts w:cstheme="minorHAnsi"/>
        </w:rPr>
      </w:pPr>
      <w:r w:rsidRPr="00001F7B">
        <w:rPr>
          <w:rStyle w:val="FootnoteReference"/>
          <w:rFonts w:cstheme="minorHAnsi"/>
        </w:rPr>
        <w:footnoteRef/>
      </w:r>
      <w:r w:rsidRPr="00001F7B">
        <w:rPr>
          <w:rFonts w:cstheme="minorHAnsi"/>
        </w:rPr>
        <w:t xml:space="preserve">  BGH., 15.12.11</w:t>
      </w:r>
      <w:r w:rsidR="00533695" w:rsidRPr="00001F7B">
        <w:rPr>
          <w:rFonts w:cstheme="minorHAnsi"/>
        </w:rPr>
        <w:t xml:space="preserve">, above, </w:t>
      </w:r>
      <w:proofErr w:type="spellStart"/>
      <w:r w:rsidR="00533695" w:rsidRPr="00001F7B">
        <w:rPr>
          <w:rFonts w:cstheme="minorHAnsi"/>
        </w:rPr>
        <w:t>fn</w:t>
      </w:r>
      <w:proofErr w:type="spellEnd"/>
      <w:r w:rsidR="00533695" w:rsidRPr="00001F7B">
        <w:rPr>
          <w:rFonts w:cstheme="minorHAnsi"/>
        </w:rPr>
        <w:t xml:space="preserve"> 84</w:t>
      </w:r>
      <w:r w:rsidRPr="00001F7B">
        <w:rPr>
          <w:rFonts w:cstheme="minorHAnsi"/>
        </w:rPr>
        <w:t>.</w:t>
      </w:r>
    </w:p>
  </w:footnote>
  <w:footnote w:id="222">
    <w:p w14:paraId="2965B617" w14:textId="032B115D" w:rsidR="00DA4B4A" w:rsidRPr="00001F7B" w:rsidRDefault="00DA4B4A">
      <w:pPr>
        <w:pStyle w:val="FootnoteText"/>
        <w:rPr>
          <w:rFonts w:cstheme="minorHAnsi"/>
        </w:rPr>
      </w:pPr>
      <w:r w:rsidRPr="00001F7B">
        <w:rPr>
          <w:rStyle w:val="FootnoteReference"/>
          <w:rFonts w:cstheme="minorHAnsi"/>
        </w:rPr>
        <w:footnoteRef/>
      </w:r>
      <w:r w:rsidRPr="00001F7B">
        <w:rPr>
          <w:rFonts w:cstheme="minorHAnsi"/>
        </w:rPr>
        <w:t xml:space="preserve"> E.g</w:t>
      </w:r>
      <w:r w:rsidR="00A77E0E" w:rsidRPr="00001F7B">
        <w:rPr>
          <w:rFonts w:cstheme="minorHAnsi"/>
        </w:rPr>
        <w:t xml:space="preserve">., </w:t>
      </w:r>
      <w:proofErr w:type="spellStart"/>
      <w:r w:rsidR="00A77E0E" w:rsidRPr="00001F7B">
        <w:rPr>
          <w:rFonts w:cstheme="minorHAnsi"/>
        </w:rPr>
        <w:t>Haak</w:t>
      </w:r>
      <w:proofErr w:type="spellEnd"/>
      <w:r w:rsidR="00A77E0E" w:rsidRPr="00001F7B">
        <w:rPr>
          <w:rFonts w:cstheme="minorHAnsi"/>
        </w:rPr>
        <w:t xml:space="preserve">, CMR, above </w:t>
      </w:r>
      <w:proofErr w:type="spellStart"/>
      <w:r w:rsidR="00A77E0E" w:rsidRPr="00001F7B">
        <w:rPr>
          <w:rFonts w:cstheme="minorHAnsi"/>
        </w:rPr>
        <w:t>fn</w:t>
      </w:r>
      <w:proofErr w:type="spellEnd"/>
      <w:r w:rsidR="00A77E0E" w:rsidRPr="00001F7B">
        <w:rPr>
          <w:rFonts w:cstheme="minorHAnsi"/>
        </w:rPr>
        <w:t xml:space="preserve"> </w:t>
      </w:r>
      <w:r w:rsidR="00397290" w:rsidRPr="00001F7B">
        <w:rPr>
          <w:rFonts w:cstheme="minorHAnsi"/>
        </w:rPr>
        <w:t>4.</w:t>
      </w:r>
    </w:p>
  </w:footnote>
  <w:footnote w:id="223">
    <w:p w14:paraId="3F23E918" w14:textId="2645CD57" w:rsidR="00DA4B4A" w:rsidRPr="00001F7B" w:rsidRDefault="00DA4B4A">
      <w:pPr>
        <w:pStyle w:val="FootnoteText"/>
        <w:rPr>
          <w:rFonts w:cstheme="minorHAnsi"/>
        </w:rPr>
      </w:pPr>
      <w:r w:rsidRPr="00001F7B">
        <w:rPr>
          <w:rStyle w:val="FootnoteReference"/>
          <w:rFonts w:cstheme="minorHAnsi"/>
        </w:rPr>
        <w:footnoteRef/>
      </w:r>
      <w:r w:rsidRPr="00001F7B">
        <w:rPr>
          <w:rFonts w:cstheme="minorHAnsi"/>
        </w:rPr>
        <w:t xml:space="preserve"> </w:t>
      </w:r>
      <w:r w:rsidR="00A918E2" w:rsidRPr="00001F7B">
        <w:rPr>
          <w:rFonts w:cstheme="minorHAnsi"/>
        </w:rPr>
        <w:t xml:space="preserve">Collections of some of the documentation </w:t>
      </w:r>
      <w:r w:rsidR="00E1535F" w:rsidRPr="00001F7B">
        <w:rPr>
          <w:rFonts w:cstheme="minorHAnsi"/>
        </w:rPr>
        <w:t>are</w:t>
      </w:r>
      <w:r w:rsidR="00A918E2" w:rsidRPr="00001F7B">
        <w:rPr>
          <w:rFonts w:cstheme="minorHAnsi"/>
        </w:rPr>
        <w:t xml:space="preserve"> available from the website of the</w:t>
      </w:r>
      <w:r w:rsidR="00A918E2" w:rsidRPr="00001F7B">
        <w:rPr>
          <w:rStyle w:val="Strong"/>
          <w:rFonts w:cstheme="minorHAnsi"/>
          <w:color w:val="767676"/>
          <w:shd w:val="clear" w:color="auto" w:fill="FFFFFF"/>
        </w:rPr>
        <w:t> </w:t>
      </w:r>
      <w:r w:rsidR="00A918E2" w:rsidRPr="00001F7B">
        <w:rPr>
          <w:rStyle w:val="Strong"/>
          <w:rFonts w:cstheme="minorHAnsi"/>
          <w:b w:val="0"/>
          <w:bCs w:val="0"/>
          <w:color w:val="767676"/>
          <w:shd w:val="clear" w:color="auto" w:fill="FFFFFF"/>
        </w:rPr>
        <w:t>Axe</w:t>
      </w:r>
      <w:r w:rsidR="00A918E2" w:rsidRPr="00001F7B">
        <w:rPr>
          <w:rStyle w:val="Strong"/>
          <w:rFonts w:cstheme="minorHAnsi"/>
          <w:color w:val="767676"/>
          <w:shd w:val="clear" w:color="auto" w:fill="FFFFFF"/>
        </w:rPr>
        <w:t>l</w:t>
      </w:r>
      <w:r w:rsidR="00A918E2" w:rsidRPr="00001F7B">
        <w:rPr>
          <w:rFonts w:cstheme="minorHAnsi"/>
          <w:color w:val="666666"/>
          <w:shd w:val="clear" w:color="auto" w:fill="FFFFFF"/>
        </w:rPr>
        <w:t> </w:t>
      </w:r>
      <w:proofErr w:type="spellStart"/>
      <w:r w:rsidR="00A918E2" w:rsidRPr="00001F7B">
        <w:rPr>
          <w:rFonts w:cstheme="minorHAnsi"/>
          <w:color w:val="666666"/>
          <w:shd w:val="clear" w:color="auto" w:fill="FFFFFF"/>
        </w:rPr>
        <w:t>Ax:son</w:t>
      </w:r>
      <w:proofErr w:type="spellEnd"/>
      <w:r w:rsidR="00A918E2" w:rsidRPr="00001F7B">
        <w:rPr>
          <w:rFonts w:cstheme="minorHAnsi"/>
          <w:color w:val="666666"/>
          <w:shd w:val="clear" w:color="auto" w:fill="FFFFFF"/>
        </w:rPr>
        <w:t xml:space="preserve"> Johnson Institute for</w:t>
      </w:r>
      <w:r w:rsidR="00A918E2" w:rsidRPr="00001F7B">
        <w:rPr>
          <w:rStyle w:val="Strong"/>
          <w:rFonts w:cstheme="minorHAnsi"/>
          <w:color w:val="767676"/>
          <w:shd w:val="clear" w:color="auto" w:fill="FFFFFF"/>
        </w:rPr>
        <w:t> </w:t>
      </w:r>
      <w:r w:rsidR="00A918E2" w:rsidRPr="00001F7B">
        <w:rPr>
          <w:rStyle w:val="Strong"/>
          <w:rFonts w:cstheme="minorHAnsi"/>
          <w:b w:val="0"/>
          <w:bCs w:val="0"/>
          <w:color w:val="767676"/>
          <w:shd w:val="clear" w:color="auto" w:fill="FFFFFF"/>
        </w:rPr>
        <w:t>Maritime</w:t>
      </w:r>
      <w:r w:rsidR="00A918E2" w:rsidRPr="00001F7B">
        <w:rPr>
          <w:rFonts w:cstheme="minorHAnsi"/>
          <w:color w:val="666666"/>
          <w:shd w:val="clear" w:color="auto" w:fill="FFFFFF"/>
        </w:rPr>
        <w:t> and other Transport Law at Stockholm University (</w:t>
      </w:r>
      <w:hyperlink r:id="rId6" w:history="1">
        <w:r w:rsidR="00A918E2" w:rsidRPr="00001F7B">
          <w:rPr>
            <w:rStyle w:val="Hyperlink"/>
            <w:rFonts w:cstheme="minorHAnsi"/>
            <w:shd w:val="clear" w:color="auto" w:fill="FFFFFF"/>
          </w:rPr>
          <w:t>www.maritimelawlibrary.se</w:t>
        </w:r>
      </w:hyperlink>
      <w:r w:rsidR="00A918E2" w:rsidRPr="00001F7B">
        <w:rPr>
          <w:rStyle w:val="HTMLCite"/>
          <w:rFonts w:cstheme="minorHAnsi"/>
          <w:i w:val="0"/>
          <w:iCs w:val="0"/>
          <w:color w:val="006621"/>
          <w:shd w:val="clear" w:color="auto" w:fill="FFFFFF"/>
        </w:rPr>
        <w:t>) and from my website: (</w:t>
      </w:r>
      <w:hyperlink r:id="rId7" w:history="1">
        <w:r w:rsidR="00E1535F" w:rsidRPr="00001F7B">
          <w:rPr>
            <w:rStyle w:val="Hyperlink"/>
            <w:rFonts w:cstheme="minorHAnsi"/>
            <w:shd w:val="clear" w:color="auto" w:fill="FFFFFF"/>
          </w:rPr>
          <w:t>https://daglass.uk/author/cmrman</w:t>
        </w:r>
      </w:hyperlink>
      <w:r w:rsidR="00E1535F" w:rsidRPr="00001F7B">
        <w:rPr>
          <w:rFonts w:cstheme="minorHAnsi"/>
          <w:color w:val="006621"/>
          <w:shd w:val="clear" w:color="auto" w:fill="FFFFFF"/>
        </w:rPr>
        <w:t>)</w:t>
      </w:r>
      <w:r w:rsidR="004B0CA1" w:rsidRPr="00001F7B">
        <w:rPr>
          <w:rFonts w:cstheme="minorHAnsi"/>
          <w:color w:val="006621"/>
          <w:shd w:val="clear" w:color="auto" w:fill="FFFFFF"/>
        </w:rPr>
        <w:t>.</w:t>
      </w:r>
      <w:r w:rsidR="004B0CA1" w:rsidRPr="00001F7B">
        <w:rPr>
          <w:rFonts w:cstheme="minorHAnsi"/>
        </w:rPr>
        <w:t xml:space="preserve"> </w:t>
      </w:r>
    </w:p>
  </w:footnote>
  <w:footnote w:id="224">
    <w:p w14:paraId="5CE74D88" w14:textId="3C99EFD1" w:rsidR="00FE2B82" w:rsidRPr="00001F7B" w:rsidRDefault="00FE2B82">
      <w:pPr>
        <w:pStyle w:val="FootnoteText"/>
        <w:rPr>
          <w:rFonts w:cstheme="minorHAnsi"/>
        </w:rPr>
      </w:pPr>
      <w:r w:rsidRPr="00001F7B">
        <w:rPr>
          <w:rStyle w:val="FootnoteReference"/>
          <w:rFonts w:cstheme="minorHAnsi"/>
        </w:rPr>
        <w:footnoteRef/>
      </w:r>
      <w:r w:rsidRPr="00001F7B">
        <w:rPr>
          <w:rFonts w:cstheme="minorHAnsi"/>
        </w:rPr>
        <w:t xml:space="preserve"> See the Review of UK cases in the Annex Folder where the question of whether </w:t>
      </w:r>
      <w:r w:rsidR="00D03AD3" w:rsidRPr="00001F7B">
        <w:rPr>
          <w:rFonts w:cstheme="minorHAnsi"/>
        </w:rPr>
        <w:t>it is</w:t>
      </w:r>
      <w:r w:rsidRPr="00001F7B">
        <w:rPr>
          <w:rFonts w:cstheme="minorHAnsi"/>
        </w:rPr>
        <w:t xml:space="preserve"> now too late i</w:t>
      </w:r>
      <w:r w:rsidR="00D03AD3" w:rsidRPr="00001F7B">
        <w:rPr>
          <w:rFonts w:cstheme="minorHAnsi"/>
        </w:rPr>
        <w:t>s</w:t>
      </w:r>
      <w:r w:rsidRPr="00001F7B">
        <w:rPr>
          <w:rFonts w:cstheme="minorHAnsi"/>
        </w:rPr>
        <w:t xml:space="preserve"> briefly considered, see text to </w:t>
      </w:r>
      <w:proofErr w:type="spellStart"/>
      <w:r w:rsidRPr="00001F7B">
        <w:rPr>
          <w:rFonts w:cstheme="minorHAnsi"/>
        </w:rPr>
        <w:t>fns</w:t>
      </w:r>
      <w:proofErr w:type="spellEnd"/>
      <w:r w:rsidRPr="00001F7B">
        <w:rPr>
          <w:rFonts w:cstheme="minorHAnsi"/>
        </w:rPr>
        <w:t xml:space="preserve"> 1</w:t>
      </w:r>
      <w:r w:rsidR="006464C6">
        <w:rPr>
          <w:rFonts w:cstheme="minorHAnsi"/>
        </w:rPr>
        <w:t>55</w:t>
      </w:r>
      <w:r w:rsidRPr="00001F7B">
        <w:rPr>
          <w:rFonts w:cstheme="minorHAnsi"/>
        </w:rPr>
        <w:t>-1</w:t>
      </w:r>
      <w:r w:rsidR="006464C6">
        <w:rPr>
          <w:rFonts w:cstheme="minorHAnsi"/>
        </w:rPr>
        <w:t>59</w:t>
      </w:r>
      <w:r w:rsidRPr="00001F7B">
        <w:rPr>
          <w:rFonts w:cstheme="minorHAnsi"/>
        </w:rPr>
        <w:t>.</w:t>
      </w:r>
    </w:p>
  </w:footnote>
  <w:footnote w:id="225">
    <w:p w14:paraId="0402E160" w14:textId="5EE3510E" w:rsidR="004B0CA1" w:rsidRPr="00001F7B" w:rsidRDefault="004B0CA1">
      <w:pPr>
        <w:pStyle w:val="FootnoteText"/>
        <w:rPr>
          <w:rFonts w:cstheme="minorHAnsi"/>
        </w:rPr>
      </w:pPr>
      <w:r w:rsidRPr="00001F7B">
        <w:rPr>
          <w:rStyle w:val="FootnoteReference"/>
          <w:rFonts w:cstheme="minorHAnsi"/>
        </w:rPr>
        <w:footnoteRef/>
      </w:r>
      <w:r w:rsidRPr="00001F7B">
        <w:rPr>
          <w:rFonts w:cstheme="minorHAnsi"/>
        </w:rPr>
        <w:t xml:space="preserve"> Gardiner, </w:t>
      </w:r>
      <w:r w:rsidR="00FE2B82" w:rsidRPr="00001F7B">
        <w:rPr>
          <w:rFonts w:cstheme="minorHAnsi"/>
        </w:rPr>
        <w:t xml:space="preserve">above, </w:t>
      </w:r>
      <w:proofErr w:type="spellStart"/>
      <w:r w:rsidR="00FE2B82" w:rsidRPr="00001F7B">
        <w:rPr>
          <w:rFonts w:cstheme="minorHAnsi"/>
        </w:rPr>
        <w:t>f</w:t>
      </w:r>
      <w:r w:rsidRPr="00001F7B">
        <w:rPr>
          <w:rFonts w:cstheme="minorHAnsi"/>
        </w:rPr>
        <w:t>n</w:t>
      </w:r>
      <w:proofErr w:type="spellEnd"/>
      <w:r w:rsidR="00FE2B82" w:rsidRPr="00001F7B">
        <w:rPr>
          <w:rFonts w:cstheme="minorHAnsi"/>
        </w:rPr>
        <w:t xml:space="preserve"> </w:t>
      </w:r>
      <w:r w:rsidR="00397290" w:rsidRPr="00001F7B">
        <w:rPr>
          <w:rFonts w:cstheme="minorHAnsi"/>
        </w:rPr>
        <w:t>5</w:t>
      </w:r>
      <w:r w:rsidR="00FE2B82" w:rsidRPr="00001F7B">
        <w:rPr>
          <w:rFonts w:cstheme="minorHAnsi"/>
        </w:rPr>
        <w:t>,</w:t>
      </w:r>
      <w:r w:rsidRPr="00001F7B">
        <w:rPr>
          <w:rFonts w:cstheme="minorHAnsi"/>
        </w:rPr>
        <w:t xml:space="preserve"> p</w:t>
      </w:r>
      <w:r w:rsidR="00FE2B82" w:rsidRPr="00001F7B">
        <w:rPr>
          <w:rFonts w:cstheme="minorHAnsi"/>
        </w:rPr>
        <w:t xml:space="preserve"> </w:t>
      </w:r>
      <w:r w:rsidRPr="00001F7B">
        <w:rPr>
          <w:rFonts w:cstheme="minorHAnsi"/>
        </w:rPr>
        <w:t>398.</w:t>
      </w:r>
    </w:p>
  </w:footnote>
  <w:footnote w:id="226">
    <w:p w14:paraId="4DA6E03E" w14:textId="4B54D781" w:rsidR="00F8105D" w:rsidRPr="00001F7B" w:rsidRDefault="00F8105D">
      <w:pPr>
        <w:pStyle w:val="FootnoteText"/>
        <w:rPr>
          <w:rFonts w:cstheme="minorHAnsi"/>
        </w:rPr>
      </w:pPr>
      <w:r w:rsidRPr="00001F7B">
        <w:rPr>
          <w:rStyle w:val="FootnoteReference"/>
          <w:rFonts w:cstheme="minorHAnsi"/>
        </w:rPr>
        <w:footnoteRef/>
      </w:r>
      <w:r w:rsidRPr="00001F7B">
        <w:rPr>
          <w:rFonts w:cstheme="minorHAnsi"/>
        </w:rPr>
        <w:t xml:space="preserve"> </w:t>
      </w:r>
      <w:r w:rsidR="00397290" w:rsidRPr="00001F7B">
        <w:rPr>
          <w:rFonts w:cstheme="minorHAnsi"/>
        </w:rPr>
        <w:t>E.g.,</w:t>
      </w:r>
      <w:r w:rsidRPr="00001F7B">
        <w:rPr>
          <w:rFonts w:cstheme="minorHAnsi"/>
        </w:rPr>
        <w:t xml:space="preserve"> explanatory reports which accompany many of the conventions drawn up within the Council of Europe and the Hague Conference on Private International Law etc., see Gardiner</w:t>
      </w:r>
      <w:r w:rsidR="00D03AD3" w:rsidRPr="00001F7B">
        <w:rPr>
          <w:rFonts w:cstheme="minorHAnsi"/>
        </w:rPr>
        <w:t xml:space="preserve">, </w:t>
      </w:r>
      <w:r w:rsidR="00D03AD3" w:rsidRPr="00001F7B">
        <w:rPr>
          <w:rFonts w:cstheme="minorHAnsi"/>
          <w:i/>
          <w:iCs/>
        </w:rPr>
        <w:t xml:space="preserve">op </w:t>
      </w:r>
      <w:proofErr w:type="spellStart"/>
      <w:r w:rsidR="00D03AD3" w:rsidRPr="00001F7B">
        <w:rPr>
          <w:rFonts w:cstheme="minorHAnsi"/>
          <w:i/>
          <w:iCs/>
        </w:rPr>
        <w:t>cit</w:t>
      </w:r>
      <w:proofErr w:type="spellEnd"/>
      <w:r w:rsidR="00D03AD3" w:rsidRPr="00001F7B">
        <w:rPr>
          <w:rFonts w:cstheme="minorHAnsi"/>
        </w:rPr>
        <w:t>,</w:t>
      </w:r>
      <w:r w:rsidRPr="00001F7B">
        <w:rPr>
          <w:rFonts w:cstheme="minorHAnsi"/>
        </w:rPr>
        <w:t xml:space="preserve"> p</w:t>
      </w:r>
      <w:r w:rsidR="00D03AD3" w:rsidRPr="00001F7B">
        <w:rPr>
          <w:rFonts w:cstheme="minorHAnsi"/>
        </w:rPr>
        <w:t xml:space="preserve"> </w:t>
      </w:r>
      <w:r w:rsidRPr="00001F7B">
        <w:rPr>
          <w:rFonts w:cstheme="minorHAnsi"/>
        </w:rPr>
        <w:t>402.</w:t>
      </w:r>
      <w:r w:rsidR="006D68B0" w:rsidRPr="00001F7B">
        <w:rPr>
          <w:rFonts w:cstheme="minorHAnsi"/>
        </w:rPr>
        <w:t xml:space="preserve"> </w:t>
      </w:r>
      <w:r w:rsidR="00D03AD3" w:rsidRPr="00001F7B">
        <w:rPr>
          <w:rFonts w:cstheme="minorHAnsi"/>
        </w:rPr>
        <w:t>H</w:t>
      </w:r>
      <w:r w:rsidR="006D68B0" w:rsidRPr="00001F7B">
        <w:rPr>
          <w:rFonts w:cstheme="minorHAnsi"/>
        </w:rPr>
        <w:t>e goes on to say: “The assumption seems to be that where an issue is covered in a commentary or explanatory report in a way which shows clearly the collective intention of those who drew up the treat</w:t>
      </w:r>
      <w:r w:rsidR="00397290" w:rsidRPr="00001F7B">
        <w:rPr>
          <w:rFonts w:cstheme="minorHAnsi"/>
        </w:rPr>
        <w:t>y</w:t>
      </w:r>
      <w:r w:rsidR="006D68B0" w:rsidRPr="00001F7B">
        <w:rPr>
          <w:rFonts w:cstheme="minorHAnsi"/>
        </w:rPr>
        <w:t xml:space="preserve">, this will be recognised as an aid to correct interpretation.” He cites Lord Steyn in </w:t>
      </w:r>
      <w:r w:rsidR="006D68B0" w:rsidRPr="00001F7B">
        <w:rPr>
          <w:rFonts w:cstheme="minorHAnsi"/>
          <w:i/>
          <w:iCs/>
        </w:rPr>
        <w:t xml:space="preserve">ex </w:t>
      </w:r>
      <w:proofErr w:type="spellStart"/>
      <w:r w:rsidR="006D68B0" w:rsidRPr="00001F7B">
        <w:rPr>
          <w:rFonts w:cstheme="minorHAnsi"/>
          <w:i/>
          <w:iCs/>
        </w:rPr>
        <w:t>parte</w:t>
      </w:r>
      <w:proofErr w:type="spellEnd"/>
      <w:r w:rsidR="006D68B0" w:rsidRPr="00001F7B">
        <w:rPr>
          <w:rFonts w:cstheme="minorHAnsi"/>
          <w:i/>
          <w:iCs/>
        </w:rPr>
        <w:t xml:space="preserve"> Mullen</w:t>
      </w:r>
      <w:r w:rsidR="006D68B0" w:rsidRPr="00001F7B">
        <w:rPr>
          <w:rFonts w:cstheme="minorHAnsi"/>
        </w:rPr>
        <w:t xml:space="preserve"> [2004] UKHL</w:t>
      </w:r>
      <w:r w:rsidR="002967EC" w:rsidRPr="00001F7B">
        <w:rPr>
          <w:rFonts w:cstheme="minorHAnsi"/>
        </w:rPr>
        <w:t xml:space="preserve"> 18, [2005] 1 AC 1. He notes </w:t>
      </w:r>
      <w:r w:rsidR="00397290" w:rsidRPr="00001F7B">
        <w:rPr>
          <w:rFonts w:cstheme="minorHAnsi"/>
        </w:rPr>
        <w:t xml:space="preserve">(p 402) </w:t>
      </w:r>
      <w:r w:rsidR="002967EC" w:rsidRPr="00001F7B">
        <w:rPr>
          <w:rFonts w:cstheme="minorHAnsi"/>
        </w:rPr>
        <w:t>that commentaries written by independent experts may assume a role of almost equal valu</w:t>
      </w:r>
      <w:r w:rsidR="00397290" w:rsidRPr="00001F7B">
        <w:rPr>
          <w:rFonts w:cstheme="minorHAnsi"/>
        </w:rPr>
        <w:t>e</w:t>
      </w:r>
      <w:r w:rsidR="002967EC" w:rsidRPr="00001F7B">
        <w:rPr>
          <w:rFonts w:cstheme="minorHAnsi"/>
        </w:rPr>
        <w:t>. It seems that Loewe’s commentary on CMR has neither status and has received varying attention by the courts.</w:t>
      </w:r>
    </w:p>
  </w:footnote>
  <w:footnote w:id="227">
    <w:p w14:paraId="422C09F1" w14:textId="10962E79" w:rsidR="002967EC" w:rsidRPr="00001F7B" w:rsidRDefault="002967EC">
      <w:pPr>
        <w:pStyle w:val="FootnoteText"/>
        <w:rPr>
          <w:rFonts w:cstheme="minorHAnsi"/>
        </w:rPr>
      </w:pPr>
      <w:r w:rsidRPr="00001F7B">
        <w:rPr>
          <w:rStyle w:val="FootnoteReference"/>
          <w:rFonts w:cstheme="minorHAnsi"/>
        </w:rPr>
        <w:footnoteRef/>
      </w:r>
      <w:r w:rsidRPr="00001F7B">
        <w:rPr>
          <w:rFonts w:cstheme="minorHAnsi"/>
        </w:rPr>
        <w:t xml:space="preserve"> Gardiner, </w:t>
      </w:r>
      <w:r w:rsidR="00EF4467" w:rsidRPr="00001F7B">
        <w:rPr>
          <w:rFonts w:cstheme="minorHAnsi"/>
          <w:i/>
          <w:iCs/>
        </w:rPr>
        <w:t xml:space="preserve">op </w:t>
      </w:r>
      <w:proofErr w:type="spellStart"/>
      <w:r w:rsidR="00EF4467" w:rsidRPr="00001F7B">
        <w:rPr>
          <w:rFonts w:cstheme="minorHAnsi"/>
          <w:i/>
          <w:iCs/>
        </w:rPr>
        <w:t>cit</w:t>
      </w:r>
      <w:proofErr w:type="spellEnd"/>
      <w:r w:rsidR="00EF4467" w:rsidRPr="00001F7B">
        <w:rPr>
          <w:rFonts w:cstheme="minorHAnsi"/>
        </w:rPr>
        <w:t xml:space="preserve">, </w:t>
      </w:r>
      <w:r w:rsidRPr="00001F7B">
        <w:rPr>
          <w:rFonts w:cstheme="minorHAnsi"/>
        </w:rPr>
        <w:t xml:space="preserve">p 404 </w:t>
      </w:r>
      <w:r w:rsidR="003C6626" w:rsidRPr="00001F7B">
        <w:rPr>
          <w:rFonts w:cstheme="minorHAnsi"/>
        </w:rPr>
        <w:t>“There are few references in case law linking material considered in judgements, decisions, and awards to supplementary means other than preparatory work and circumstances of conclusion</w:t>
      </w:r>
      <w:r w:rsidR="00EF4467" w:rsidRPr="00001F7B">
        <w:rPr>
          <w:rFonts w:cstheme="minorHAnsi"/>
        </w:rPr>
        <w:t>.</w:t>
      </w:r>
      <w:r w:rsidR="003C6626" w:rsidRPr="00001F7B">
        <w:rPr>
          <w:rFonts w:cstheme="minorHAnsi"/>
        </w:rPr>
        <w:t>”</w:t>
      </w:r>
    </w:p>
  </w:footnote>
  <w:footnote w:id="228">
    <w:p w14:paraId="781E3AE9" w14:textId="10DC5DC9" w:rsidR="003C6626" w:rsidRPr="00001F7B" w:rsidRDefault="003C6626">
      <w:pPr>
        <w:pStyle w:val="FootnoteText"/>
        <w:rPr>
          <w:rFonts w:cstheme="minorHAnsi"/>
        </w:rPr>
      </w:pPr>
      <w:r w:rsidRPr="00001F7B">
        <w:rPr>
          <w:rStyle w:val="FootnoteReference"/>
          <w:rFonts w:cstheme="minorHAnsi"/>
        </w:rPr>
        <w:footnoteRef/>
      </w:r>
      <w:r w:rsidRPr="00001F7B">
        <w:rPr>
          <w:rFonts w:cstheme="minorHAnsi"/>
        </w:rPr>
        <w:t xml:space="preserve"> </w:t>
      </w:r>
      <w:r w:rsidR="00EF4467" w:rsidRPr="00001F7B">
        <w:rPr>
          <w:rFonts w:cstheme="minorHAnsi"/>
        </w:rPr>
        <w:t xml:space="preserve">Above, </w:t>
      </w:r>
      <w:proofErr w:type="spellStart"/>
      <w:r w:rsidR="00EF4467" w:rsidRPr="00001F7B">
        <w:rPr>
          <w:rFonts w:cstheme="minorHAnsi"/>
        </w:rPr>
        <w:t>fn</w:t>
      </w:r>
      <w:proofErr w:type="spellEnd"/>
      <w:r w:rsidR="00EF4467" w:rsidRPr="00001F7B">
        <w:rPr>
          <w:rFonts w:cstheme="minorHAnsi"/>
        </w:rPr>
        <w:t xml:space="preserve"> </w:t>
      </w:r>
      <w:r w:rsidR="0060194F" w:rsidRPr="00001F7B">
        <w:rPr>
          <w:rFonts w:cstheme="minorHAnsi"/>
        </w:rPr>
        <w:t>5</w:t>
      </w:r>
      <w:r w:rsidR="00EF4467" w:rsidRPr="00001F7B">
        <w:rPr>
          <w:rFonts w:cstheme="minorHAnsi"/>
        </w:rPr>
        <w:t xml:space="preserve">, p </w:t>
      </w:r>
      <w:r w:rsidRPr="00001F7B">
        <w:rPr>
          <w:rFonts w:cstheme="minorHAnsi"/>
        </w:rPr>
        <w:t xml:space="preserve">404 </w:t>
      </w:r>
      <w:r w:rsidRPr="00001F7B">
        <w:rPr>
          <w:rFonts w:cstheme="minorHAnsi"/>
          <w:i/>
          <w:iCs/>
        </w:rPr>
        <w:t>et</w:t>
      </w:r>
      <w:r w:rsidR="009761AC" w:rsidRPr="00001F7B">
        <w:rPr>
          <w:rFonts w:cstheme="minorHAnsi"/>
          <w:i/>
          <w:iCs/>
        </w:rPr>
        <w:t xml:space="preserve"> </w:t>
      </w:r>
      <w:r w:rsidRPr="00001F7B">
        <w:rPr>
          <w:rFonts w:cstheme="minorHAnsi"/>
          <w:i/>
          <w:iCs/>
        </w:rPr>
        <w:t>seq</w:t>
      </w:r>
      <w:r w:rsidR="00EF4467" w:rsidRPr="00001F7B">
        <w:rPr>
          <w:rFonts w:cstheme="minorHAnsi"/>
        </w:rPr>
        <w:t>.</w:t>
      </w:r>
      <w:r w:rsidR="006F4A65" w:rsidRPr="00001F7B">
        <w:rPr>
          <w:rFonts w:cstheme="minorHAnsi"/>
        </w:rPr>
        <w:t xml:space="preserve"> He notes that </w:t>
      </w:r>
      <w:proofErr w:type="spellStart"/>
      <w:r w:rsidR="006F4A65" w:rsidRPr="00001F7B">
        <w:rPr>
          <w:rFonts w:cstheme="minorHAnsi"/>
        </w:rPr>
        <w:t>Aust</w:t>
      </w:r>
      <w:proofErr w:type="spellEnd"/>
      <w:r w:rsidR="006F4A65" w:rsidRPr="00001F7B">
        <w:rPr>
          <w:rFonts w:cstheme="minorHAnsi"/>
        </w:rPr>
        <w:t xml:space="preserve">, </w:t>
      </w:r>
      <w:r w:rsidR="006F4A65" w:rsidRPr="00001F7B">
        <w:rPr>
          <w:rFonts w:cstheme="minorHAnsi"/>
          <w:i/>
          <w:iCs/>
        </w:rPr>
        <w:t>Modern treaty Law and Practice</w:t>
      </w:r>
      <w:r w:rsidR="0060194F" w:rsidRPr="00001F7B">
        <w:rPr>
          <w:rFonts w:cstheme="minorHAnsi"/>
        </w:rPr>
        <w:t xml:space="preserve"> (</w:t>
      </w:r>
      <w:r w:rsidR="006F4A65" w:rsidRPr="00001F7B">
        <w:rPr>
          <w:rFonts w:cstheme="minorHAnsi"/>
        </w:rPr>
        <w:t xml:space="preserve"> </w:t>
      </w:r>
      <w:r w:rsidR="0060194F" w:rsidRPr="00001F7B">
        <w:rPr>
          <w:rFonts w:cstheme="minorHAnsi"/>
        </w:rPr>
        <w:t xml:space="preserve">above, </w:t>
      </w:r>
      <w:proofErr w:type="spellStart"/>
      <w:r w:rsidR="0060194F" w:rsidRPr="00001F7B">
        <w:rPr>
          <w:rFonts w:cstheme="minorHAnsi"/>
        </w:rPr>
        <w:t>fn</w:t>
      </w:r>
      <w:proofErr w:type="spellEnd"/>
      <w:r w:rsidR="0060194F" w:rsidRPr="00001F7B">
        <w:rPr>
          <w:rFonts w:cstheme="minorHAnsi"/>
        </w:rPr>
        <w:t xml:space="preserve"> 199) </w:t>
      </w:r>
      <w:r w:rsidR="00E00C80" w:rsidRPr="00001F7B">
        <w:rPr>
          <w:rFonts w:cstheme="minorHAnsi"/>
        </w:rPr>
        <w:t xml:space="preserve">considers them as supplementary means. See the text to n 74 of </w:t>
      </w:r>
      <w:proofErr w:type="spellStart"/>
      <w:r w:rsidR="00E00C80" w:rsidRPr="00001F7B">
        <w:rPr>
          <w:rFonts w:cstheme="minorHAnsi"/>
        </w:rPr>
        <w:t>ch</w:t>
      </w:r>
      <w:proofErr w:type="spellEnd"/>
      <w:r w:rsidR="00E00C80" w:rsidRPr="00001F7B">
        <w:rPr>
          <w:rFonts w:cstheme="minorHAnsi"/>
        </w:rPr>
        <w:t xml:space="preserve"> 13 (Interpretation) in </w:t>
      </w:r>
      <w:proofErr w:type="spellStart"/>
      <w:r w:rsidR="00E00C80" w:rsidRPr="00001F7B">
        <w:rPr>
          <w:rFonts w:cstheme="minorHAnsi"/>
        </w:rPr>
        <w:t>Aust</w:t>
      </w:r>
      <w:proofErr w:type="spellEnd"/>
      <w:r w:rsidR="00E00C80" w:rsidRPr="00001F7B">
        <w:rPr>
          <w:rFonts w:cstheme="minorHAnsi"/>
        </w:rPr>
        <w:t xml:space="preserve"> where a complete list is provided.</w:t>
      </w:r>
    </w:p>
  </w:footnote>
  <w:footnote w:id="229">
    <w:p w14:paraId="3BB08F0F" w14:textId="70C51DB5" w:rsidR="00D91575" w:rsidRPr="00001F7B" w:rsidRDefault="00D91575">
      <w:pPr>
        <w:pStyle w:val="FootnoteText"/>
        <w:rPr>
          <w:rFonts w:cstheme="minorHAnsi"/>
        </w:rPr>
      </w:pPr>
      <w:r w:rsidRPr="00001F7B">
        <w:rPr>
          <w:rStyle w:val="FootnoteReference"/>
          <w:rFonts w:cstheme="minorHAnsi"/>
        </w:rPr>
        <w:footnoteRef/>
      </w:r>
      <w:r w:rsidRPr="00001F7B">
        <w:rPr>
          <w:rFonts w:cstheme="minorHAnsi"/>
        </w:rPr>
        <w:t xml:space="preserve"> </w:t>
      </w:r>
      <w:r w:rsidR="00EF4467" w:rsidRPr="00001F7B">
        <w:rPr>
          <w:rFonts w:cstheme="minorHAnsi"/>
          <w:i/>
          <w:iCs/>
        </w:rPr>
        <w:t xml:space="preserve">Op </w:t>
      </w:r>
      <w:proofErr w:type="spellStart"/>
      <w:r w:rsidR="00EF4467" w:rsidRPr="00001F7B">
        <w:rPr>
          <w:rFonts w:cstheme="minorHAnsi"/>
          <w:i/>
          <w:iCs/>
        </w:rPr>
        <w:t>cit</w:t>
      </w:r>
      <w:proofErr w:type="spellEnd"/>
      <w:r w:rsidR="00EF4467" w:rsidRPr="00001F7B">
        <w:rPr>
          <w:rFonts w:cstheme="minorHAnsi"/>
        </w:rPr>
        <w:t>, p</w:t>
      </w:r>
      <w:r w:rsidRPr="00001F7B">
        <w:rPr>
          <w:rFonts w:cstheme="minorHAnsi"/>
        </w:rPr>
        <w:t xml:space="preserve"> 405, citing Waldock, </w:t>
      </w:r>
      <w:r w:rsidR="009761AC" w:rsidRPr="00001F7B">
        <w:rPr>
          <w:rFonts w:cstheme="minorHAnsi"/>
        </w:rPr>
        <w:t xml:space="preserve">1964 ILC, </w:t>
      </w:r>
      <w:r w:rsidR="00A20FA5" w:rsidRPr="00001F7B">
        <w:rPr>
          <w:rFonts w:cstheme="minorHAnsi"/>
        </w:rPr>
        <w:t xml:space="preserve">above, </w:t>
      </w:r>
      <w:proofErr w:type="spellStart"/>
      <w:r w:rsidR="00A20FA5" w:rsidRPr="00001F7B">
        <w:rPr>
          <w:rFonts w:cstheme="minorHAnsi"/>
        </w:rPr>
        <w:t>fn</w:t>
      </w:r>
      <w:proofErr w:type="spellEnd"/>
      <w:r w:rsidR="00A20FA5" w:rsidRPr="00001F7B">
        <w:rPr>
          <w:rFonts w:cstheme="minorHAnsi"/>
        </w:rPr>
        <w:t xml:space="preserve"> </w:t>
      </w:r>
      <w:r w:rsidR="0060194F" w:rsidRPr="00001F7B">
        <w:rPr>
          <w:rFonts w:cstheme="minorHAnsi"/>
        </w:rPr>
        <w:t>39</w:t>
      </w:r>
      <w:r w:rsidR="00A20FA5" w:rsidRPr="00001F7B">
        <w:rPr>
          <w:rFonts w:cstheme="minorHAnsi"/>
        </w:rPr>
        <w:t xml:space="preserve">, </w:t>
      </w:r>
      <w:r w:rsidR="009761AC" w:rsidRPr="00001F7B">
        <w:rPr>
          <w:rFonts w:cstheme="minorHAnsi"/>
        </w:rPr>
        <w:t>p 54 paras 5-6.</w:t>
      </w:r>
      <w:r w:rsidR="00A20FA5" w:rsidRPr="00001F7B">
        <w:rPr>
          <w:rFonts w:cstheme="minorHAnsi"/>
        </w:rPr>
        <w:t xml:space="preserve"> See also 1966 Commentary, above, </w:t>
      </w:r>
      <w:proofErr w:type="spellStart"/>
      <w:r w:rsidR="00A20FA5" w:rsidRPr="00001F7B">
        <w:rPr>
          <w:rFonts w:cstheme="minorHAnsi"/>
        </w:rPr>
        <w:t>fn</w:t>
      </w:r>
      <w:proofErr w:type="spellEnd"/>
      <w:r w:rsidR="00A20FA5" w:rsidRPr="00001F7B">
        <w:rPr>
          <w:rFonts w:cstheme="minorHAnsi"/>
        </w:rPr>
        <w:t xml:space="preserve"> </w:t>
      </w:r>
      <w:r w:rsidR="0060194F" w:rsidRPr="00001F7B">
        <w:rPr>
          <w:rFonts w:cstheme="minorHAnsi"/>
        </w:rPr>
        <w:t>38</w:t>
      </w:r>
      <w:r w:rsidR="00A20FA5" w:rsidRPr="00001F7B">
        <w:rPr>
          <w:rFonts w:cstheme="minorHAnsi"/>
        </w:rPr>
        <w:t>, p 218, para</w:t>
      </w:r>
      <w:r w:rsidR="00DF0AF9" w:rsidRPr="00001F7B">
        <w:rPr>
          <w:rFonts w:cstheme="minorHAnsi"/>
        </w:rPr>
        <w:t>s</w:t>
      </w:r>
      <w:r w:rsidR="00A20FA5" w:rsidRPr="00001F7B">
        <w:rPr>
          <w:rFonts w:cstheme="minorHAnsi"/>
        </w:rPr>
        <w:t xml:space="preserve"> 4</w:t>
      </w:r>
      <w:r w:rsidR="00DF0AF9" w:rsidRPr="00001F7B">
        <w:rPr>
          <w:rFonts w:cstheme="minorHAnsi"/>
        </w:rPr>
        <w:t>-5, rejecting the attempt to codify principles and maxims in international practice whose appropriateness in any given case depends on the particular context and on a subjective appreciation of varying circumstances.</w:t>
      </w:r>
    </w:p>
  </w:footnote>
  <w:footnote w:id="230">
    <w:p w14:paraId="5AF01837" w14:textId="2808C7D1" w:rsidR="00D8720E" w:rsidRPr="00001F7B" w:rsidRDefault="00D8720E">
      <w:pPr>
        <w:pStyle w:val="FootnoteText"/>
        <w:rPr>
          <w:rFonts w:cstheme="minorHAnsi"/>
        </w:rPr>
      </w:pPr>
      <w:r w:rsidRPr="00001F7B">
        <w:rPr>
          <w:rStyle w:val="FootnoteReference"/>
          <w:rFonts w:cstheme="minorHAnsi"/>
        </w:rPr>
        <w:footnoteRef/>
      </w:r>
      <w:r w:rsidRPr="00001F7B">
        <w:rPr>
          <w:rFonts w:cstheme="minorHAnsi"/>
        </w:rPr>
        <w:t xml:space="preserve"> </w:t>
      </w:r>
      <w:r w:rsidR="00EF4467" w:rsidRPr="00001F7B">
        <w:rPr>
          <w:rFonts w:cstheme="minorHAnsi"/>
          <w:i/>
          <w:iCs/>
        </w:rPr>
        <w:t xml:space="preserve">Op </w:t>
      </w:r>
      <w:proofErr w:type="spellStart"/>
      <w:r w:rsidR="00EF4467" w:rsidRPr="00001F7B">
        <w:rPr>
          <w:rFonts w:cstheme="minorHAnsi"/>
          <w:i/>
          <w:iCs/>
        </w:rPr>
        <w:t>cit</w:t>
      </w:r>
      <w:proofErr w:type="spellEnd"/>
      <w:r w:rsidR="00EF4467" w:rsidRPr="00001F7B">
        <w:rPr>
          <w:rFonts w:cstheme="minorHAnsi"/>
        </w:rPr>
        <w:t xml:space="preserve">, p </w:t>
      </w:r>
      <w:r w:rsidRPr="00001F7B">
        <w:rPr>
          <w:rFonts w:cstheme="minorHAnsi"/>
        </w:rPr>
        <w:t>400.</w:t>
      </w:r>
      <w:r w:rsidR="00177BDC" w:rsidRPr="00001F7B">
        <w:rPr>
          <w:rFonts w:cstheme="minorHAnsi"/>
        </w:rPr>
        <w:t xml:space="preserve"> This possibility has already been linked to the application of art 31.3(c} (above</w:t>
      </w:r>
      <w:r w:rsidR="00E20F8B" w:rsidRPr="00001F7B">
        <w:rPr>
          <w:rFonts w:cstheme="minorHAnsi"/>
        </w:rPr>
        <w:t>,</w:t>
      </w:r>
      <w:r w:rsidR="00177BDC" w:rsidRPr="00001F7B">
        <w:rPr>
          <w:rFonts w:cstheme="minorHAnsi"/>
        </w:rPr>
        <w:t xml:space="preserve"> p </w:t>
      </w:r>
      <w:r w:rsidR="00E20F8B" w:rsidRPr="00001F7B">
        <w:rPr>
          <w:rFonts w:cstheme="minorHAnsi"/>
        </w:rPr>
        <w:t>27)</w:t>
      </w:r>
      <w:r w:rsidR="00177BDC" w:rsidRPr="00001F7B">
        <w:rPr>
          <w:rFonts w:cstheme="minorHAnsi"/>
        </w:rPr>
        <w:t xml:space="preserve"> but could equally fall within supplementary means. </w:t>
      </w:r>
    </w:p>
  </w:footnote>
  <w:footnote w:id="231">
    <w:p w14:paraId="776293A0" w14:textId="552B43DA" w:rsidR="00CE23EB" w:rsidRPr="00001F7B" w:rsidRDefault="00CE23EB">
      <w:pPr>
        <w:pStyle w:val="FootnoteText"/>
        <w:rPr>
          <w:rFonts w:cstheme="minorHAnsi"/>
        </w:rPr>
      </w:pPr>
      <w:r w:rsidRPr="00001F7B">
        <w:rPr>
          <w:rStyle w:val="FootnoteReference"/>
          <w:rFonts w:cstheme="minorHAnsi"/>
        </w:rPr>
        <w:footnoteRef/>
      </w:r>
      <w:r w:rsidRPr="00001F7B">
        <w:rPr>
          <w:rFonts w:cstheme="minorHAnsi"/>
        </w:rPr>
        <w:t xml:space="preserve"> </w:t>
      </w:r>
      <w:r w:rsidR="004D47E1" w:rsidRPr="00001F7B">
        <w:rPr>
          <w:rFonts w:cstheme="minorHAnsi"/>
        </w:rPr>
        <w:t>A partial a</w:t>
      </w:r>
      <w:r w:rsidR="00B65FBB" w:rsidRPr="00001F7B">
        <w:rPr>
          <w:rFonts w:cstheme="minorHAnsi"/>
        </w:rPr>
        <w:t>nswer m</w:t>
      </w:r>
      <w:r w:rsidR="004D47E1" w:rsidRPr="00001F7B">
        <w:rPr>
          <w:rFonts w:cstheme="minorHAnsi"/>
        </w:rPr>
        <w:t>ight</w:t>
      </w:r>
      <w:r w:rsidR="00B65FBB" w:rsidRPr="00001F7B">
        <w:rPr>
          <w:rFonts w:cstheme="minorHAnsi"/>
        </w:rPr>
        <w:t xml:space="preserve"> perhaps be given to the point made by </w:t>
      </w:r>
      <w:proofErr w:type="spellStart"/>
      <w:r w:rsidRPr="00001F7B">
        <w:rPr>
          <w:rFonts w:cstheme="minorHAnsi"/>
        </w:rPr>
        <w:t>Basedow</w:t>
      </w:r>
      <w:proofErr w:type="spellEnd"/>
      <w:r w:rsidRPr="00001F7B">
        <w:rPr>
          <w:rFonts w:cstheme="minorHAnsi"/>
        </w:rPr>
        <w:t xml:space="preserve">, </w:t>
      </w:r>
      <w:r w:rsidR="00F4747D" w:rsidRPr="00001F7B">
        <w:rPr>
          <w:rFonts w:cstheme="minorHAnsi"/>
        </w:rPr>
        <w:t xml:space="preserve">above, </w:t>
      </w:r>
      <w:proofErr w:type="spellStart"/>
      <w:r w:rsidR="00F4747D" w:rsidRPr="00001F7B">
        <w:rPr>
          <w:rFonts w:cstheme="minorHAnsi"/>
        </w:rPr>
        <w:t>fn</w:t>
      </w:r>
      <w:proofErr w:type="spellEnd"/>
      <w:r w:rsidR="00F4747D" w:rsidRPr="00001F7B">
        <w:rPr>
          <w:rFonts w:cstheme="minorHAnsi"/>
        </w:rPr>
        <w:t xml:space="preserve"> </w:t>
      </w:r>
      <w:r w:rsidR="00E20F8B" w:rsidRPr="00001F7B">
        <w:rPr>
          <w:rFonts w:cstheme="minorHAnsi"/>
        </w:rPr>
        <w:t>8</w:t>
      </w:r>
      <w:r w:rsidR="00F4747D" w:rsidRPr="00001F7B">
        <w:rPr>
          <w:rFonts w:cstheme="minorHAnsi"/>
        </w:rPr>
        <w:t>, at p 744 that the Rules involve micro-systematic interpretation</w:t>
      </w:r>
      <w:r w:rsidR="00B65FBB" w:rsidRPr="00001F7B">
        <w:rPr>
          <w:rFonts w:cstheme="minorHAnsi"/>
        </w:rPr>
        <w:t xml:space="preserve"> rather than</w:t>
      </w:r>
      <w:r w:rsidR="00F4747D" w:rsidRPr="00001F7B">
        <w:rPr>
          <w:rFonts w:cstheme="minorHAnsi"/>
        </w:rPr>
        <w:t xml:space="preserve"> </w:t>
      </w:r>
      <w:r w:rsidR="00B65FBB" w:rsidRPr="00001F7B">
        <w:rPr>
          <w:rFonts w:cstheme="minorHAnsi"/>
        </w:rPr>
        <w:t>macro</w:t>
      </w:r>
      <w:r w:rsidR="00E20F8B" w:rsidRPr="00001F7B">
        <w:rPr>
          <w:rFonts w:cstheme="minorHAnsi"/>
        </w:rPr>
        <w:t>-</w:t>
      </w:r>
      <w:r w:rsidR="00F4747D" w:rsidRPr="00001F7B">
        <w:rPr>
          <w:rFonts w:cstheme="minorHAnsi"/>
        </w:rPr>
        <w:t>systematic or inter</w:t>
      </w:r>
      <w:r w:rsidR="00E20F8B" w:rsidRPr="00001F7B">
        <w:rPr>
          <w:rFonts w:cstheme="minorHAnsi"/>
        </w:rPr>
        <w:t>-</w:t>
      </w:r>
      <w:r w:rsidR="00F4747D" w:rsidRPr="00001F7B">
        <w:rPr>
          <w:rFonts w:cstheme="minorHAnsi"/>
        </w:rPr>
        <w:t>conventional interpretation which would have recourse</w:t>
      </w:r>
      <w:r w:rsidR="00B65FBB" w:rsidRPr="00001F7B">
        <w:rPr>
          <w:rFonts w:cstheme="minorHAnsi"/>
        </w:rPr>
        <w:t xml:space="preserve"> </w:t>
      </w:r>
      <w:r w:rsidR="00F4747D" w:rsidRPr="00001F7B">
        <w:rPr>
          <w:rFonts w:cstheme="minorHAnsi"/>
        </w:rPr>
        <w:t>to other conventions in the same area of the law. Such macro-systematic interpretation is neither prescribed nor prohibited; it is left to the further development of the law.</w:t>
      </w:r>
      <w:r w:rsidR="00754016" w:rsidRPr="00001F7B">
        <w:rPr>
          <w:rFonts w:cstheme="minorHAnsi"/>
        </w:rPr>
        <w:t xml:space="preserve"> </w:t>
      </w:r>
      <w:r w:rsidR="00E20F8B" w:rsidRPr="00001F7B">
        <w:rPr>
          <w:rFonts w:cstheme="minorHAnsi"/>
        </w:rPr>
        <w:t>However, i</w:t>
      </w:r>
      <w:r w:rsidR="00754016" w:rsidRPr="00001F7B">
        <w:rPr>
          <w:rFonts w:cstheme="minorHAnsi"/>
        </w:rPr>
        <w:t>f art 31.3(c)</w:t>
      </w:r>
      <w:r w:rsidR="00B65FBB" w:rsidRPr="00001F7B">
        <w:rPr>
          <w:rFonts w:cstheme="minorHAnsi"/>
        </w:rPr>
        <w:t xml:space="preserve"> </w:t>
      </w:r>
      <w:r w:rsidR="00754016" w:rsidRPr="00001F7B">
        <w:rPr>
          <w:rFonts w:cstheme="minorHAnsi"/>
        </w:rPr>
        <w:t>applies to them then they will have to be taken into account.</w:t>
      </w:r>
      <w:r w:rsidR="004D47E1" w:rsidRPr="00001F7B">
        <w:rPr>
          <w:rFonts w:cstheme="minorHAnsi"/>
        </w:rPr>
        <w:t xml:space="preserve"> </w:t>
      </w:r>
    </w:p>
  </w:footnote>
  <w:footnote w:id="232">
    <w:p w14:paraId="43B67AAE" w14:textId="748E5BD2" w:rsidR="00302FDA" w:rsidRPr="00001F7B" w:rsidRDefault="00302FDA">
      <w:pPr>
        <w:pStyle w:val="FootnoteText"/>
        <w:rPr>
          <w:rFonts w:cstheme="minorHAnsi"/>
        </w:rPr>
      </w:pPr>
      <w:r w:rsidRPr="00001F7B">
        <w:rPr>
          <w:rStyle w:val="FootnoteReference"/>
          <w:rFonts w:cstheme="minorHAnsi"/>
        </w:rPr>
        <w:footnoteRef/>
      </w:r>
      <w:r w:rsidRPr="00001F7B">
        <w:rPr>
          <w:rFonts w:cstheme="minorHAnsi"/>
        </w:rPr>
        <w:t xml:space="preserve"> See </w:t>
      </w:r>
      <w:r w:rsidR="005726AD" w:rsidRPr="00001F7B">
        <w:rPr>
          <w:rFonts w:cstheme="minorHAnsi"/>
        </w:rPr>
        <w:t>e.g.,</w:t>
      </w:r>
      <w:r w:rsidRPr="00001F7B">
        <w:rPr>
          <w:rFonts w:cstheme="minorHAnsi"/>
        </w:rPr>
        <w:t xml:space="preserve"> the discussion of straight bills of lading at p 9 of the Review of UK Law</w:t>
      </w:r>
      <w:r w:rsidR="001864C1" w:rsidRPr="00001F7B">
        <w:rPr>
          <w:rFonts w:cstheme="minorHAnsi"/>
        </w:rPr>
        <w:t xml:space="preserve"> in the Annex Folder</w:t>
      </w:r>
      <w:r w:rsidRPr="00001F7B">
        <w:rPr>
          <w:rFonts w:cstheme="minorHAnsi"/>
        </w:rPr>
        <w:t>.</w:t>
      </w:r>
    </w:p>
  </w:footnote>
  <w:footnote w:id="233">
    <w:p w14:paraId="1D5D92B6" w14:textId="1D776090" w:rsidR="00667B2B" w:rsidRPr="00001F7B" w:rsidRDefault="00667B2B" w:rsidP="00C47B62">
      <w:pPr>
        <w:pStyle w:val="FootnoteText"/>
        <w:rPr>
          <w:rFonts w:cstheme="minorHAnsi"/>
        </w:rPr>
      </w:pPr>
      <w:r w:rsidRPr="00001F7B">
        <w:rPr>
          <w:rStyle w:val="FootnoteReference"/>
          <w:rFonts w:cstheme="minorHAnsi"/>
        </w:rPr>
        <w:footnoteRef/>
      </w:r>
      <w:r w:rsidRPr="00001F7B">
        <w:rPr>
          <w:rFonts w:cstheme="minorHAnsi"/>
        </w:rPr>
        <w:t xml:space="preserve"> Which makes each text equally authoritative. If one of the texts were to be given priority it would be the authoritative text whilst bot</w:t>
      </w:r>
      <w:r w:rsidR="00742A29" w:rsidRPr="00001F7B">
        <w:rPr>
          <w:rFonts w:cstheme="minorHAnsi"/>
        </w:rPr>
        <w:t>h</w:t>
      </w:r>
      <w:r w:rsidRPr="00001F7B">
        <w:rPr>
          <w:rFonts w:cstheme="minorHAnsi"/>
        </w:rPr>
        <w:t xml:space="preserve"> woul</w:t>
      </w:r>
      <w:r w:rsidR="00742A29" w:rsidRPr="00001F7B">
        <w:rPr>
          <w:rFonts w:cstheme="minorHAnsi"/>
        </w:rPr>
        <w:t>d b</w:t>
      </w:r>
      <w:r w:rsidRPr="00001F7B">
        <w:rPr>
          <w:rFonts w:cstheme="minorHAnsi"/>
        </w:rPr>
        <w:t>e authentic.</w:t>
      </w:r>
      <w:r w:rsidR="00742A29" w:rsidRPr="00001F7B">
        <w:rPr>
          <w:rFonts w:cstheme="minorHAnsi"/>
        </w:rPr>
        <w:t xml:space="preserve"> </w:t>
      </w:r>
      <w:r w:rsidR="003A50A4" w:rsidRPr="00001F7B">
        <w:rPr>
          <w:rFonts w:cstheme="minorHAnsi"/>
        </w:rPr>
        <w:t xml:space="preserve">In the 1966 Commentary </w:t>
      </w:r>
      <w:r w:rsidR="001864C1" w:rsidRPr="00001F7B">
        <w:rPr>
          <w:rFonts w:cstheme="minorHAnsi"/>
        </w:rPr>
        <w:t>(</w:t>
      </w:r>
      <w:r w:rsidR="003A50A4" w:rsidRPr="00001F7B">
        <w:rPr>
          <w:rFonts w:cstheme="minorHAnsi"/>
        </w:rPr>
        <w:t xml:space="preserve">above, </w:t>
      </w:r>
      <w:proofErr w:type="spellStart"/>
      <w:r w:rsidR="003A50A4" w:rsidRPr="00001F7B">
        <w:rPr>
          <w:rFonts w:cstheme="minorHAnsi"/>
        </w:rPr>
        <w:t>fn</w:t>
      </w:r>
      <w:proofErr w:type="spellEnd"/>
      <w:r w:rsidR="003A50A4" w:rsidRPr="00001F7B">
        <w:rPr>
          <w:rFonts w:cstheme="minorHAnsi"/>
        </w:rPr>
        <w:t xml:space="preserve"> </w:t>
      </w:r>
      <w:r w:rsidR="00180246" w:rsidRPr="00001F7B">
        <w:rPr>
          <w:rFonts w:cstheme="minorHAnsi"/>
        </w:rPr>
        <w:t>38</w:t>
      </w:r>
      <w:r w:rsidR="001864C1" w:rsidRPr="00001F7B">
        <w:rPr>
          <w:rFonts w:cstheme="minorHAnsi"/>
        </w:rPr>
        <w:t>)</w:t>
      </w:r>
      <w:r w:rsidR="005726AD" w:rsidRPr="00001F7B">
        <w:rPr>
          <w:rFonts w:cstheme="minorHAnsi"/>
        </w:rPr>
        <w:t xml:space="preserve"> </w:t>
      </w:r>
      <w:r w:rsidR="003A50A4" w:rsidRPr="00001F7B">
        <w:rPr>
          <w:rFonts w:cstheme="minorHAnsi"/>
        </w:rPr>
        <w:t>t</w:t>
      </w:r>
      <w:r w:rsidR="00C47B62" w:rsidRPr="00001F7B">
        <w:rPr>
          <w:rFonts w:cstheme="minorHAnsi"/>
        </w:rPr>
        <w:t xml:space="preserve">he ILC indicated </w:t>
      </w:r>
      <w:r w:rsidR="003A50A4" w:rsidRPr="00001F7B">
        <w:rPr>
          <w:rFonts w:cstheme="minorHAnsi"/>
        </w:rPr>
        <w:t>(</w:t>
      </w:r>
      <w:r w:rsidR="00C47B62" w:rsidRPr="00001F7B">
        <w:rPr>
          <w:rFonts w:cstheme="minorHAnsi"/>
        </w:rPr>
        <w:t>p</w:t>
      </w:r>
      <w:r w:rsidR="003A50A4" w:rsidRPr="00001F7B">
        <w:rPr>
          <w:rFonts w:cstheme="minorHAnsi"/>
        </w:rPr>
        <w:t xml:space="preserve"> 2</w:t>
      </w:r>
      <w:r w:rsidR="00C47B62" w:rsidRPr="00001F7B">
        <w:rPr>
          <w:rFonts w:cstheme="minorHAnsi"/>
        </w:rPr>
        <w:t>26</w:t>
      </w:r>
      <w:r w:rsidR="00180246" w:rsidRPr="00001F7B">
        <w:rPr>
          <w:rFonts w:cstheme="minorHAnsi"/>
        </w:rPr>
        <w:t>,</w:t>
      </w:r>
      <w:r w:rsidR="00C47B62" w:rsidRPr="00001F7B">
        <w:rPr>
          <w:rFonts w:cstheme="minorHAnsi"/>
        </w:rPr>
        <w:t xml:space="preserve"> para 9</w:t>
      </w:r>
      <w:r w:rsidR="003A50A4" w:rsidRPr="00001F7B">
        <w:rPr>
          <w:rFonts w:cstheme="minorHAnsi"/>
        </w:rPr>
        <w:t>)</w:t>
      </w:r>
      <w:r w:rsidR="00C47B62" w:rsidRPr="00001F7B">
        <w:rPr>
          <w:rFonts w:cstheme="minorHAnsi"/>
        </w:rPr>
        <w:t xml:space="preserve"> that it did not think it appropriate to lay down any rule about recourse to non-authentic versions but noted that these are sometimes referred to for such light as they may throw on the matter. Arguably</w:t>
      </w:r>
      <w:r w:rsidR="008C565B" w:rsidRPr="00001F7B">
        <w:rPr>
          <w:rFonts w:cstheme="minorHAnsi"/>
        </w:rPr>
        <w:t xml:space="preserve"> reference to these </w:t>
      </w:r>
      <w:r w:rsidR="005B759C" w:rsidRPr="00001F7B">
        <w:rPr>
          <w:rFonts w:cstheme="minorHAnsi"/>
        </w:rPr>
        <w:t>c</w:t>
      </w:r>
      <w:r w:rsidR="008C565B" w:rsidRPr="00001F7B">
        <w:rPr>
          <w:rFonts w:cstheme="minorHAnsi"/>
        </w:rPr>
        <w:t>an be made as supplementary means under art 32.</w:t>
      </w:r>
    </w:p>
  </w:footnote>
  <w:footnote w:id="234">
    <w:p w14:paraId="06C7EB81" w14:textId="1AE5B116" w:rsidR="00C7492F" w:rsidRPr="00001F7B" w:rsidRDefault="00C7492F">
      <w:pPr>
        <w:pStyle w:val="FootnoteText"/>
        <w:rPr>
          <w:rFonts w:cstheme="minorHAnsi"/>
        </w:rPr>
      </w:pPr>
      <w:r w:rsidRPr="00001F7B">
        <w:rPr>
          <w:rStyle w:val="FootnoteReference"/>
          <w:rFonts w:cstheme="minorHAnsi"/>
        </w:rPr>
        <w:footnoteRef/>
      </w:r>
      <w:r w:rsidRPr="00001F7B">
        <w:rPr>
          <w:rFonts w:cstheme="minorHAnsi"/>
        </w:rPr>
        <w:t xml:space="preserve"> </w:t>
      </w:r>
      <w:r w:rsidR="007E3A46" w:rsidRPr="00001F7B">
        <w:rPr>
          <w:rFonts w:cstheme="minorHAnsi"/>
          <w:i/>
          <w:iCs/>
        </w:rPr>
        <w:t xml:space="preserve">Op </w:t>
      </w:r>
      <w:proofErr w:type="spellStart"/>
      <w:r w:rsidR="007E3A46" w:rsidRPr="00001F7B">
        <w:rPr>
          <w:rFonts w:cstheme="minorHAnsi"/>
          <w:i/>
          <w:iCs/>
        </w:rPr>
        <w:t>cit</w:t>
      </w:r>
      <w:proofErr w:type="spellEnd"/>
      <w:r w:rsidR="004A6C77" w:rsidRPr="00001F7B">
        <w:rPr>
          <w:rFonts w:cstheme="minorHAnsi"/>
        </w:rPr>
        <w:t xml:space="preserve"> p</w:t>
      </w:r>
      <w:r w:rsidR="007E3A46" w:rsidRPr="00001F7B">
        <w:rPr>
          <w:rFonts w:cstheme="minorHAnsi"/>
        </w:rPr>
        <w:t xml:space="preserve"> </w:t>
      </w:r>
      <w:r w:rsidR="007E5B00" w:rsidRPr="00001F7B">
        <w:rPr>
          <w:rFonts w:cstheme="minorHAnsi"/>
        </w:rPr>
        <w:t>225</w:t>
      </w:r>
      <w:r w:rsidR="007E3A46" w:rsidRPr="00001F7B">
        <w:rPr>
          <w:rFonts w:cstheme="minorHAnsi"/>
        </w:rPr>
        <w:t>,</w:t>
      </w:r>
      <w:r w:rsidR="007E5B00" w:rsidRPr="00001F7B">
        <w:rPr>
          <w:rFonts w:cstheme="minorHAnsi"/>
        </w:rPr>
        <w:t xml:space="preserve"> </w:t>
      </w:r>
      <w:r w:rsidR="004A6C77" w:rsidRPr="00001F7B">
        <w:rPr>
          <w:rFonts w:cstheme="minorHAnsi"/>
        </w:rPr>
        <w:t>para</w:t>
      </w:r>
      <w:r w:rsidR="007E3A46" w:rsidRPr="00001F7B">
        <w:rPr>
          <w:rFonts w:cstheme="minorHAnsi"/>
        </w:rPr>
        <w:t xml:space="preserve"> </w:t>
      </w:r>
      <w:r w:rsidR="004A6C77" w:rsidRPr="00001F7B">
        <w:rPr>
          <w:rFonts w:cstheme="minorHAnsi"/>
        </w:rPr>
        <w:t>6.</w:t>
      </w:r>
    </w:p>
  </w:footnote>
  <w:footnote w:id="235">
    <w:p w14:paraId="573FDEE3" w14:textId="6B91DF20" w:rsidR="00422F8E" w:rsidRPr="00001F7B" w:rsidRDefault="00422F8E">
      <w:pPr>
        <w:pStyle w:val="FootnoteText"/>
        <w:rPr>
          <w:rFonts w:cstheme="minorHAnsi"/>
        </w:rPr>
      </w:pPr>
      <w:r w:rsidRPr="00001F7B">
        <w:rPr>
          <w:rStyle w:val="FootnoteReference"/>
          <w:rFonts w:cstheme="minorHAnsi"/>
        </w:rPr>
        <w:footnoteRef/>
      </w:r>
      <w:r w:rsidR="007E3A46" w:rsidRPr="00001F7B">
        <w:rPr>
          <w:rFonts w:cstheme="minorHAnsi"/>
        </w:rPr>
        <w:t xml:space="preserve"> </w:t>
      </w:r>
      <w:r w:rsidR="007E3A46" w:rsidRPr="00001F7B">
        <w:rPr>
          <w:rFonts w:cstheme="minorHAnsi"/>
          <w:i/>
          <w:iCs/>
        </w:rPr>
        <w:t xml:space="preserve">Op </w:t>
      </w:r>
      <w:proofErr w:type="spellStart"/>
      <w:r w:rsidR="007E3A46" w:rsidRPr="00001F7B">
        <w:rPr>
          <w:rFonts w:cstheme="minorHAnsi"/>
          <w:i/>
          <w:iCs/>
        </w:rPr>
        <w:t>cit</w:t>
      </w:r>
      <w:proofErr w:type="spellEnd"/>
      <w:r w:rsidR="007E3A46" w:rsidRPr="00001F7B">
        <w:rPr>
          <w:rFonts w:cstheme="minorHAnsi"/>
        </w:rPr>
        <w:t xml:space="preserve"> </w:t>
      </w:r>
      <w:r w:rsidR="007E5B00" w:rsidRPr="00001F7B">
        <w:rPr>
          <w:rFonts w:cstheme="minorHAnsi"/>
        </w:rPr>
        <w:t>P</w:t>
      </w:r>
      <w:r w:rsidR="007E3A46" w:rsidRPr="00001F7B">
        <w:rPr>
          <w:rFonts w:cstheme="minorHAnsi"/>
        </w:rPr>
        <w:t xml:space="preserve"> </w:t>
      </w:r>
      <w:r w:rsidR="007E5B00" w:rsidRPr="00001F7B">
        <w:rPr>
          <w:rFonts w:cstheme="minorHAnsi"/>
        </w:rPr>
        <w:t xml:space="preserve">225, </w:t>
      </w:r>
      <w:r w:rsidR="007E3A46" w:rsidRPr="00001F7B">
        <w:rPr>
          <w:rFonts w:cstheme="minorHAnsi"/>
        </w:rPr>
        <w:t>para</w:t>
      </w:r>
      <w:r w:rsidR="007E5B00" w:rsidRPr="00001F7B">
        <w:rPr>
          <w:rFonts w:cstheme="minorHAnsi"/>
        </w:rPr>
        <w:t xml:space="preserve"> </w:t>
      </w:r>
      <w:r w:rsidRPr="00001F7B">
        <w:rPr>
          <w:rFonts w:cstheme="minorHAnsi"/>
        </w:rPr>
        <w:t>7.</w:t>
      </w:r>
      <w:r w:rsidR="00EB3739" w:rsidRPr="00001F7B">
        <w:rPr>
          <w:rFonts w:cstheme="minorHAnsi"/>
        </w:rPr>
        <w:t xml:space="preserve"> See art 33.4.</w:t>
      </w:r>
    </w:p>
  </w:footnote>
  <w:footnote w:id="236">
    <w:p w14:paraId="7A5F6A95" w14:textId="1FB1294B" w:rsidR="00BD5B91" w:rsidRPr="00001F7B" w:rsidRDefault="00BD5B91">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Loc.cit</w:t>
      </w:r>
      <w:proofErr w:type="spellEnd"/>
      <w:r w:rsidRPr="00001F7B">
        <w:rPr>
          <w:rFonts w:cstheme="minorHAnsi"/>
        </w:rPr>
        <w:t>.</w:t>
      </w:r>
      <w:r w:rsidR="00EB3739" w:rsidRPr="00001F7B">
        <w:rPr>
          <w:rFonts w:cstheme="minorHAnsi"/>
        </w:rPr>
        <w:t xml:space="preserve"> See arts 33.1 and 33.3.</w:t>
      </w:r>
    </w:p>
  </w:footnote>
  <w:footnote w:id="237">
    <w:p w14:paraId="55CC4F40" w14:textId="5CB6E4A3" w:rsidR="00622F27" w:rsidRPr="00001F7B" w:rsidRDefault="00622F27" w:rsidP="00754A06">
      <w:pPr>
        <w:spacing w:after="120" w:line="240" w:lineRule="atLeast"/>
        <w:contextualSpacing/>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hyperlink w:anchor="Bookmark_1" w:tooltip="The Interpretation of Multilingual Treaties: Comparison of Texts Versus the Presumption of Similar Meaning" w:history="1">
        <w:r w:rsidRPr="00001F7B">
          <w:rPr>
            <w:rFonts w:eastAsia="Arial" w:cstheme="minorHAnsi"/>
            <w:sz w:val="20"/>
            <w:szCs w:val="20"/>
          </w:rPr>
          <w:t>The Interpretation of Multilingual Treaties: Comparison of Texts Versus the Presumption of Similar Meaning</w:t>
        </w:r>
      </w:hyperlink>
      <w:r w:rsidRPr="00001F7B">
        <w:rPr>
          <w:rFonts w:eastAsia="Arial" w:cstheme="minorHAnsi"/>
          <w:sz w:val="20"/>
          <w:szCs w:val="20"/>
        </w:rPr>
        <w:t>’ (1991) 40 ICLQ 95</w:t>
      </w:r>
      <w:r w:rsidR="0013616A" w:rsidRPr="00001F7B">
        <w:rPr>
          <w:rFonts w:eastAsia="Arial" w:cstheme="minorHAnsi"/>
          <w:sz w:val="20"/>
          <w:szCs w:val="20"/>
        </w:rPr>
        <w:t>3</w:t>
      </w:r>
      <w:r w:rsidR="0035418B" w:rsidRPr="00001F7B">
        <w:rPr>
          <w:rFonts w:eastAsia="Arial" w:cstheme="minorHAnsi"/>
          <w:sz w:val="20"/>
          <w:szCs w:val="20"/>
        </w:rPr>
        <w:t xml:space="preserve"> at p 954.</w:t>
      </w:r>
    </w:p>
  </w:footnote>
  <w:footnote w:id="238">
    <w:p w14:paraId="15A9851F" w14:textId="69706FAE" w:rsidR="00754A06" w:rsidRPr="00001F7B" w:rsidRDefault="00754A06" w:rsidP="00E41A6A">
      <w:pPr>
        <w:widowControl w:val="0"/>
        <w:autoSpaceDE w:val="0"/>
        <w:autoSpaceDN w:val="0"/>
        <w:adjustRightInd w:val="0"/>
        <w:spacing w:after="0" w:line="240" w:lineRule="auto"/>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proofErr w:type="spellStart"/>
      <w:r w:rsidRPr="00001F7B">
        <w:rPr>
          <w:rFonts w:cstheme="minorHAnsi"/>
          <w:i/>
          <w:iCs/>
          <w:sz w:val="20"/>
          <w:szCs w:val="20"/>
        </w:rPr>
        <w:t>Loc.cit</w:t>
      </w:r>
      <w:proofErr w:type="spellEnd"/>
      <w:r w:rsidR="0035418B" w:rsidRPr="00001F7B">
        <w:rPr>
          <w:rFonts w:cstheme="minorHAnsi"/>
          <w:sz w:val="20"/>
          <w:szCs w:val="20"/>
        </w:rPr>
        <w:t xml:space="preserve">, p </w:t>
      </w:r>
      <w:r w:rsidR="00D61A14" w:rsidRPr="00001F7B">
        <w:rPr>
          <w:rFonts w:cstheme="minorHAnsi"/>
          <w:sz w:val="20"/>
          <w:szCs w:val="20"/>
        </w:rPr>
        <w:t>955</w:t>
      </w:r>
      <w:r w:rsidRPr="00001F7B">
        <w:rPr>
          <w:rFonts w:cstheme="minorHAnsi"/>
          <w:sz w:val="20"/>
          <w:szCs w:val="20"/>
        </w:rPr>
        <w:t xml:space="preserve"> </w:t>
      </w:r>
      <w:r w:rsidR="00AD1B48" w:rsidRPr="00001F7B">
        <w:rPr>
          <w:rFonts w:cstheme="minorHAnsi"/>
          <w:sz w:val="20"/>
          <w:szCs w:val="20"/>
        </w:rPr>
        <w:t>quoting</w:t>
      </w:r>
      <w:r w:rsidRPr="00001F7B">
        <w:rPr>
          <w:rFonts w:cstheme="minorHAnsi"/>
          <w:sz w:val="20"/>
          <w:szCs w:val="20"/>
        </w:rPr>
        <w:t xml:space="preserve"> Waldock in </w:t>
      </w:r>
      <w:r w:rsidR="00AD1B48" w:rsidRPr="00001F7B">
        <w:rPr>
          <w:rFonts w:cstheme="minorHAnsi"/>
          <w:sz w:val="20"/>
          <w:szCs w:val="20"/>
        </w:rPr>
        <w:t xml:space="preserve">the </w:t>
      </w:r>
      <w:r w:rsidRPr="00001F7B">
        <w:rPr>
          <w:rFonts w:eastAsia="Arial" w:cstheme="minorHAnsi"/>
          <w:color w:val="000000"/>
          <w:sz w:val="20"/>
          <w:szCs w:val="20"/>
        </w:rPr>
        <w:t xml:space="preserve">Sixth Report on the Law of Treaties (1966) 2 Y.B.I.L.C. 51, 100, UN </w:t>
      </w:r>
      <w:proofErr w:type="spellStart"/>
      <w:r w:rsidRPr="00001F7B">
        <w:rPr>
          <w:rFonts w:eastAsia="Arial" w:cstheme="minorHAnsi"/>
          <w:color w:val="000000"/>
          <w:sz w:val="20"/>
          <w:szCs w:val="20"/>
        </w:rPr>
        <w:t>Doc.A</w:t>
      </w:r>
      <w:proofErr w:type="spellEnd"/>
      <w:r w:rsidRPr="00001F7B">
        <w:rPr>
          <w:rFonts w:eastAsia="Arial" w:cstheme="minorHAnsi"/>
          <w:color w:val="000000"/>
          <w:sz w:val="20"/>
          <w:szCs w:val="20"/>
        </w:rPr>
        <w:t>/CN.4/186/Add.6</w:t>
      </w:r>
      <w:r w:rsidR="006464C6">
        <w:rPr>
          <w:rFonts w:eastAsia="Arial" w:cstheme="minorHAnsi"/>
          <w:color w:val="000000"/>
          <w:sz w:val="20"/>
          <w:szCs w:val="20"/>
        </w:rPr>
        <w:t>,</w:t>
      </w:r>
      <w:r w:rsidR="00043CD3" w:rsidRPr="00001F7B">
        <w:rPr>
          <w:rFonts w:eastAsia="Arial" w:cstheme="minorHAnsi"/>
          <w:color w:val="000000"/>
          <w:sz w:val="20"/>
          <w:szCs w:val="20"/>
        </w:rPr>
        <w:t xml:space="preserve"> Resch</w:t>
      </w:r>
      <w:r w:rsidR="007A2CB0" w:rsidRPr="00001F7B">
        <w:rPr>
          <w:rFonts w:eastAsia="Arial" w:cstheme="minorHAnsi"/>
          <w:color w:val="000000"/>
          <w:sz w:val="20"/>
          <w:szCs w:val="20"/>
        </w:rPr>
        <w:t>,</w:t>
      </w:r>
      <w:r w:rsidR="00043CD3" w:rsidRPr="00001F7B">
        <w:rPr>
          <w:rFonts w:eastAsia="Arial" w:cstheme="minorHAnsi"/>
          <w:color w:val="000000"/>
          <w:sz w:val="20"/>
          <w:szCs w:val="20"/>
        </w:rPr>
        <w:t xml:space="preserve"> </w:t>
      </w:r>
      <w:r w:rsidR="007A2CB0" w:rsidRPr="00001F7B">
        <w:rPr>
          <w:rFonts w:eastAsia="Arial" w:cstheme="minorHAnsi"/>
          <w:color w:val="000000"/>
          <w:sz w:val="20"/>
          <w:szCs w:val="20"/>
        </w:rPr>
        <w:t>‘</w:t>
      </w:r>
      <w:r w:rsidR="007A2CB0" w:rsidRPr="00001F7B">
        <w:rPr>
          <w:rFonts w:eastAsiaTheme="minorEastAsia" w:cstheme="minorHAnsi"/>
          <w:color w:val="252525"/>
          <w:sz w:val="20"/>
          <w:szCs w:val="20"/>
          <w:lang w:eastAsia="en-GB"/>
        </w:rPr>
        <w:t xml:space="preserve">Not in good faith - a critique of the Vienna Convention rule of interpretation concerning its application to plurilingual (tax) treaties’ 2014 British Tax </w:t>
      </w:r>
      <w:r w:rsidR="00B471D9">
        <w:rPr>
          <w:rFonts w:eastAsiaTheme="minorEastAsia" w:cstheme="minorHAnsi"/>
          <w:color w:val="252525"/>
          <w:sz w:val="20"/>
          <w:szCs w:val="20"/>
          <w:lang w:eastAsia="en-GB"/>
        </w:rPr>
        <w:t>R</w:t>
      </w:r>
      <w:r w:rsidR="007A2CB0" w:rsidRPr="00001F7B">
        <w:rPr>
          <w:rFonts w:eastAsiaTheme="minorEastAsia" w:cstheme="minorHAnsi"/>
          <w:color w:val="252525"/>
          <w:sz w:val="20"/>
          <w:szCs w:val="20"/>
          <w:lang w:eastAsia="en-GB"/>
        </w:rPr>
        <w:t>eview 307, at pp 317-</w:t>
      </w:r>
      <w:r w:rsidR="00D61A14" w:rsidRPr="00001F7B">
        <w:rPr>
          <w:rFonts w:eastAsiaTheme="minorEastAsia" w:cstheme="minorHAnsi"/>
          <w:color w:val="252525"/>
          <w:sz w:val="20"/>
          <w:szCs w:val="20"/>
          <w:lang w:eastAsia="en-GB"/>
        </w:rPr>
        <w:t>31</w:t>
      </w:r>
      <w:r w:rsidR="007A2CB0" w:rsidRPr="00001F7B">
        <w:rPr>
          <w:rFonts w:eastAsiaTheme="minorEastAsia" w:cstheme="minorHAnsi"/>
          <w:color w:val="252525"/>
          <w:sz w:val="20"/>
          <w:szCs w:val="20"/>
          <w:lang w:eastAsia="en-GB"/>
        </w:rPr>
        <w:t xml:space="preserve">8 notes that </w:t>
      </w:r>
      <w:r w:rsidR="00043CD3" w:rsidRPr="00001F7B">
        <w:rPr>
          <w:rFonts w:eastAsia="Arial" w:cstheme="minorHAnsi"/>
          <w:color w:val="000000"/>
          <w:sz w:val="20"/>
          <w:szCs w:val="20"/>
        </w:rPr>
        <w:t xml:space="preserve"> </w:t>
      </w:r>
      <w:r w:rsidR="00043CD3" w:rsidRPr="00001F7B">
        <w:rPr>
          <w:rFonts w:eastAsiaTheme="minorEastAsia" w:cstheme="minorHAnsi"/>
          <w:color w:val="000000"/>
          <w:sz w:val="20"/>
          <w:szCs w:val="20"/>
          <w:lang w:eastAsia="en-GB"/>
        </w:rPr>
        <w:t xml:space="preserve"> Waldock rejects any notion of all authentic texts </w:t>
      </w:r>
      <w:r w:rsidR="00043CD3" w:rsidRPr="00001F7B">
        <w:rPr>
          <w:rFonts w:eastAsiaTheme="minorEastAsia" w:cstheme="minorHAnsi"/>
          <w:i/>
          <w:iCs/>
          <w:color w:val="000000"/>
          <w:sz w:val="20"/>
          <w:szCs w:val="20"/>
          <w:lang w:eastAsia="en-GB"/>
        </w:rPr>
        <w:t>together</w:t>
      </w:r>
      <w:r w:rsidR="00043CD3" w:rsidRPr="00001F7B">
        <w:rPr>
          <w:rFonts w:eastAsiaTheme="minorEastAsia" w:cstheme="minorHAnsi"/>
          <w:color w:val="000000"/>
          <w:sz w:val="20"/>
          <w:szCs w:val="20"/>
          <w:lang w:eastAsia="en-GB"/>
        </w:rPr>
        <w:t xml:space="preserve"> constituting the </w:t>
      </w:r>
      <w:r w:rsidR="00FD6734" w:rsidRPr="00001F7B">
        <w:rPr>
          <w:rFonts w:eastAsiaTheme="minorEastAsia" w:cstheme="minorHAnsi"/>
          <w:color w:val="000000"/>
          <w:sz w:val="20"/>
          <w:szCs w:val="20"/>
          <w:lang w:eastAsia="en-GB"/>
        </w:rPr>
        <w:t>text but</w:t>
      </w:r>
      <w:r w:rsidR="00043CD3" w:rsidRPr="00001F7B">
        <w:rPr>
          <w:rFonts w:eastAsiaTheme="minorEastAsia" w:cstheme="minorHAnsi"/>
          <w:color w:val="000000"/>
          <w:sz w:val="20"/>
          <w:szCs w:val="20"/>
          <w:lang w:eastAsia="en-GB"/>
        </w:rPr>
        <w:t xml:space="preserve"> stresses the conceptually pure idea of </w:t>
      </w:r>
      <w:r w:rsidR="00043CD3" w:rsidRPr="00001F7B">
        <w:rPr>
          <w:rFonts w:eastAsiaTheme="minorEastAsia" w:cstheme="minorHAnsi"/>
          <w:i/>
          <w:iCs/>
          <w:color w:val="000000"/>
          <w:sz w:val="20"/>
          <w:szCs w:val="20"/>
          <w:lang w:eastAsia="en-GB"/>
        </w:rPr>
        <w:t>each</w:t>
      </w:r>
      <w:r w:rsidR="00043CD3" w:rsidRPr="00001F7B">
        <w:rPr>
          <w:rFonts w:eastAsiaTheme="minorEastAsia" w:cstheme="minorHAnsi"/>
          <w:color w:val="000000"/>
          <w:sz w:val="20"/>
          <w:szCs w:val="20"/>
          <w:lang w:eastAsia="en-GB"/>
        </w:rPr>
        <w:t xml:space="preserve"> authentic text being the text, which follows from the </w:t>
      </w:r>
      <w:r w:rsidR="00043CD3" w:rsidRPr="00001F7B">
        <w:rPr>
          <w:rFonts w:eastAsiaTheme="minorEastAsia" w:cstheme="minorHAnsi"/>
          <w:i/>
          <w:iCs/>
          <w:color w:val="000000"/>
          <w:sz w:val="20"/>
          <w:szCs w:val="20"/>
          <w:lang w:eastAsia="en-GB"/>
        </w:rPr>
        <w:t>a priori</w:t>
      </w:r>
      <w:r w:rsidR="00043CD3" w:rsidRPr="00001F7B">
        <w:rPr>
          <w:rFonts w:eastAsiaTheme="minorEastAsia" w:cstheme="minorHAnsi"/>
          <w:color w:val="000000"/>
          <w:sz w:val="20"/>
          <w:szCs w:val="20"/>
          <w:lang w:eastAsia="en-GB"/>
        </w:rPr>
        <w:t xml:space="preserve"> assumed unity of the treaty.</w:t>
      </w:r>
      <w:r w:rsidR="007A2CB0" w:rsidRPr="00001F7B">
        <w:rPr>
          <w:rFonts w:eastAsiaTheme="minorEastAsia" w:cstheme="minorHAnsi"/>
          <w:color w:val="000000"/>
          <w:sz w:val="20"/>
          <w:szCs w:val="20"/>
          <w:lang w:eastAsia="en-GB"/>
        </w:rPr>
        <w:t xml:space="preserve"> He considers that Waldock’s</w:t>
      </w:r>
      <w:r w:rsidR="00043CD3" w:rsidRPr="00001F7B">
        <w:rPr>
          <w:rFonts w:eastAsiaTheme="minorEastAsia" w:cstheme="minorHAnsi"/>
          <w:color w:val="000000"/>
          <w:sz w:val="20"/>
          <w:szCs w:val="20"/>
          <w:lang w:eastAsia="en-GB"/>
        </w:rPr>
        <w:t xml:space="preserve"> argument and proposed approach to keep the different language texts entirely separate, and to only compare them if a divergence has arisen when both have been interpreted separately in their own language context under the Vienna Convention general rule of interpretation, fails</w:t>
      </w:r>
      <w:r w:rsidR="001864C1" w:rsidRPr="00001F7B">
        <w:rPr>
          <w:rFonts w:eastAsiaTheme="minorEastAsia" w:cstheme="minorHAnsi"/>
          <w:color w:val="000000"/>
          <w:sz w:val="20"/>
          <w:szCs w:val="20"/>
          <w:lang w:eastAsia="en-GB"/>
        </w:rPr>
        <w:t xml:space="preserve"> </w:t>
      </w:r>
      <w:r w:rsidR="00043CD3" w:rsidRPr="00001F7B">
        <w:rPr>
          <w:rFonts w:eastAsiaTheme="minorEastAsia" w:cstheme="minorHAnsi"/>
          <w:color w:val="000000"/>
          <w:sz w:val="20"/>
          <w:szCs w:val="20"/>
          <w:lang w:eastAsia="en-GB"/>
        </w:rPr>
        <w:t>to reconcile convincingly the axiom of the unity of the treaty with the empirical reality of prima facie divergences between the language texts. Since legal language lacks the precision of a purely formal language like mathematics or computer code, and any language has its own idiosyncratic connotations and nuances, reference to more than one language text will facilitate interpretation rather than impair it,</w:t>
      </w:r>
      <w:r w:rsidR="007A2CB0" w:rsidRPr="00001F7B">
        <w:rPr>
          <w:rFonts w:eastAsiaTheme="minorEastAsia" w:cstheme="minorHAnsi"/>
          <w:color w:val="000000"/>
          <w:sz w:val="20"/>
          <w:szCs w:val="20"/>
          <w:lang w:eastAsia="en-GB"/>
        </w:rPr>
        <w:t xml:space="preserve"> </w:t>
      </w:r>
      <w:r w:rsidR="00043CD3" w:rsidRPr="00001F7B">
        <w:rPr>
          <w:rFonts w:eastAsiaTheme="minorEastAsia" w:cstheme="minorHAnsi"/>
          <w:color w:val="000000"/>
          <w:sz w:val="20"/>
          <w:szCs w:val="20"/>
          <w:lang w:eastAsia="en-GB"/>
        </w:rPr>
        <w:t>and may, in</w:t>
      </w:r>
      <w:r w:rsidR="00F96CC8" w:rsidRPr="00001F7B">
        <w:rPr>
          <w:rFonts w:eastAsiaTheme="minorEastAsia" w:cstheme="minorHAnsi"/>
          <w:color w:val="000000"/>
          <w:sz w:val="20"/>
          <w:szCs w:val="20"/>
          <w:lang w:eastAsia="en-GB"/>
        </w:rPr>
        <w:t xml:space="preserve"> his </w:t>
      </w:r>
      <w:r w:rsidR="00043CD3" w:rsidRPr="00001F7B">
        <w:rPr>
          <w:rFonts w:eastAsiaTheme="minorEastAsia" w:cstheme="minorHAnsi"/>
          <w:color w:val="000000"/>
          <w:sz w:val="20"/>
          <w:szCs w:val="20"/>
          <w:lang w:eastAsia="en-GB"/>
        </w:rPr>
        <w:t>opinion</w:t>
      </w:r>
      <w:r w:rsidR="00F96CC8" w:rsidRPr="00001F7B">
        <w:rPr>
          <w:rFonts w:eastAsiaTheme="minorEastAsia" w:cstheme="minorHAnsi"/>
          <w:color w:val="000000"/>
          <w:sz w:val="20"/>
          <w:szCs w:val="20"/>
          <w:lang w:eastAsia="en-GB"/>
        </w:rPr>
        <w:t>,</w:t>
      </w:r>
      <w:r w:rsidR="00043CD3" w:rsidRPr="00001F7B">
        <w:rPr>
          <w:rFonts w:eastAsiaTheme="minorEastAsia" w:cstheme="minorHAnsi"/>
          <w:color w:val="000000"/>
          <w:sz w:val="20"/>
          <w:szCs w:val="20"/>
          <w:lang w:eastAsia="en-GB"/>
        </w:rPr>
        <w:t xml:space="preserve"> even be necessary to arrive at an interpretation that safeguards the unity of the treaty. </w:t>
      </w:r>
      <w:r w:rsidR="00F96CC8" w:rsidRPr="00001F7B">
        <w:rPr>
          <w:rFonts w:eastAsiaTheme="minorEastAsia" w:cstheme="minorHAnsi"/>
          <w:color w:val="000000"/>
          <w:sz w:val="20"/>
          <w:szCs w:val="20"/>
          <w:lang w:eastAsia="en-GB"/>
        </w:rPr>
        <w:t xml:space="preserve">He notes </w:t>
      </w:r>
      <w:r w:rsidR="00F06966" w:rsidRPr="00001F7B">
        <w:rPr>
          <w:rFonts w:eastAsiaTheme="minorEastAsia" w:cstheme="minorHAnsi"/>
          <w:color w:val="000000"/>
          <w:sz w:val="20"/>
          <w:szCs w:val="20"/>
          <w:lang w:eastAsia="en-GB"/>
        </w:rPr>
        <w:t xml:space="preserve">that the </w:t>
      </w:r>
      <w:r w:rsidR="00043CD3" w:rsidRPr="00001F7B">
        <w:rPr>
          <w:rFonts w:eastAsiaTheme="minorEastAsia" w:cstheme="minorHAnsi"/>
          <w:color w:val="000000"/>
          <w:sz w:val="20"/>
          <w:szCs w:val="20"/>
          <w:lang w:eastAsia="en-GB"/>
        </w:rPr>
        <w:t>commentary on the draft articles acknowledges at least an ambivalent role of the comparison of different language texts in this respect</w:t>
      </w:r>
      <w:r w:rsidR="00F96CC8" w:rsidRPr="00001F7B">
        <w:rPr>
          <w:rFonts w:eastAsiaTheme="minorEastAsia" w:cstheme="minorHAnsi"/>
          <w:color w:val="000000"/>
          <w:sz w:val="20"/>
          <w:szCs w:val="20"/>
          <w:lang w:eastAsia="en-GB"/>
        </w:rPr>
        <w:t xml:space="preserve"> (citing </w:t>
      </w:r>
      <w:r w:rsidR="00D77B3D" w:rsidRPr="00001F7B">
        <w:rPr>
          <w:rFonts w:eastAsiaTheme="minorEastAsia" w:cstheme="minorHAnsi"/>
          <w:color w:val="000000"/>
          <w:sz w:val="20"/>
          <w:szCs w:val="20"/>
          <w:lang w:eastAsia="en-GB"/>
        </w:rPr>
        <w:t xml:space="preserve">1966 </w:t>
      </w:r>
      <w:r w:rsidR="002316F8" w:rsidRPr="00001F7B">
        <w:rPr>
          <w:rFonts w:eastAsiaTheme="minorEastAsia" w:cstheme="minorHAnsi"/>
          <w:color w:val="000000"/>
          <w:sz w:val="20"/>
          <w:szCs w:val="20"/>
          <w:lang w:eastAsia="en-GB"/>
        </w:rPr>
        <w:t xml:space="preserve">Commentary, above </w:t>
      </w:r>
      <w:proofErr w:type="spellStart"/>
      <w:r w:rsidR="002316F8" w:rsidRPr="00001F7B">
        <w:rPr>
          <w:rFonts w:eastAsiaTheme="minorEastAsia" w:cstheme="minorHAnsi"/>
          <w:color w:val="000000"/>
          <w:sz w:val="20"/>
          <w:szCs w:val="20"/>
          <w:lang w:eastAsia="en-GB"/>
        </w:rPr>
        <w:t>fn</w:t>
      </w:r>
      <w:proofErr w:type="spellEnd"/>
      <w:r w:rsidR="002316F8" w:rsidRPr="00001F7B">
        <w:rPr>
          <w:rFonts w:eastAsiaTheme="minorEastAsia" w:cstheme="minorHAnsi"/>
          <w:color w:val="000000"/>
          <w:sz w:val="20"/>
          <w:szCs w:val="20"/>
          <w:lang w:eastAsia="en-GB"/>
        </w:rPr>
        <w:t xml:space="preserve"> 38,</w:t>
      </w:r>
      <w:r w:rsidR="00F96CC8" w:rsidRPr="00001F7B">
        <w:rPr>
          <w:rFonts w:eastAsiaTheme="minorEastAsia" w:cstheme="minorHAnsi"/>
          <w:color w:val="000000"/>
          <w:sz w:val="20"/>
          <w:szCs w:val="20"/>
          <w:lang w:eastAsia="en-GB"/>
        </w:rPr>
        <w:t xml:space="preserve"> p</w:t>
      </w:r>
      <w:r w:rsidR="00D61A14" w:rsidRPr="00001F7B">
        <w:rPr>
          <w:rFonts w:eastAsiaTheme="minorEastAsia" w:cstheme="minorHAnsi"/>
          <w:color w:val="000000"/>
          <w:sz w:val="20"/>
          <w:szCs w:val="20"/>
          <w:lang w:eastAsia="en-GB"/>
        </w:rPr>
        <w:t xml:space="preserve"> </w:t>
      </w:r>
      <w:r w:rsidR="00F96CC8" w:rsidRPr="00001F7B">
        <w:rPr>
          <w:rFonts w:eastAsiaTheme="minorEastAsia" w:cstheme="minorHAnsi"/>
          <w:color w:val="000000"/>
          <w:sz w:val="20"/>
          <w:szCs w:val="20"/>
          <w:lang w:eastAsia="en-GB"/>
        </w:rPr>
        <w:t>225</w:t>
      </w:r>
      <w:r w:rsidR="00D77B3D" w:rsidRPr="00001F7B">
        <w:rPr>
          <w:rFonts w:eastAsiaTheme="minorEastAsia" w:cstheme="minorHAnsi"/>
          <w:color w:val="000000"/>
          <w:sz w:val="20"/>
          <w:szCs w:val="20"/>
          <w:lang w:eastAsia="en-GB"/>
        </w:rPr>
        <w:t>)</w:t>
      </w:r>
      <w:r w:rsidR="00F96CC8" w:rsidRPr="00001F7B">
        <w:rPr>
          <w:rFonts w:eastAsiaTheme="minorEastAsia" w:cstheme="minorHAnsi"/>
          <w:color w:val="000000"/>
          <w:sz w:val="20"/>
          <w:szCs w:val="20"/>
          <w:lang w:eastAsia="en-GB"/>
        </w:rPr>
        <w:t xml:space="preserve"> </w:t>
      </w:r>
      <w:r w:rsidR="00043CD3" w:rsidRPr="00001F7B">
        <w:rPr>
          <w:rFonts w:eastAsiaTheme="minorEastAsia" w:cstheme="minorHAnsi"/>
          <w:color w:val="000000"/>
          <w:sz w:val="20"/>
          <w:szCs w:val="20"/>
          <w:lang w:eastAsia="en-GB"/>
        </w:rPr>
        <w:t xml:space="preserve"> </w:t>
      </w:r>
      <w:r w:rsidR="00D77B3D" w:rsidRPr="00001F7B">
        <w:rPr>
          <w:rFonts w:eastAsiaTheme="minorEastAsia" w:cstheme="minorHAnsi"/>
          <w:color w:val="000000"/>
          <w:sz w:val="20"/>
          <w:szCs w:val="20"/>
          <w:lang w:eastAsia="en-GB"/>
        </w:rPr>
        <w:t xml:space="preserve">He quotes </w:t>
      </w:r>
      <w:proofErr w:type="spellStart"/>
      <w:r w:rsidR="00043CD3" w:rsidRPr="00001F7B">
        <w:rPr>
          <w:rFonts w:eastAsiaTheme="minorEastAsia" w:cstheme="minorHAnsi"/>
          <w:color w:val="000000"/>
          <w:sz w:val="20"/>
          <w:szCs w:val="20"/>
          <w:lang w:eastAsia="en-GB"/>
        </w:rPr>
        <w:t>Kuner</w:t>
      </w:r>
      <w:proofErr w:type="spellEnd"/>
      <w:r w:rsidR="00D77B3D" w:rsidRPr="00001F7B">
        <w:rPr>
          <w:rFonts w:eastAsiaTheme="minorEastAsia" w:cstheme="minorHAnsi"/>
          <w:color w:val="000000"/>
          <w:sz w:val="20"/>
          <w:szCs w:val="20"/>
          <w:lang w:eastAsia="en-GB"/>
        </w:rPr>
        <w:t xml:space="preserve"> (</w:t>
      </w:r>
      <w:r w:rsidR="00D77B3D" w:rsidRPr="00001F7B">
        <w:rPr>
          <w:rFonts w:eastAsiaTheme="minorEastAsia" w:cstheme="minorHAnsi"/>
          <w:i/>
          <w:iCs/>
          <w:color w:val="000000"/>
          <w:sz w:val="20"/>
          <w:szCs w:val="20"/>
          <w:lang w:eastAsia="en-GB"/>
        </w:rPr>
        <w:t>op</w:t>
      </w:r>
      <w:r w:rsidR="00D61A14" w:rsidRPr="00001F7B">
        <w:rPr>
          <w:rFonts w:eastAsiaTheme="minorEastAsia" w:cstheme="minorHAnsi"/>
          <w:i/>
          <w:iCs/>
          <w:color w:val="000000"/>
          <w:sz w:val="20"/>
          <w:szCs w:val="20"/>
          <w:lang w:eastAsia="en-GB"/>
        </w:rPr>
        <w:t xml:space="preserve"> </w:t>
      </w:r>
      <w:proofErr w:type="spellStart"/>
      <w:r w:rsidR="00D77B3D" w:rsidRPr="00001F7B">
        <w:rPr>
          <w:rFonts w:eastAsiaTheme="minorEastAsia" w:cstheme="minorHAnsi"/>
          <w:i/>
          <w:iCs/>
          <w:color w:val="000000"/>
          <w:sz w:val="20"/>
          <w:szCs w:val="20"/>
          <w:lang w:eastAsia="en-GB"/>
        </w:rPr>
        <w:t>cit</w:t>
      </w:r>
      <w:proofErr w:type="spellEnd"/>
      <w:r w:rsidR="00D77B3D" w:rsidRPr="00001F7B">
        <w:rPr>
          <w:rFonts w:eastAsiaTheme="minorEastAsia" w:cstheme="minorHAnsi"/>
          <w:color w:val="000000"/>
          <w:sz w:val="20"/>
          <w:szCs w:val="20"/>
          <w:lang w:eastAsia="en-GB"/>
        </w:rPr>
        <w:t>, p</w:t>
      </w:r>
      <w:r w:rsidR="00D61A14" w:rsidRPr="00001F7B">
        <w:rPr>
          <w:rFonts w:eastAsiaTheme="minorEastAsia" w:cstheme="minorHAnsi"/>
          <w:color w:val="000000"/>
          <w:sz w:val="20"/>
          <w:szCs w:val="20"/>
          <w:lang w:eastAsia="en-GB"/>
        </w:rPr>
        <w:t xml:space="preserve"> </w:t>
      </w:r>
      <w:r w:rsidR="00D77B3D" w:rsidRPr="00001F7B">
        <w:rPr>
          <w:rFonts w:eastAsiaTheme="minorEastAsia" w:cstheme="minorHAnsi"/>
          <w:color w:val="000000"/>
          <w:sz w:val="20"/>
          <w:szCs w:val="20"/>
          <w:lang w:eastAsia="en-GB"/>
        </w:rPr>
        <w:t xml:space="preserve">963): “The basis </w:t>
      </w:r>
      <w:r w:rsidR="00043CD3" w:rsidRPr="00001F7B">
        <w:rPr>
          <w:rFonts w:eastAsiaTheme="minorEastAsia" w:cstheme="minorHAnsi"/>
          <w:color w:val="000000"/>
          <w:sz w:val="20"/>
          <w:szCs w:val="20"/>
          <w:lang w:eastAsia="en-GB"/>
        </w:rPr>
        <w:t>of the unity of the treaty is the fact that all the language versions share a common meaning, which can be ascertained only by comparison. In fact the unity of the treaty is enhanced, rather than damaged, by the possibility that a discrepancy between versions which might otherwise go unrecognised can be resolved through comparison</w:t>
      </w:r>
      <w:r w:rsidR="00E41A6A" w:rsidRPr="00001F7B">
        <w:rPr>
          <w:rFonts w:eastAsiaTheme="minorEastAsia" w:cstheme="minorHAnsi"/>
          <w:color w:val="000000"/>
          <w:sz w:val="20"/>
          <w:szCs w:val="20"/>
          <w:lang w:eastAsia="en-GB"/>
        </w:rPr>
        <w:t>.”</w:t>
      </w:r>
      <w:r w:rsidR="00043CD3" w:rsidRPr="00001F7B">
        <w:rPr>
          <w:rFonts w:eastAsiaTheme="minorEastAsia" w:cstheme="minorHAnsi"/>
          <w:color w:val="000000"/>
          <w:sz w:val="20"/>
          <w:szCs w:val="20"/>
          <w:lang w:eastAsia="en-GB"/>
        </w:rPr>
        <w:t xml:space="preserve"> Resch concludes</w:t>
      </w:r>
      <w:r w:rsidR="00E41A6A" w:rsidRPr="00001F7B">
        <w:rPr>
          <w:rFonts w:eastAsiaTheme="minorEastAsia" w:cstheme="minorHAnsi"/>
          <w:color w:val="000000"/>
          <w:sz w:val="20"/>
          <w:szCs w:val="20"/>
          <w:lang w:eastAsia="en-GB"/>
        </w:rPr>
        <w:t xml:space="preserve"> (p</w:t>
      </w:r>
      <w:r w:rsidR="00D61A14" w:rsidRPr="00001F7B">
        <w:rPr>
          <w:rFonts w:eastAsiaTheme="minorEastAsia" w:cstheme="minorHAnsi"/>
          <w:color w:val="000000"/>
          <w:sz w:val="20"/>
          <w:szCs w:val="20"/>
          <w:lang w:eastAsia="en-GB"/>
        </w:rPr>
        <w:t xml:space="preserve"> </w:t>
      </w:r>
      <w:r w:rsidR="00E41A6A" w:rsidRPr="00001F7B">
        <w:rPr>
          <w:rFonts w:eastAsiaTheme="minorEastAsia" w:cstheme="minorHAnsi"/>
          <w:color w:val="000000"/>
          <w:sz w:val="20"/>
          <w:szCs w:val="20"/>
          <w:lang w:eastAsia="en-GB"/>
        </w:rPr>
        <w:t>319):</w:t>
      </w:r>
      <w:r w:rsidR="00043CD3" w:rsidRPr="00001F7B">
        <w:rPr>
          <w:rFonts w:eastAsiaTheme="minorEastAsia" w:cstheme="minorHAnsi"/>
          <w:color w:val="000000"/>
          <w:sz w:val="20"/>
          <w:szCs w:val="20"/>
          <w:lang w:eastAsia="en-GB"/>
        </w:rPr>
        <w:t xml:space="preserve"> </w:t>
      </w:r>
      <w:r w:rsidR="00E41A6A" w:rsidRPr="00001F7B">
        <w:rPr>
          <w:rFonts w:eastAsiaTheme="minorEastAsia" w:cstheme="minorHAnsi"/>
          <w:color w:val="000000"/>
          <w:sz w:val="20"/>
          <w:szCs w:val="20"/>
          <w:lang w:eastAsia="en-GB"/>
        </w:rPr>
        <w:t>“</w:t>
      </w:r>
      <w:r w:rsidR="00043CD3" w:rsidRPr="00001F7B">
        <w:rPr>
          <w:rFonts w:eastAsiaTheme="minorEastAsia" w:cstheme="minorHAnsi"/>
          <w:color w:val="000000"/>
          <w:sz w:val="20"/>
          <w:szCs w:val="20"/>
          <w:lang w:eastAsia="en-GB"/>
        </w:rPr>
        <w:t>In sum, if different language texts feature different prima facie connotations in practice as a matter of reality while the true meaning must be the same by definition, then, in the opinion of this author, all different language texts have to be cross checked in order to establish the one true common meaning of a treaty.</w:t>
      </w:r>
      <w:r w:rsidR="00E41A6A" w:rsidRPr="00001F7B">
        <w:rPr>
          <w:rFonts w:eastAsiaTheme="minorEastAsia" w:cstheme="minorHAnsi"/>
          <w:color w:val="000000"/>
          <w:sz w:val="20"/>
          <w:szCs w:val="20"/>
          <w:lang w:eastAsia="en-GB"/>
        </w:rPr>
        <w:t>”</w:t>
      </w:r>
    </w:p>
  </w:footnote>
  <w:footnote w:id="239">
    <w:p w14:paraId="4082740B" w14:textId="160853A2" w:rsidR="00656AD2" w:rsidRPr="00001F7B" w:rsidRDefault="00656AD2">
      <w:pPr>
        <w:pStyle w:val="FootnoteText"/>
        <w:rPr>
          <w:rFonts w:cstheme="minorHAnsi"/>
        </w:rPr>
      </w:pPr>
      <w:r w:rsidRPr="00001F7B">
        <w:rPr>
          <w:rStyle w:val="FootnoteReference"/>
          <w:rFonts w:cstheme="minorHAnsi"/>
        </w:rPr>
        <w:footnoteRef/>
      </w:r>
      <w:r w:rsidR="003B2708" w:rsidRPr="00001F7B">
        <w:rPr>
          <w:rFonts w:cstheme="minorHAnsi"/>
        </w:rPr>
        <w:t xml:space="preserve"> [1966] Yearbook of the ILC, vol I, </w:t>
      </w:r>
      <w:proofErr w:type="spellStart"/>
      <w:r w:rsidR="003B2708" w:rsidRPr="00001F7B">
        <w:rPr>
          <w:rFonts w:cstheme="minorHAnsi"/>
        </w:rPr>
        <w:t>pt</w:t>
      </w:r>
      <w:proofErr w:type="spellEnd"/>
      <w:r w:rsidR="003B2708" w:rsidRPr="00001F7B">
        <w:rPr>
          <w:rFonts w:cstheme="minorHAnsi"/>
        </w:rPr>
        <w:t xml:space="preserve"> II, p</w:t>
      </w:r>
      <w:r w:rsidR="00C6332C" w:rsidRPr="00001F7B">
        <w:rPr>
          <w:rFonts w:cstheme="minorHAnsi"/>
        </w:rPr>
        <w:t xml:space="preserve"> </w:t>
      </w:r>
      <w:r w:rsidR="003B2708" w:rsidRPr="00001F7B">
        <w:rPr>
          <w:rFonts w:cstheme="minorHAnsi"/>
        </w:rPr>
        <w:t>211, para</w:t>
      </w:r>
      <w:r w:rsidR="00C6332C" w:rsidRPr="00001F7B">
        <w:rPr>
          <w:rFonts w:cstheme="minorHAnsi"/>
        </w:rPr>
        <w:t xml:space="preserve"> </w:t>
      </w:r>
      <w:r w:rsidR="003B2708" w:rsidRPr="00001F7B">
        <w:rPr>
          <w:rFonts w:cstheme="minorHAnsi"/>
        </w:rPr>
        <w:t xml:space="preserve">35.  </w:t>
      </w:r>
      <w:r w:rsidR="00922BF2" w:rsidRPr="00001F7B">
        <w:rPr>
          <w:rFonts w:cstheme="minorHAnsi"/>
        </w:rPr>
        <w:t>Fully</w:t>
      </w:r>
      <w:r w:rsidR="003B2708" w:rsidRPr="00001F7B">
        <w:rPr>
          <w:rFonts w:cstheme="minorHAnsi"/>
        </w:rPr>
        <w:t xml:space="preserve"> quoted in Gardiner</w:t>
      </w:r>
      <w:r w:rsidR="00C6332C" w:rsidRPr="00001F7B">
        <w:rPr>
          <w:rFonts w:cstheme="minorHAnsi"/>
        </w:rPr>
        <w:t xml:space="preserve">, above, </w:t>
      </w:r>
      <w:proofErr w:type="spellStart"/>
      <w:r w:rsidR="00C6332C" w:rsidRPr="00001F7B">
        <w:rPr>
          <w:rFonts w:cstheme="minorHAnsi"/>
        </w:rPr>
        <w:t>fn</w:t>
      </w:r>
      <w:proofErr w:type="spellEnd"/>
      <w:r w:rsidR="00C6332C" w:rsidRPr="00001F7B">
        <w:rPr>
          <w:rFonts w:cstheme="minorHAnsi"/>
        </w:rPr>
        <w:t xml:space="preserve"> </w:t>
      </w:r>
      <w:r w:rsidR="002316F8" w:rsidRPr="00001F7B">
        <w:rPr>
          <w:rFonts w:cstheme="minorHAnsi"/>
        </w:rPr>
        <w:t>5</w:t>
      </w:r>
      <w:r w:rsidR="00C6332C" w:rsidRPr="00001F7B">
        <w:rPr>
          <w:rFonts w:cstheme="minorHAnsi"/>
        </w:rPr>
        <w:t>,</w:t>
      </w:r>
      <w:r w:rsidR="003B2708" w:rsidRPr="00001F7B">
        <w:rPr>
          <w:rFonts w:cstheme="minorHAnsi"/>
        </w:rPr>
        <w:t xml:space="preserve"> p 418.</w:t>
      </w:r>
      <w:r w:rsidR="00A47B68" w:rsidRPr="00001F7B">
        <w:rPr>
          <w:rFonts w:cstheme="minorHAnsi"/>
        </w:rPr>
        <w:t xml:space="preserve"> </w:t>
      </w:r>
    </w:p>
  </w:footnote>
  <w:footnote w:id="240">
    <w:p w14:paraId="1C2A47C9" w14:textId="39DEA4AC" w:rsidR="0006549A" w:rsidRPr="00001F7B" w:rsidRDefault="0006549A">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00C6332C" w:rsidRPr="00001F7B">
        <w:rPr>
          <w:rFonts w:cstheme="minorHAnsi"/>
          <w:i/>
          <w:iCs/>
        </w:rPr>
        <w:t>Loc</w:t>
      </w:r>
      <w:proofErr w:type="spellEnd"/>
      <w:r w:rsidR="00C6332C" w:rsidRPr="00001F7B">
        <w:rPr>
          <w:rFonts w:cstheme="minorHAnsi"/>
          <w:i/>
          <w:iCs/>
        </w:rPr>
        <w:t xml:space="preserve"> cit</w:t>
      </w:r>
      <w:r w:rsidRPr="00001F7B">
        <w:rPr>
          <w:rFonts w:cstheme="minorHAnsi"/>
        </w:rPr>
        <w:t>.</w:t>
      </w:r>
      <w:r w:rsidR="00401876" w:rsidRPr="00001F7B">
        <w:rPr>
          <w:rFonts w:cstheme="minorHAnsi"/>
        </w:rPr>
        <w:t xml:space="preserve"> </w:t>
      </w:r>
    </w:p>
  </w:footnote>
  <w:footnote w:id="241">
    <w:p w14:paraId="414D1B85" w14:textId="2BFC1BBF" w:rsidR="00D11B17" w:rsidRPr="00001F7B" w:rsidRDefault="00D11B17">
      <w:pPr>
        <w:pStyle w:val="FootnoteText"/>
        <w:rPr>
          <w:rFonts w:cstheme="minorHAnsi"/>
        </w:rPr>
      </w:pPr>
      <w:r w:rsidRPr="00001F7B">
        <w:rPr>
          <w:rStyle w:val="FootnoteReference"/>
          <w:rFonts w:cstheme="minorHAnsi"/>
        </w:rPr>
        <w:footnoteRef/>
      </w:r>
      <w:r w:rsidRPr="00001F7B">
        <w:rPr>
          <w:rFonts w:cstheme="minorHAnsi"/>
        </w:rPr>
        <w:t xml:space="preserve"> Both Gardiner, </w:t>
      </w:r>
      <w:r w:rsidR="00C6332C" w:rsidRPr="00001F7B">
        <w:rPr>
          <w:rFonts w:cstheme="minorHAnsi"/>
        </w:rPr>
        <w:t xml:space="preserve">above, </w:t>
      </w:r>
      <w:proofErr w:type="spellStart"/>
      <w:r w:rsidR="00C6332C" w:rsidRPr="00001F7B">
        <w:rPr>
          <w:rFonts w:cstheme="minorHAnsi"/>
        </w:rPr>
        <w:t>fn</w:t>
      </w:r>
      <w:proofErr w:type="spellEnd"/>
      <w:r w:rsidR="00C6332C" w:rsidRPr="00001F7B">
        <w:rPr>
          <w:rFonts w:cstheme="minorHAnsi"/>
        </w:rPr>
        <w:t xml:space="preserve"> </w:t>
      </w:r>
      <w:r w:rsidR="00DE3BFB" w:rsidRPr="00001F7B">
        <w:rPr>
          <w:rFonts w:cstheme="minorHAnsi"/>
        </w:rPr>
        <w:t>5</w:t>
      </w:r>
      <w:r w:rsidR="00C6332C" w:rsidRPr="00001F7B">
        <w:rPr>
          <w:rFonts w:cstheme="minorHAnsi"/>
        </w:rPr>
        <w:t xml:space="preserve">, </w:t>
      </w:r>
      <w:r w:rsidRPr="00001F7B">
        <w:rPr>
          <w:rFonts w:cstheme="minorHAnsi"/>
        </w:rPr>
        <w:t>p</w:t>
      </w:r>
      <w:r w:rsidR="00C6332C" w:rsidRPr="00001F7B">
        <w:rPr>
          <w:rFonts w:cstheme="minorHAnsi"/>
        </w:rPr>
        <w:t xml:space="preserve"> </w:t>
      </w:r>
      <w:r w:rsidRPr="00001F7B">
        <w:rPr>
          <w:rFonts w:cstheme="minorHAnsi"/>
        </w:rPr>
        <w:t xml:space="preserve">420, and </w:t>
      </w:r>
      <w:proofErr w:type="spellStart"/>
      <w:r w:rsidRPr="00001F7B">
        <w:rPr>
          <w:rFonts w:cstheme="minorHAnsi"/>
        </w:rPr>
        <w:t>Kuner</w:t>
      </w:r>
      <w:proofErr w:type="spellEnd"/>
      <w:r w:rsidRPr="00001F7B">
        <w:rPr>
          <w:rFonts w:cstheme="minorHAnsi"/>
        </w:rPr>
        <w:t xml:space="preserve">, </w:t>
      </w:r>
      <w:r w:rsidR="00C6332C" w:rsidRPr="00001F7B">
        <w:rPr>
          <w:rFonts w:cstheme="minorHAnsi"/>
        </w:rPr>
        <w:t xml:space="preserve">above, </w:t>
      </w:r>
      <w:proofErr w:type="spellStart"/>
      <w:r w:rsidR="00C6332C" w:rsidRPr="00001F7B">
        <w:rPr>
          <w:rFonts w:cstheme="minorHAnsi"/>
        </w:rPr>
        <w:t>fn</w:t>
      </w:r>
      <w:proofErr w:type="spellEnd"/>
      <w:r w:rsidR="00C6332C" w:rsidRPr="00001F7B">
        <w:rPr>
          <w:rFonts w:cstheme="minorHAnsi"/>
        </w:rPr>
        <w:t xml:space="preserve"> </w:t>
      </w:r>
      <w:r w:rsidR="00DE3BFB" w:rsidRPr="00001F7B">
        <w:rPr>
          <w:rFonts w:cstheme="minorHAnsi"/>
        </w:rPr>
        <w:t>236</w:t>
      </w:r>
      <w:r w:rsidR="00C6332C" w:rsidRPr="00001F7B">
        <w:rPr>
          <w:rFonts w:cstheme="minorHAnsi"/>
        </w:rPr>
        <w:t xml:space="preserve">, </w:t>
      </w:r>
      <w:r w:rsidR="00F16DDA" w:rsidRPr="00001F7B">
        <w:rPr>
          <w:rFonts w:cstheme="minorHAnsi"/>
        </w:rPr>
        <w:t xml:space="preserve">p </w:t>
      </w:r>
      <w:r w:rsidR="00971E2D" w:rsidRPr="00001F7B">
        <w:rPr>
          <w:rFonts w:cstheme="minorHAnsi"/>
        </w:rPr>
        <w:t>954</w:t>
      </w:r>
      <w:r w:rsidR="00631951" w:rsidRPr="00001F7B">
        <w:rPr>
          <w:rFonts w:cstheme="minorHAnsi"/>
        </w:rPr>
        <w:t>, n 6</w:t>
      </w:r>
      <w:r w:rsidR="00A63DBC" w:rsidRPr="00001F7B">
        <w:rPr>
          <w:rFonts w:cstheme="minorHAnsi"/>
        </w:rPr>
        <w:t xml:space="preserve">, </w:t>
      </w:r>
      <w:r w:rsidR="00F16DDA" w:rsidRPr="00001F7B">
        <w:rPr>
          <w:rFonts w:cstheme="minorHAnsi"/>
        </w:rPr>
        <w:t xml:space="preserve">quote </w:t>
      </w:r>
      <w:proofErr w:type="spellStart"/>
      <w:r w:rsidR="00F16DDA" w:rsidRPr="00001F7B">
        <w:rPr>
          <w:rFonts w:cstheme="minorHAnsi"/>
        </w:rPr>
        <w:t>Tabory</w:t>
      </w:r>
      <w:proofErr w:type="spellEnd"/>
      <w:r w:rsidR="00971E2D" w:rsidRPr="00001F7B">
        <w:rPr>
          <w:rFonts w:cstheme="minorHAnsi"/>
        </w:rPr>
        <w:t xml:space="preserve">, </w:t>
      </w:r>
      <w:r w:rsidR="00971E2D" w:rsidRPr="00001F7B">
        <w:rPr>
          <w:rFonts w:cstheme="minorHAnsi"/>
          <w:i/>
          <w:iCs/>
        </w:rPr>
        <w:t xml:space="preserve">Multilingualism in International Law and Institutions </w:t>
      </w:r>
      <w:r w:rsidR="00971E2D" w:rsidRPr="00001F7B">
        <w:rPr>
          <w:rFonts w:cstheme="minorHAnsi"/>
        </w:rPr>
        <w:t xml:space="preserve">(1980) </w:t>
      </w:r>
      <w:r w:rsidR="00F16DDA" w:rsidRPr="00001F7B">
        <w:rPr>
          <w:rFonts w:cstheme="minorHAnsi"/>
        </w:rPr>
        <w:t>who states</w:t>
      </w:r>
      <w:r w:rsidR="00971E2D" w:rsidRPr="00001F7B">
        <w:rPr>
          <w:rFonts w:cstheme="minorHAnsi"/>
        </w:rPr>
        <w:t xml:space="preserve"> (p 198)</w:t>
      </w:r>
      <w:r w:rsidR="00F16DDA" w:rsidRPr="00001F7B">
        <w:rPr>
          <w:rFonts w:cstheme="minorHAnsi"/>
        </w:rPr>
        <w:t xml:space="preserve">: </w:t>
      </w:r>
      <w:r w:rsidR="00F16DDA" w:rsidRPr="00001F7B">
        <w:rPr>
          <w:rFonts w:eastAsia="Arial" w:cstheme="minorHAnsi"/>
          <w:color w:val="000000"/>
        </w:rPr>
        <w:t xml:space="preserve">"Strictly speaking, according to the letter of the Vienna Convention, the presumption of the equality of the texts and the absence of an express directive to compare the texts sanction the reliance on any </w:t>
      </w:r>
      <w:r w:rsidR="00A63DBC" w:rsidRPr="00001F7B">
        <w:rPr>
          <w:rFonts w:eastAsia="Arial" w:cstheme="minorHAnsi"/>
          <w:color w:val="000000"/>
        </w:rPr>
        <w:t>s</w:t>
      </w:r>
      <w:r w:rsidR="00F16DDA" w:rsidRPr="00001F7B">
        <w:rPr>
          <w:rFonts w:eastAsia="Arial" w:cstheme="minorHAnsi"/>
          <w:color w:val="000000"/>
        </w:rPr>
        <w:t>ingle authentic version for routine interpretation."</w:t>
      </w:r>
      <w:r w:rsidR="00385707" w:rsidRPr="00001F7B">
        <w:rPr>
          <w:rFonts w:eastAsia="Arial" w:cstheme="minorHAnsi"/>
          <w:color w:val="000000"/>
        </w:rPr>
        <w:t xml:space="preserve"> </w:t>
      </w:r>
      <w:proofErr w:type="spellStart"/>
      <w:r w:rsidR="00385707" w:rsidRPr="00001F7B">
        <w:rPr>
          <w:rFonts w:eastAsia="Arial" w:cstheme="minorHAnsi"/>
          <w:color w:val="000000"/>
        </w:rPr>
        <w:t>Kuner</w:t>
      </w:r>
      <w:proofErr w:type="spellEnd"/>
      <w:r w:rsidR="00385707" w:rsidRPr="00001F7B">
        <w:rPr>
          <w:rFonts w:eastAsia="Arial" w:cstheme="minorHAnsi"/>
          <w:color w:val="000000"/>
        </w:rPr>
        <w:t xml:space="preserve"> states</w:t>
      </w:r>
      <w:r w:rsidR="00631951" w:rsidRPr="00001F7B">
        <w:rPr>
          <w:rFonts w:eastAsia="Arial" w:cstheme="minorHAnsi"/>
          <w:color w:val="000000"/>
        </w:rPr>
        <w:t xml:space="preserve"> that the presumption applies when no allegation of an ambiguity in one version or a difference among versions has been made and also cites (n</w:t>
      </w:r>
      <w:r w:rsidR="009B0D1C" w:rsidRPr="00001F7B">
        <w:rPr>
          <w:rFonts w:eastAsia="Arial" w:cstheme="minorHAnsi"/>
          <w:color w:val="000000"/>
        </w:rPr>
        <w:t xml:space="preserve"> </w:t>
      </w:r>
      <w:r w:rsidR="00631951" w:rsidRPr="00001F7B">
        <w:rPr>
          <w:rFonts w:eastAsia="Arial" w:cstheme="minorHAnsi"/>
          <w:color w:val="000000"/>
        </w:rPr>
        <w:t>6) th</w:t>
      </w:r>
      <w:r w:rsidR="00A63DBC" w:rsidRPr="00001F7B">
        <w:rPr>
          <w:rFonts w:eastAsia="Arial" w:cstheme="minorHAnsi"/>
          <w:color w:val="000000"/>
        </w:rPr>
        <w:t>e</w:t>
      </w:r>
      <w:r w:rsidR="00631951" w:rsidRPr="00001F7B">
        <w:rPr>
          <w:rFonts w:eastAsia="Arial" w:cstheme="minorHAnsi"/>
          <w:color w:val="000000"/>
        </w:rPr>
        <w:t xml:space="preserve"> Restatement (Third) of the Foreign Relations Law of the United States, §325 reporter′s note 2 (1987) which states the effect of the presumption as follows: "An international tribunal, therefore, may consider any convenient text unless an argument is addressed to some other text."</w:t>
      </w:r>
      <w:r w:rsidR="004B2272" w:rsidRPr="00001F7B">
        <w:rPr>
          <w:rFonts w:eastAsia="Arial" w:cstheme="minorHAnsi"/>
          <w:color w:val="000000"/>
        </w:rPr>
        <w:t xml:space="preserve"> </w:t>
      </w:r>
    </w:p>
  </w:footnote>
  <w:footnote w:id="242">
    <w:p w14:paraId="2E61ABED" w14:textId="1AF45449" w:rsidR="00FD6734" w:rsidRPr="00001F7B" w:rsidRDefault="00FD6734">
      <w:pPr>
        <w:pStyle w:val="FootnoteText"/>
        <w:rPr>
          <w:rFonts w:cstheme="minorHAnsi"/>
        </w:rPr>
      </w:pPr>
      <w:r w:rsidRPr="00001F7B">
        <w:rPr>
          <w:rStyle w:val="FootnoteReference"/>
          <w:rFonts w:cstheme="minorHAnsi"/>
        </w:rPr>
        <w:footnoteRef/>
      </w:r>
      <w:r w:rsidRPr="00001F7B">
        <w:rPr>
          <w:rFonts w:cstheme="minorHAnsi"/>
        </w:rPr>
        <w:t xml:space="preserve"> </w:t>
      </w:r>
      <w:r w:rsidR="005B4FCA" w:rsidRPr="00001F7B">
        <w:rPr>
          <w:rFonts w:cstheme="minorHAnsi"/>
        </w:rPr>
        <w:t xml:space="preserve">Above, </w:t>
      </w:r>
      <w:proofErr w:type="spellStart"/>
      <w:r w:rsidR="005B4FCA" w:rsidRPr="00001F7B">
        <w:rPr>
          <w:rFonts w:cstheme="minorHAnsi"/>
        </w:rPr>
        <w:t>fn</w:t>
      </w:r>
      <w:proofErr w:type="spellEnd"/>
      <w:r w:rsidR="005B4FCA" w:rsidRPr="00001F7B">
        <w:rPr>
          <w:rFonts w:cstheme="minorHAnsi"/>
        </w:rPr>
        <w:t xml:space="preserve"> 236, p 596. </w:t>
      </w:r>
      <w:r w:rsidRPr="00001F7B">
        <w:rPr>
          <w:rFonts w:cstheme="minorHAnsi"/>
        </w:rPr>
        <w:t>What is a court to do if its own language is not an authentic one?</w:t>
      </w:r>
      <w:r w:rsidR="00E27C3C" w:rsidRPr="00001F7B">
        <w:rPr>
          <w:rFonts w:cstheme="minorHAnsi"/>
        </w:rPr>
        <w:t xml:space="preserve"> Must it always make a comparison with one of the authentic texts?</w:t>
      </w:r>
      <w:r w:rsidR="0002220E" w:rsidRPr="00001F7B">
        <w:rPr>
          <w:rFonts w:cstheme="minorHAnsi"/>
        </w:rPr>
        <w:t xml:space="preserve"> </w:t>
      </w:r>
    </w:p>
  </w:footnote>
  <w:footnote w:id="243">
    <w:p w14:paraId="77FB6597" w14:textId="2A522D8B" w:rsidR="00E73F44" w:rsidRPr="00001F7B" w:rsidRDefault="00E73F44">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O</w:t>
      </w:r>
      <w:r w:rsidR="002A22A3" w:rsidRPr="00001F7B">
        <w:rPr>
          <w:rFonts w:cstheme="minorHAnsi"/>
          <w:i/>
          <w:iCs/>
        </w:rPr>
        <w:t xml:space="preserve">p </w:t>
      </w:r>
      <w:proofErr w:type="spellStart"/>
      <w:r w:rsidRPr="00001F7B">
        <w:rPr>
          <w:rFonts w:cstheme="minorHAnsi"/>
          <w:i/>
          <w:iCs/>
        </w:rPr>
        <w:t>cit</w:t>
      </w:r>
      <w:proofErr w:type="spellEnd"/>
      <w:r w:rsidRPr="00001F7B">
        <w:rPr>
          <w:rFonts w:cstheme="minorHAnsi"/>
        </w:rPr>
        <w:t xml:space="preserve"> p </w:t>
      </w:r>
      <w:r w:rsidR="002A22A3" w:rsidRPr="00001F7B">
        <w:rPr>
          <w:rFonts w:cstheme="minorHAnsi"/>
        </w:rPr>
        <w:t>956</w:t>
      </w:r>
      <w:r w:rsidRPr="00001F7B">
        <w:rPr>
          <w:rFonts w:cstheme="minorHAnsi"/>
        </w:rPr>
        <w:t>.</w:t>
      </w:r>
    </w:p>
  </w:footnote>
  <w:footnote w:id="244">
    <w:p w14:paraId="5EBF8C5A" w14:textId="1E4D3384" w:rsidR="00904440" w:rsidRPr="00001F7B" w:rsidRDefault="00904440" w:rsidP="009B0647">
      <w:pPr>
        <w:pStyle w:val="FootnoteText"/>
        <w:rPr>
          <w:rFonts w:cstheme="minorHAnsi"/>
        </w:rPr>
      </w:pPr>
      <w:r w:rsidRPr="00001F7B">
        <w:rPr>
          <w:rStyle w:val="FootnoteReference"/>
          <w:rFonts w:cstheme="minorHAnsi"/>
        </w:rPr>
        <w:footnoteRef/>
      </w:r>
      <w:r w:rsidR="00282E59" w:rsidRPr="00001F7B">
        <w:rPr>
          <w:rFonts w:eastAsia="Arial" w:cstheme="minorHAnsi"/>
          <w:color w:val="000000"/>
        </w:rPr>
        <w:t xml:space="preserve"> See the Review of UK law in the Annex folder, </w:t>
      </w:r>
      <w:r w:rsidR="00FF2A5C" w:rsidRPr="00001F7B">
        <w:rPr>
          <w:rFonts w:eastAsia="Arial" w:cstheme="minorHAnsi"/>
          <w:color w:val="000000"/>
        </w:rPr>
        <w:t xml:space="preserve">section </w:t>
      </w:r>
      <w:r w:rsidR="00FF2A5C" w:rsidRPr="00001F7B">
        <w:rPr>
          <w:rFonts w:eastAsia="Arial" w:cstheme="minorHAnsi"/>
          <w:b/>
          <w:bCs/>
          <w:color w:val="000000"/>
        </w:rPr>
        <w:t>2.4</w:t>
      </w:r>
      <w:r w:rsidR="00FD33D1" w:rsidRPr="00001F7B">
        <w:rPr>
          <w:rFonts w:eastAsia="Arial" w:cstheme="minorHAnsi"/>
          <w:color w:val="000000"/>
        </w:rPr>
        <w:t>.</w:t>
      </w:r>
    </w:p>
  </w:footnote>
  <w:footnote w:id="245">
    <w:p w14:paraId="18FEE775" w14:textId="674EB3FF" w:rsidR="0066287E" w:rsidRPr="00001F7B" w:rsidRDefault="0066287E">
      <w:pPr>
        <w:pStyle w:val="FootnoteText"/>
        <w:rPr>
          <w:rFonts w:cstheme="minorHAnsi"/>
        </w:rPr>
      </w:pPr>
      <w:r w:rsidRPr="00001F7B">
        <w:rPr>
          <w:rStyle w:val="FootnoteReference"/>
          <w:rFonts w:cstheme="minorHAnsi"/>
        </w:rPr>
        <w:footnoteRef/>
      </w:r>
      <w:r w:rsidRPr="00001F7B">
        <w:rPr>
          <w:rFonts w:cstheme="minorHAnsi"/>
        </w:rPr>
        <w:t xml:space="preserve"> </w:t>
      </w:r>
      <w:r w:rsidR="00D2707A" w:rsidRPr="00001F7B">
        <w:rPr>
          <w:rFonts w:cstheme="minorHAnsi"/>
          <w:i/>
          <w:iCs/>
        </w:rPr>
        <w:t xml:space="preserve">Op </w:t>
      </w:r>
      <w:proofErr w:type="spellStart"/>
      <w:r w:rsidR="00D2707A" w:rsidRPr="00001F7B">
        <w:rPr>
          <w:rFonts w:cstheme="minorHAnsi"/>
          <w:i/>
          <w:iCs/>
        </w:rPr>
        <w:t>cit</w:t>
      </w:r>
      <w:proofErr w:type="spellEnd"/>
      <w:r w:rsidR="00050600" w:rsidRPr="00001F7B">
        <w:rPr>
          <w:rFonts w:cstheme="minorHAnsi"/>
        </w:rPr>
        <w:t>,</w:t>
      </w:r>
      <w:r w:rsidR="00D2707A" w:rsidRPr="00001F7B">
        <w:rPr>
          <w:rFonts w:cstheme="minorHAnsi"/>
        </w:rPr>
        <w:t xml:space="preserve"> p </w:t>
      </w:r>
      <w:r w:rsidR="00591B15" w:rsidRPr="00001F7B">
        <w:rPr>
          <w:rFonts w:cstheme="minorHAnsi"/>
        </w:rPr>
        <w:t>958</w:t>
      </w:r>
      <w:r w:rsidR="000956B5" w:rsidRPr="00001F7B">
        <w:rPr>
          <w:rFonts w:cstheme="minorHAnsi"/>
        </w:rPr>
        <w:t xml:space="preserve">.  As </w:t>
      </w:r>
      <w:proofErr w:type="spellStart"/>
      <w:r w:rsidR="000956B5" w:rsidRPr="00001F7B">
        <w:rPr>
          <w:rFonts w:cstheme="minorHAnsi"/>
        </w:rPr>
        <w:t>Rosenne</w:t>
      </w:r>
      <w:proofErr w:type="spellEnd"/>
      <w:r w:rsidR="000956B5" w:rsidRPr="00001F7B">
        <w:rPr>
          <w:rFonts w:cstheme="minorHAnsi"/>
        </w:rPr>
        <w:t xml:space="preserve"> argued (YB 1966 vol 1</w:t>
      </w:r>
      <w:r w:rsidR="002A22A3" w:rsidRPr="00001F7B">
        <w:rPr>
          <w:rFonts w:cstheme="minorHAnsi"/>
        </w:rPr>
        <w:t>,</w:t>
      </w:r>
      <w:r w:rsidR="000956B5" w:rsidRPr="00001F7B">
        <w:rPr>
          <w:rFonts w:cstheme="minorHAnsi"/>
        </w:rPr>
        <w:t xml:space="preserve"> </w:t>
      </w:r>
      <w:proofErr w:type="spellStart"/>
      <w:r w:rsidR="000956B5" w:rsidRPr="00001F7B">
        <w:rPr>
          <w:rFonts w:cstheme="minorHAnsi"/>
        </w:rPr>
        <w:t>pt</w:t>
      </w:r>
      <w:proofErr w:type="spellEnd"/>
      <w:r w:rsidR="000956B5" w:rsidRPr="00001F7B">
        <w:rPr>
          <w:rFonts w:cstheme="minorHAnsi"/>
        </w:rPr>
        <w:t xml:space="preserve"> II</w:t>
      </w:r>
      <w:r w:rsidR="002A22A3" w:rsidRPr="00001F7B">
        <w:rPr>
          <w:rFonts w:cstheme="minorHAnsi"/>
        </w:rPr>
        <w:t>,</w:t>
      </w:r>
      <w:r w:rsidR="000956B5" w:rsidRPr="00001F7B">
        <w:rPr>
          <w:rFonts w:cstheme="minorHAnsi"/>
        </w:rPr>
        <w:t xml:space="preserve">  p</w:t>
      </w:r>
      <w:r w:rsidR="002A22A3" w:rsidRPr="00001F7B">
        <w:rPr>
          <w:rFonts w:cstheme="minorHAnsi"/>
        </w:rPr>
        <w:t xml:space="preserve"> </w:t>
      </w:r>
      <w:r w:rsidR="000956B5" w:rsidRPr="00001F7B">
        <w:rPr>
          <w:rFonts w:cstheme="minorHAnsi"/>
        </w:rPr>
        <w:t>209</w:t>
      </w:r>
      <w:r w:rsidR="002A22A3" w:rsidRPr="00001F7B">
        <w:rPr>
          <w:rFonts w:cstheme="minorHAnsi"/>
        </w:rPr>
        <w:t>,</w:t>
      </w:r>
      <w:r w:rsidR="000956B5" w:rsidRPr="00001F7B">
        <w:rPr>
          <w:rFonts w:cstheme="minorHAnsi"/>
        </w:rPr>
        <w:t xml:space="preserve"> para 12</w:t>
      </w:r>
      <w:r w:rsidR="00591B15" w:rsidRPr="00001F7B">
        <w:rPr>
          <w:rFonts w:cstheme="minorHAnsi"/>
        </w:rPr>
        <w:t>, 8</w:t>
      </w:r>
      <w:r w:rsidR="000956B5" w:rsidRPr="00001F7B">
        <w:rPr>
          <w:rFonts w:cstheme="minorHAnsi"/>
        </w:rPr>
        <w:t>74</w:t>
      </w:r>
      <w:r w:rsidR="000956B5" w:rsidRPr="00001F7B">
        <w:rPr>
          <w:rFonts w:cstheme="minorHAnsi"/>
          <w:vertAlign w:val="superscript"/>
        </w:rPr>
        <w:t>th</w:t>
      </w:r>
      <w:r w:rsidR="000956B5" w:rsidRPr="00001F7B">
        <w:rPr>
          <w:rFonts w:cstheme="minorHAnsi"/>
        </w:rPr>
        <w:t xml:space="preserve"> meeting 21 6 66</w:t>
      </w:r>
      <w:r w:rsidR="00CD4FA3" w:rsidRPr="00001F7B">
        <w:rPr>
          <w:rFonts w:cstheme="minorHAnsi"/>
        </w:rPr>
        <w:t>)</w:t>
      </w:r>
      <w:r w:rsidR="00372426" w:rsidRPr="00001F7B">
        <w:rPr>
          <w:rFonts w:cstheme="minorHAnsi"/>
        </w:rPr>
        <w:t>:</w:t>
      </w:r>
      <w:r w:rsidR="000956B5" w:rsidRPr="00001F7B">
        <w:rPr>
          <w:rFonts w:cstheme="minorHAnsi"/>
        </w:rPr>
        <w:t xml:space="preserve"> relying </w:t>
      </w:r>
      <w:r w:rsidR="00372426" w:rsidRPr="00001F7B">
        <w:rPr>
          <w:rFonts w:cstheme="minorHAnsi"/>
        </w:rPr>
        <w:t>o</w:t>
      </w:r>
      <w:r w:rsidR="000956B5" w:rsidRPr="00001F7B">
        <w:rPr>
          <w:rFonts w:cstheme="minorHAnsi"/>
        </w:rPr>
        <w:t xml:space="preserve">n a single text could impair the basic concept of the treaty as a single unit.   </w:t>
      </w:r>
    </w:p>
  </w:footnote>
  <w:footnote w:id="246">
    <w:p w14:paraId="27C673A7" w14:textId="51198150" w:rsidR="00050600" w:rsidRPr="00001F7B" w:rsidRDefault="00050600">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 xml:space="preserve">Op </w:t>
      </w:r>
      <w:proofErr w:type="spellStart"/>
      <w:r w:rsidRPr="00001F7B">
        <w:rPr>
          <w:rFonts w:cstheme="minorHAnsi"/>
          <w:i/>
          <w:iCs/>
        </w:rPr>
        <w:t>cit</w:t>
      </w:r>
      <w:proofErr w:type="spellEnd"/>
      <w:r w:rsidRPr="00001F7B">
        <w:rPr>
          <w:rFonts w:cstheme="minorHAnsi"/>
        </w:rPr>
        <w:t>, p 241.</w:t>
      </w:r>
    </w:p>
  </w:footnote>
  <w:footnote w:id="247">
    <w:p w14:paraId="05190538" w14:textId="58C7E76E" w:rsidR="006D0640" w:rsidRPr="00001F7B" w:rsidRDefault="006D0640">
      <w:pPr>
        <w:pStyle w:val="FootnoteText"/>
        <w:rPr>
          <w:rFonts w:cstheme="minorHAnsi"/>
        </w:rPr>
      </w:pPr>
      <w:r w:rsidRPr="00001F7B">
        <w:rPr>
          <w:rStyle w:val="FootnoteReference"/>
          <w:rFonts w:cstheme="minorHAnsi"/>
        </w:rPr>
        <w:footnoteRef/>
      </w:r>
      <w:r w:rsidRPr="00001F7B">
        <w:rPr>
          <w:rFonts w:cstheme="minorHAnsi"/>
        </w:rPr>
        <w:t xml:space="preserve"> See above, </w:t>
      </w:r>
      <w:proofErr w:type="spellStart"/>
      <w:r w:rsidRPr="00001F7B">
        <w:rPr>
          <w:rFonts w:cstheme="minorHAnsi"/>
        </w:rPr>
        <w:t>fn</w:t>
      </w:r>
      <w:proofErr w:type="spellEnd"/>
      <w:r w:rsidRPr="00001F7B">
        <w:rPr>
          <w:rFonts w:cstheme="minorHAnsi"/>
        </w:rPr>
        <w:t xml:space="preserve"> 237, Sixth Report pp 63-64, para </w:t>
      </w:r>
      <w:r w:rsidR="00372426" w:rsidRPr="00001F7B">
        <w:rPr>
          <w:rFonts w:cstheme="minorHAnsi"/>
        </w:rPr>
        <w:t>6.</w:t>
      </w:r>
      <w:r w:rsidR="001D22B8" w:rsidRPr="00001F7B">
        <w:rPr>
          <w:rFonts w:cstheme="minorHAnsi"/>
        </w:rPr>
        <w:t xml:space="preserve"> For </w:t>
      </w:r>
      <w:proofErr w:type="spellStart"/>
      <w:r w:rsidR="001D22B8" w:rsidRPr="00001F7B">
        <w:rPr>
          <w:rFonts w:cstheme="minorHAnsi"/>
        </w:rPr>
        <w:t>Kuner</w:t>
      </w:r>
      <w:proofErr w:type="spellEnd"/>
      <w:r w:rsidR="00F3219A" w:rsidRPr="00001F7B">
        <w:rPr>
          <w:rFonts w:cstheme="minorHAnsi"/>
        </w:rPr>
        <w:t xml:space="preserve">, above </w:t>
      </w:r>
      <w:proofErr w:type="spellStart"/>
      <w:r w:rsidR="00F3219A" w:rsidRPr="00001F7B">
        <w:rPr>
          <w:rFonts w:cstheme="minorHAnsi"/>
        </w:rPr>
        <w:t>fn</w:t>
      </w:r>
      <w:proofErr w:type="spellEnd"/>
      <w:r w:rsidR="00F3219A" w:rsidRPr="00001F7B">
        <w:rPr>
          <w:rFonts w:cstheme="minorHAnsi"/>
        </w:rPr>
        <w:t xml:space="preserve"> 236, p 956 </w:t>
      </w:r>
      <w:r w:rsidR="00F3219A" w:rsidRPr="00001F7B">
        <w:rPr>
          <w:rFonts w:eastAsia="Arial" w:cstheme="minorHAnsi"/>
          <w:color w:val="000000"/>
        </w:rPr>
        <w:t xml:space="preserve">as soon as it is argued that the authentic language versions of the treaty present a difference of meaning, the presumption ceases to be effective. For Waldock ,however, the presumption underpins the need to reconcile the texts. Gardiner, above, </w:t>
      </w:r>
      <w:proofErr w:type="spellStart"/>
      <w:r w:rsidR="00F3219A" w:rsidRPr="00001F7B">
        <w:rPr>
          <w:rFonts w:eastAsia="Arial" w:cstheme="minorHAnsi"/>
          <w:color w:val="000000"/>
        </w:rPr>
        <w:t>fn</w:t>
      </w:r>
      <w:proofErr w:type="spellEnd"/>
      <w:r w:rsidR="00F3219A" w:rsidRPr="00001F7B">
        <w:rPr>
          <w:rFonts w:eastAsia="Arial" w:cstheme="minorHAnsi"/>
          <w:color w:val="000000"/>
        </w:rPr>
        <w:t xml:space="preserve"> 5, p 425 therefore is closer in saying that divergence opens the door to reconciliation.</w:t>
      </w:r>
    </w:p>
  </w:footnote>
  <w:footnote w:id="248">
    <w:p w14:paraId="0B11C90E" w14:textId="27E66633" w:rsidR="00CD4FA3" w:rsidRPr="00001F7B" w:rsidRDefault="00CD4FA3">
      <w:pPr>
        <w:pStyle w:val="FootnoteText"/>
        <w:rPr>
          <w:rFonts w:cstheme="minorHAnsi"/>
        </w:rPr>
      </w:pPr>
      <w:r w:rsidRPr="00001F7B">
        <w:rPr>
          <w:rStyle w:val="FootnoteReference"/>
          <w:rFonts w:cstheme="minorHAnsi"/>
        </w:rPr>
        <w:footnoteRef/>
      </w:r>
      <w:r w:rsidRPr="00001F7B">
        <w:rPr>
          <w:rFonts w:cstheme="minorHAnsi"/>
        </w:rPr>
        <w:t xml:space="preserve"> See above, </w:t>
      </w:r>
      <w:proofErr w:type="spellStart"/>
      <w:r w:rsidRPr="00001F7B">
        <w:rPr>
          <w:rFonts w:cstheme="minorHAnsi"/>
        </w:rPr>
        <w:t>fn</w:t>
      </w:r>
      <w:proofErr w:type="spellEnd"/>
      <w:r w:rsidRPr="00001F7B">
        <w:rPr>
          <w:rFonts w:cstheme="minorHAnsi"/>
        </w:rPr>
        <w:t xml:space="preserve"> 237, Sixth Report, p 100, para 23.</w:t>
      </w:r>
    </w:p>
  </w:footnote>
  <w:footnote w:id="249">
    <w:p w14:paraId="0A3CC6CA" w14:textId="16811AEC" w:rsidR="00DB14A4" w:rsidRPr="00001F7B" w:rsidRDefault="00DB14A4">
      <w:pPr>
        <w:pStyle w:val="FootnoteText"/>
        <w:rPr>
          <w:rFonts w:cstheme="minorHAnsi"/>
        </w:rPr>
      </w:pPr>
      <w:r w:rsidRPr="00001F7B">
        <w:rPr>
          <w:rStyle w:val="FootnoteReference"/>
          <w:rFonts w:cstheme="minorHAnsi"/>
        </w:rPr>
        <w:footnoteRef/>
      </w:r>
      <w:r w:rsidRPr="00001F7B">
        <w:rPr>
          <w:rFonts w:cstheme="minorHAnsi"/>
        </w:rPr>
        <w:t xml:space="preserve"> See e.g. Lord Edmund Davies, in </w:t>
      </w:r>
      <w:r w:rsidRPr="00001F7B">
        <w:rPr>
          <w:rFonts w:cstheme="minorHAnsi"/>
          <w:i/>
          <w:iCs/>
        </w:rPr>
        <w:t xml:space="preserve">Buchanan v </w:t>
      </w:r>
      <w:proofErr w:type="spellStart"/>
      <w:r w:rsidRPr="00001F7B">
        <w:rPr>
          <w:rFonts w:cstheme="minorHAnsi"/>
          <w:i/>
          <w:iCs/>
        </w:rPr>
        <w:t>Babco</w:t>
      </w:r>
      <w:proofErr w:type="spellEnd"/>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196, p 166 who found no ambiguity and so no justification for referring to the French text.  </w:t>
      </w:r>
    </w:p>
  </w:footnote>
  <w:footnote w:id="250">
    <w:p w14:paraId="760EE6C2" w14:textId="0071A416" w:rsidR="00F46968" w:rsidRPr="00001F7B" w:rsidRDefault="00F46968">
      <w:pPr>
        <w:pStyle w:val="FootnoteText"/>
        <w:rPr>
          <w:rFonts w:cstheme="minorHAnsi"/>
        </w:rPr>
      </w:pPr>
      <w:r w:rsidRPr="00001F7B">
        <w:rPr>
          <w:rStyle w:val="FootnoteReference"/>
          <w:rFonts w:cstheme="minorHAnsi"/>
        </w:rPr>
        <w:footnoteRef/>
      </w:r>
      <w:r w:rsidRPr="00001F7B">
        <w:rPr>
          <w:rFonts w:cstheme="minorHAnsi"/>
        </w:rPr>
        <w:t xml:space="preserve"> </w:t>
      </w:r>
      <w:r w:rsidR="00E57EE7" w:rsidRPr="00001F7B">
        <w:rPr>
          <w:rFonts w:cstheme="minorHAnsi"/>
        </w:rPr>
        <w:t xml:space="preserve">1966 Commentary, above, </w:t>
      </w:r>
      <w:proofErr w:type="spellStart"/>
      <w:r w:rsidR="00E57EE7" w:rsidRPr="00001F7B">
        <w:rPr>
          <w:rFonts w:cstheme="minorHAnsi"/>
        </w:rPr>
        <w:t>fn</w:t>
      </w:r>
      <w:proofErr w:type="spellEnd"/>
      <w:r w:rsidR="00E57EE7" w:rsidRPr="00001F7B">
        <w:rPr>
          <w:rFonts w:cstheme="minorHAnsi"/>
        </w:rPr>
        <w:t xml:space="preserve"> 38, p 225, para 7.</w:t>
      </w:r>
    </w:p>
  </w:footnote>
  <w:footnote w:id="251">
    <w:p w14:paraId="30F680D6" w14:textId="0806540F" w:rsidR="00AB1DD2" w:rsidRPr="00001F7B" w:rsidRDefault="00AB1DD2">
      <w:pPr>
        <w:pStyle w:val="FootnoteText"/>
        <w:rPr>
          <w:rFonts w:cstheme="minorHAnsi"/>
        </w:rPr>
      </w:pPr>
      <w:r w:rsidRPr="00001F7B">
        <w:rPr>
          <w:rStyle w:val="FootnoteReference"/>
          <w:rFonts w:cstheme="minorHAnsi"/>
        </w:rPr>
        <w:footnoteRef/>
      </w:r>
      <w:r w:rsidR="005B69D6" w:rsidRPr="00001F7B">
        <w:rPr>
          <w:rFonts w:cstheme="minorHAnsi"/>
        </w:rPr>
        <w:t xml:space="preserve"> </w:t>
      </w:r>
      <w:proofErr w:type="spellStart"/>
      <w:r w:rsidR="005B69D6" w:rsidRPr="00001F7B">
        <w:rPr>
          <w:rFonts w:cstheme="minorHAnsi"/>
          <w:i/>
          <w:iCs/>
        </w:rPr>
        <w:t>Loc</w:t>
      </w:r>
      <w:proofErr w:type="spellEnd"/>
      <w:r w:rsidR="005B69D6" w:rsidRPr="00001F7B">
        <w:rPr>
          <w:rFonts w:cstheme="minorHAnsi"/>
          <w:i/>
          <w:iCs/>
        </w:rPr>
        <w:t xml:space="preserve"> cit</w:t>
      </w:r>
      <w:r w:rsidRPr="00001F7B">
        <w:rPr>
          <w:rFonts w:cstheme="minorHAnsi"/>
        </w:rPr>
        <w:t>.</w:t>
      </w:r>
    </w:p>
  </w:footnote>
  <w:footnote w:id="252">
    <w:p w14:paraId="2D47A28F" w14:textId="70451B2E" w:rsidR="004B018F" w:rsidRPr="00001F7B" w:rsidRDefault="004B018F" w:rsidP="00E82CCE">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w:t>
      </w:r>
      <w:proofErr w:type="spellEnd"/>
      <w:r w:rsidRPr="00001F7B">
        <w:rPr>
          <w:rFonts w:cstheme="minorHAnsi"/>
          <w:i/>
          <w:iCs/>
        </w:rPr>
        <w:t xml:space="preserve"> cit</w:t>
      </w:r>
      <w:r w:rsidRPr="00001F7B">
        <w:rPr>
          <w:rFonts w:cstheme="minorHAnsi"/>
        </w:rPr>
        <w:t>.</w:t>
      </w:r>
      <w:r w:rsidR="004A6916" w:rsidRPr="00001F7B">
        <w:rPr>
          <w:rFonts w:cstheme="minorHAnsi"/>
        </w:rPr>
        <w:t xml:space="preserve"> They continue</w:t>
      </w:r>
      <w:r w:rsidR="00E82CCE" w:rsidRPr="00001F7B">
        <w:rPr>
          <w:rFonts w:cstheme="minorHAnsi"/>
        </w:rPr>
        <w:t>:.</w:t>
      </w:r>
      <w:r w:rsidR="00F46968" w:rsidRPr="00001F7B">
        <w:rPr>
          <w:rFonts w:cstheme="minorHAnsi"/>
        </w:rPr>
        <w:t>”</w:t>
      </w:r>
      <w:r w:rsidR="00E82CCE" w:rsidRPr="00001F7B">
        <w:rPr>
          <w:rFonts w:cstheme="minorHAnsi"/>
        </w:rPr>
        <w:t xml:space="preserve"> But whether the ambiguity or obscurity is found in all the texts or arises from the plurilingual form of the treaty, the </w:t>
      </w:r>
      <w:r w:rsidR="00E82CCE" w:rsidRPr="00001F7B">
        <w:rPr>
          <w:rFonts w:cstheme="minorHAnsi"/>
          <w:i/>
          <w:iCs/>
        </w:rPr>
        <w:t>first</w:t>
      </w:r>
      <w:r w:rsidR="00E82CCE" w:rsidRPr="00001F7B">
        <w:rPr>
          <w:rFonts w:cstheme="minorHAnsi"/>
        </w:rPr>
        <w:t xml:space="preserve"> (my emphasis) rule for the interpreter is to look for the meaning intended by the parties to be attached to the term by applying the standard rules for the interpretation of treaties.”</w:t>
      </w:r>
    </w:p>
  </w:footnote>
  <w:footnote w:id="253">
    <w:p w14:paraId="1DEB2786" w14:textId="0D1B638B" w:rsidR="00255B91" w:rsidRPr="00001F7B" w:rsidRDefault="00255B91">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Fn</w:t>
      </w:r>
      <w:proofErr w:type="spellEnd"/>
      <w:r w:rsidRPr="00001F7B">
        <w:rPr>
          <w:rFonts w:cstheme="minorHAnsi"/>
        </w:rPr>
        <w:t xml:space="preserve"> 212.</w:t>
      </w:r>
    </w:p>
  </w:footnote>
  <w:footnote w:id="254">
    <w:p w14:paraId="3A5384CB" w14:textId="0F8742CC" w:rsidR="00FD4832" w:rsidRPr="00001F7B" w:rsidRDefault="00FD4832">
      <w:pPr>
        <w:pStyle w:val="FootnoteText"/>
        <w:rPr>
          <w:rFonts w:cstheme="minorHAnsi"/>
        </w:rPr>
      </w:pPr>
      <w:r w:rsidRPr="00001F7B">
        <w:rPr>
          <w:rStyle w:val="FootnoteReference"/>
          <w:rFonts w:cstheme="minorHAnsi"/>
        </w:rPr>
        <w:footnoteRef/>
      </w:r>
      <w:r w:rsidRPr="00001F7B">
        <w:rPr>
          <w:rFonts w:cstheme="minorHAnsi"/>
        </w:rPr>
        <w:t xml:space="preserve"> </w:t>
      </w:r>
      <w:r w:rsidR="00BF1CA2" w:rsidRPr="00001F7B">
        <w:rPr>
          <w:rFonts w:cstheme="minorHAnsi"/>
        </w:rPr>
        <w:t xml:space="preserve">1966 Commentary, </w:t>
      </w:r>
      <w:r w:rsidR="00D15E68" w:rsidRPr="00001F7B">
        <w:rPr>
          <w:rFonts w:cstheme="minorHAnsi"/>
        </w:rPr>
        <w:t xml:space="preserve">above </w:t>
      </w:r>
      <w:proofErr w:type="spellStart"/>
      <w:r w:rsidR="00D15E68" w:rsidRPr="00001F7B">
        <w:rPr>
          <w:rFonts w:cstheme="minorHAnsi"/>
        </w:rPr>
        <w:t>fn</w:t>
      </w:r>
      <w:proofErr w:type="spellEnd"/>
      <w:r w:rsidR="00D15E68" w:rsidRPr="00001F7B">
        <w:rPr>
          <w:rFonts w:cstheme="minorHAnsi"/>
        </w:rPr>
        <w:t xml:space="preserve"> </w:t>
      </w:r>
      <w:r w:rsidR="008E40FF" w:rsidRPr="00001F7B">
        <w:rPr>
          <w:rFonts w:cstheme="minorHAnsi"/>
        </w:rPr>
        <w:t>38</w:t>
      </w:r>
      <w:r w:rsidR="00D15E68" w:rsidRPr="00001F7B">
        <w:rPr>
          <w:rFonts w:cstheme="minorHAnsi"/>
        </w:rPr>
        <w:t xml:space="preserve">, </w:t>
      </w:r>
      <w:r w:rsidR="00BF1CA2" w:rsidRPr="00001F7B">
        <w:rPr>
          <w:rFonts w:cstheme="minorHAnsi"/>
        </w:rPr>
        <w:t xml:space="preserve">p </w:t>
      </w:r>
      <w:r w:rsidR="00801741" w:rsidRPr="00001F7B">
        <w:rPr>
          <w:rFonts w:cstheme="minorHAnsi"/>
        </w:rPr>
        <w:t>225,</w:t>
      </w:r>
      <w:r w:rsidRPr="00001F7B">
        <w:rPr>
          <w:rFonts w:cstheme="minorHAnsi"/>
        </w:rPr>
        <w:t xml:space="preserve"> para 6 “when the meaning of terms is ambiguous or obscure in one language but it is clear and convincing as to the intentions of the parties in another, the plurilingual character of the treaty facilitates interpretation of the text the meaning of which is doubtful”</w:t>
      </w:r>
      <w:r w:rsidR="00540045" w:rsidRPr="00001F7B">
        <w:rPr>
          <w:rFonts w:cstheme="minorHAnsi"/>
        </w:rPr>
        <w:t xml:space="preserve"> and see</w:t>
      </w:r>
      <w:r w:rsidR="00A708FD" w:rsidRPr="00001F7B">
        <w:rPr>
          <w:rFonts w:cstheme="minorHAnsi"/>
        </w:rPr>
        <w:t xml:space="preserve"> the quote from para 7</w:t>
      </w:r>
      <w:r w:rsidR="00540045" w:rsidRPr="00001F7B">
        <w:rPr>
          <w:rFonts w:cstheme="minorHAnsi"/>
        </w:rPr>
        <w:t xml:space="preserve"> above, </w:t>
      </w:r>
      <w:r w:rsidR="00B747EF" w:rsidRPr="00001F7B">
        <w:rPr>
          <w:rFonts w:cstheme="minorHAnsi"/>
        </w:rPr>
        <w:t xml:space="preserve">text to </w:t>
      </w:r>
      <w:proofErr w:type="spellStart"/>
      <w:r w:rsidR="00540045" w:rsidRPr="00001F7B">
        <w:rPr>
          <w:rFonts w:cstheme="minorHAnsi"/>
        </w:rPr>
        <w:t>fn</w:t>
      </w:r>
      <w:proofErr w:type="spellEnd"/>
      <w:r w:rsidR="00540045" w:rsidRPr="00001F7B">
        <w:rPr>
          <w:rFonts w:cstheme="minorHAnsi"/>
        </w:rPr>
        <w:t xml:space="preserve"> 24</w:t>
      </w:r>
      <w:r w:rsidR="00B747EF" w:rsidRPr="00001F7B">
        <w:rPr>
          <w:rFonts w:cstheme="minorHAnsi"/>
        </w:rPr>
        <w:t>9</w:t>
      </w:r>
      <w:r w:rsidR="00540045" w:rsidRPr="00001F7B">
        <w:rPr>
          <w:rFonts w:cstheme="minorHAnsi"/>
        </w:rPr>
        <w:t xml:space="preserve">, referring to a treaty being ambiguous </w:t>
      </w:r>
      <w:r w:rsidR="00DB14A4" w:rsidRPr="00001F7B">
        <w:rPr>
          <w:rFonts w:cstheme="minorHAnsi"/>
        </w:rPr>
        <w:t>or</w:t>
      </w:r>
      <w:r w:rsidR="00540045" w:rsidRPr="00001F7B">
        <w:rPr>
          <w:rFonts w:cstheme="minorHAnsi"/>
        </w:rPr>
        <w:t xml:space="preserve"> doubtful in one language and it is</w:t>
      </w:r>
      <w:r w:rsidR="00540045" w:rsidRPr="00001F7B">
        <w:rPr>
          <w:rFonts w:cstheme="minorHAnsi"/>
          <w:i/>
          <w:iCs/>
        </w:rPr>
        <w:t xml:space="preserve"> </w:t>
      </w:r>
      <w:r w:rsidR="00A708FD" w:rsidRPr="00001F7B">
        <w:rPr>
          <w:rFonts w:cstheme="minorHAnsi"/>
          <w:i/>
          <w:iCs/>
        </w:rPr>
        <w:t xml:space="preserve">not </w:t>
      </w:r>
      <w:r w:rsidR="00540045" w:rsidRPr="00001F7B">
        <w:rPr>
          <w:rFonts w:cstheme="minorHAnsi"/>
          <w:i/>
          <w:iCs/>
        </w:rPr>
        <w:t>certain</w:t>
      </w:r>
      <w:r w:rsidR="00540045" w:rsidRPr="00001F7B">
        <w:rPr>
          <w:rFonts w:cstheme="minorHAnsi"/>
        </w:rPr>
        <w:t xml:space="preserve"> </w:t>
      </w:r>
      <w:r w:rsidR="00A708FD" w:rsidRPr="00001F7B">
        <w:rPr>
          <w:rFonts w:cstheme="minorHAnsi"/>
        </w:rPr>
        <w:t>whether there is a difference in the texts.</w:t>
      </w:r>
      <w:r w:rsidR="00914A85" w:rsidRPr="00001F7B">
        <w:rPr>
          <w:rFonts w:cstheme="minorHAnsi"/>
        </w:rPr>
        <w:t xml:space="preserve"> In an adversarial system it should be open to the judge to invite counsel to bring forward argument concerning the foreign text.</w:t>
      </w:r>
    </w:p>
  </w:footnote>
  <w:footnote w:id="255">
    <w:p w14:paraId="6A0DB009" w14:textId="170642D3" w:rsidR="0080399D" w:rsidRPr="00001F7B" w:rsidRDefault="0080399D">
      <w:pPr>
        <w:pStyle w:val="FootnoteText"/>
        <w:rPr>
          <w:rFonts w:cstheme="minorHAnsi"/>
        </w:rPr>
      </w:pPr>
      <w:r w:rsidRPr="00001F7B">
        <w:rPr>
          <w:rStyle w:val="FootnoteReference"/>
          <w:rFonts w:cstheme="minorHAnsi"/>
        </w:rPr>
        <w:footnoteRef/>
      </w:r>
      <w:r w:rsidRPr="00001F7B">
        <w:rPr>
          <w:rFonts w:cstheme="minorHAnsi"/>
        </w:rPr>
        <w:t xml:space="preserve"> </w:t>
      </w:r>
      <w:r w:rsidR="00054943" w:rsidRPr="00001F7B">
        <w:rPr>
          <w:rFonts w:cstheme="minorHAnsi"/>
          <w:i/>
          <w:iCs/>
        </w:rPr>
        <w:t xml:space="preserve">Op </w:t>
      </w:r>
      <w:proofErr w:type="spellStart"/>
      <w:r w:rsidR="00054943" w:rsidRPr="00001F7B">
        <w:rPr>
          <w:rFonts w:cstheme="minorHAnsi"/>
          <w:i/>
          <w:iCs/>
        </w:rPr>
        <w:t>cit</w:t>
      </w:r>
      <w:proofErr w:type="spellEnd"/>
      <w:r w:rsidR="00054943" w:rsidRPr="00001F7B">
        <w:rPr>
          <w:rFonts w:cstheme="minorHAnsi"/>
        </w:rPr>
        <w:t xml:space="preserve"> </w:t>
      </w:r>
      <w:r w:rsidRPr="00001F7B">
        <w:rPr>
          <w:rFonts w:eastAsia="Arial" w:cstheme="minorHAnsi"/>
          <w:color w:val="000000"/>
        </w:rPr>
        <w:t>p</w:t>
      </w:r>
      <w:r w:rsidR="00D15E68" w:rsidRPr="00001F7B">
        <w:rPr>
          <w:rFonts w:eastAsia="Arial" w:cstheme="minorHAnsi"/>
          <w:color w:val="000000"/>
        </w:rPr>
        <w:t xml:space="preserve"> </w:t>
      </w:r>
      <w:r w:rsidRPr="00001F7B">
        <w:rPr>
          <w:rFonts w:eastAsia="Arial" w:cstheme="minorHAnsi"/>
          <w:color w:val="000000"/>
        </w:rPr>
        <w:t>225 para 7</w:t>
      </w:r>
      <w:r w:rsidR="00054943" w:rsidRPr="00001F7B">
        <w:rPr>
          <w:rFonts w:eastAsia="Arial" w:cstheme="minorHAnsi"/>
          <w:color w:val="000000"/>
        </w:rPr>
        <w:t xml:space="preserve"> in which t</w:t>
      </w:r>
      <w:r w:rsidR="003975CD" w:rsidRPr="00001F7B">
        <w:rPr>
          <w:rFonts w:eastAsia="Arial" w:cstheme="minorHAnsi"/>
          <w:color w:val="000000"/>
        </w:rPr>
        <w:t xml:space="preserve">hey state: “The plurilingual form of the treaty does not justify the interpreter in simply preferring one text to another and discarding the normal means of resolving an ambiguity or obscurity on the basis of the objects and purposes of the treaty, </w:t>
      </w:r>
      <w:r w:rsidR="003975CD" w:rsidRPr="00001F7B">
        <w:rPr>
          <w:rFonts w:eastAsia="Arial" w:cstheme="minorHAnsi"/>
          <w:i/>
          <w:iCs/>
          <w:color w:val="000000"/>
        </w:rPr>
        <w:t xml:space="preserve">travaux </w:t>
      </w:r>
      <w:proofErr w:type="spellStart"/>
      <w:r w:rsidR="003975CD" w:rsidRPr="00001F7B">
        <w:rPr>
          <w:rFonts w:eastAsia="Arial" w:cstheme="minorHAnsi"/>
          <w:i/>
          <w:iCs/>
          <w:color w:val="000000"/>
        </w:rPr>
        <w:t>preparatoires</w:t>
      </w:r>
      <w:proofErr w:type="spellEnd"/>
      <w:r w:rsidR="003975CD" w:rsidRPr="00001F7B">
        <w:rPr>
          <w:rFonts w:eastAsia="Arial" w:cstheme="minorHAnsi"/>
          <w:color w:val="000000"/>
        </w:rPr>
        <w:t xml:space="preserve">, the surrounding circumstances, subsequent practice, etc. On the contrary, the equality of the texts means that every reasonable effort should first be made to reconcile the texts and to ascertain the intention of the parties by recourse to the normal means of interpretation.”  </w:t>
      </w:r>
    </w:p>
  </w:footnote>
  <w:footnote w:id="256">
    <w:p w14:paraId="3842A72C" w14:textId="0EB1F646" w:rsidR="005C47DA" w:rsidRPr="00001F7B" w:rsidRDefault="005C47DA">
      <w:pPr>
        <w:pStyle w:val="FootnoteText"/>
        <w:rPr>
          <w:rFonts w:cstheme="minorHAnsi"/>
        </w:rPr>
      </w:pPr>
      <w:r w:rsidRPr="00001F7B">
        <w:rPr>
          <w:rStyle w:val="FootnoteReference"/>
          <w:rFonts w:cstheme="minorHAnsi"/>
        </w:rPr>
        <w:footnoteRef/>
      </w:r>
      <w:r w:rsidRPr="00001F7B">
        <w:rPr>
          <w:rFonts w:cstheme="minorHAnsi"/>
        </w:rPr>
        <w:t xml:space="preserve"> Gardiner, p 423.</w:t>
      </w:r>
    </w:p>
  </w:footnote>
  <w:footnote w:id="257">
    <w:p w14:paraId="765641F5" w14:textId="5C41A1DC" w:rsidR="005323EA" w:rsidRPr="00001F7B" w:rsidRDefault="005323EA">
      <w:pPr>
        <w:pStyle w:val="FootnoteText"/>
        <w:rPr>
          <w:rFonts w:cstheme="minorHAnsi"/>
        </w:rPr>
      </w:pPr>
      <w:r w:rsidRPr="00001F7B">
        <w:rPr>
          <w:rStyle w:val="FootnoteReference"/>
          <w:rFonts w:cstheme="minorHAnsi"/>
        </w:rPr>
        <w:footnoteRef/>
      </w:r>
      <w:r w:rsidRPr="00001F7B">
        <w:rPr>
          <w:rFonts w:cstheme="minorHAnsi"/>
        </w:rPr>
        <w:t xml:space="preserve"> Pp 442-</w:t>
      </w:r>
      <w:r w:rsidR="008A30E4" w:rsidRPr="00001F7B">
        <w:rPr>
          <w:rFonts w:cstheme="minorHAnsi"/>
        </w:rPr>
        <w:t>44</w:t>
      </w:r>
      <w:r w:rsidRPr="00001F7B">
        <w:rPr>
          <w:rFonts w:cstheme="minorHAnsi"/>
        </w:rPr>
        <w:t xml:space="preserve">3. He also notes that the ILC appears to have recognised that once every effort has been made to </w:t>
      </w:r>
      <w:r w:rsidR="0078485D" w:rsidRPr="00001F7B">
        <w:rPr>
          <w:rFonts w:cstheme="minorHAnsi"/>
        </w:rPr>
        <w:t>find a common meaning, the next step might be to prefer one text to another</w:t>
      </w:r>
      <w:r w:rsidR="005D5BD5" w:rsidRPr="00001F7B">
        <w:rPr>
          <w:rFonts w:cstheme="minorHAnsi"/>
        </w:rPr>
        <w:t>.</w:t>
      </w:r>
    </w:p>
  </w:footnote>
  <w:footnote w:id="258">
    <w:p w14:paraId="5B416F79" w14:textId="704E2A75" w:rsidR="00FE344D" w:rsidRPr="00001F7B" w:rsidRDefault="00FE344D">
      <w:pPr>
        <w:pStyle w:val="FootnoteText"/>
        <w:rPr>
          <w:rFonts w:cstheme="minorHAnsi"/>
        </w:rPr>
      </w:pPr>
      <w:r w:rsidRPr="00001F7B">
        <w:rPr>
          <w:rStyle w:val="FootnoteReference"/>
          <w:rFonts w:cstheme="minorHAnsi"/>
        </w:rPr>
        <w:footnoteRef/>
      </w:r>
      <w:r w:rsidRPr="00001F7B">
        <w:rPr>
          <w:rFonts w:cstheme="minorHAnsi"/>
        </w:rPr>
        <w:t xml:space="preserve"> 40 P 3d 807 (Alaska Ct app., 2002), discussed in Gardiner, pp</w:t>
      </w:r>
      <w:r w:rsidR="008A30E4" w:rsidRPr="00001F7B">
        <w:rPr>
          <w:rFonts w:cstheme="minorHAnsi"/>
        </w:rPr>
        <w:t xml:space="preserve"> </w:t>
      </w:r>
      <w:r w:rsidRPr="00001F7B">
        <w:rPr>
          <w:rFonts w:cstheme="minorHAnsi"/>
        </w:rPr>
        <w:t>436-</w:t>
      </w:r>
      <w:r w:rsidR="008A30E4" w:rsidRPr="00001F7B">
        <w:rPr>
          <w:rFonts w:cstheme="minorHAnsi"/>
        </w:rPr>
        <w:t>43</w:t>
      </w:r>
      <w:r w:rsidRPr="00001F7B">
        <w:rPr>
          <w:rFonts w:cstheme="minorHAnsi"/>
        </w:rPr>
        <w:t>7.</w:t>
      </w:r>
    </w:p>
  </w:footnote>
  <w:footnote w:id="259">
    <w:p w14:paraId="09623BB4" w14:textId="7B487CB1" w:rsidR="007E5F78" w:rsidRPr="00001F7B" w:rsidRDefault="007E5F78">
      <w:pPr>
        <w:pStyle w:val="FootnoteText"/>
        <w:rPr>
          <w:rFonts w:cstheme="minorHAnsi"/>
        </w:rPr>
      </w:pPr>
      <w:r w:rsidRPr="00001F7B">
        <w:rPr>
          <w:rStyle w:val="FootnoteReference"/>
          <w:rFonts w:cstheme="minorHAnsi"/>
        </w:rPr>
        <w:footnoteRef/>
      </w:r>
      <w:r w:rsidRPr="00001F7B">
        <w:rPr>
          <w:rFonts w:cstheme="minorHAnsi"/>
        </w:rPr>
        <w:t xml:space="preserve"> In para 8.</w:t>
      </w:r>
    </w:p>
  </w:footnote>
  <w:footnote w:id="260">
    <w:p w14:paraId="1A66A7AE" w14:textId="0E903A85" w:rsidR="00474393" w:rsidRPr="00001F7B" w:rsidRDefault="00474393">
      <w:pPr>
        <w:pStyle w:val="FootnoteText"/>
        <w:rPr>
          <w:rFonts w:cstheme="minorHAnsi"/>
        </w:rPr>
      </w:pPr>
      <w:r w:rsidRPr="00001F7B">
        <w:rPr>
          <w:rStyle w:val="FootnoteReference"/>
          <w:rFonts w:cstheme="minorHAnsi"/>
        </w:rPr>
        <w:footnoteRef/>
      </w:r>
      <w:r w:rsidRPr="00001F7B">
        <w:rPr>
          <w:rFonts w:cstheme="minorHAnsi"/>
        </w:rPr>
        <w:t xml:space="preserve"> P 226 para 9.</w:t>
      </w:r>
    </w:p>
  </w:footnote>
  <w:footnote w:id="261">
    <w:p w14:paraId="078E6CEA" w14:textId="0E25368C" w:rsidR="000E137E" w:rsidRPr="00001F7B" w:rsidRDefault="000E137E">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eastAsia="Arial" w:cstheme="minorHAnsi"/>
          <w:color w:val="000000"/>
        </w:rPr>
        <w:t>Art 75.4 in the earlier draft.</w:t>
      </w:r>
    </w:p>
  </w:footnote>
  <w:footnote w:id="262">
    <w:p w14:paraId="5F20766B" w14:textId="1663B660" w:rsidR="00203D31" w:rsidRPr="00001F7B" w:rsidRDefault="00203D31" w:rsidP="00203D31">
      <w:pPr>
        <w:pStyle w:val="FootnoteText"/>
        <w:rPr>
          <w:rFonts w:cstheme="minorHAnsi"/>
        </w:rPr>
      </w:pPr>
      <w:r w:rsidRPr="00001F7B">
        <w:rPr>
          <w:rStyle w:val="FootnoteReference"/>
          <w:rFonts w:cstheme="minorHAnsi"/>
        </w:rPr>
        <w:footnoteRef/>
      </w:r>
      <w:r w:rsidRPr="00001F7B">
        <w:rPr>
          <w:rFonts w:cstheme="minorHAnsi"/>
        </w:rPr>
        <w:t xml:space="preserve"> Shelton, ‘Reconcilable Differences--The Interpretation of Multilingual Treaties’ (1997) 20 Hastings International and Comparative Law Review, 611, 635. This </w:t>
      </w:r>
      <w:r w:rsidR="001A0B6B" w:rsidRPr="00001F7B">
        <w:rPr>
          <w:rFonts w:cstheme="minorHAnsi"/>
        </w:rPr>
        <w:t xml:space="preserve">reflects the view of </w:t>
      </w:r>
      <w:proofErr w:type="spellStart"/>
      <w:r w:rsidR="001A0B6B" w:rsidRPr="00001F7B">
        <w:rPr>
          <w:rFonts w:cstheme="minorHAnsi"/>
        </w:rPr>
        <w:t>Verdross</w:t>
      </w:r>
      <w:proofErr w:type="spellEnd"/>
      <w:r w:rsidR="001A0B6B" w:rsidRPr="00001F7B">
        <w:rPr>
          <w:rFonts w:cstheme="minorHAnsi"/>
        </w:rPr>
        <w:t xml:space="preserve"> in the ILC debates who made this suggestion. Gardiner considers </w:t>
      </w:r>
      <w:r w:rsidR="00E4712C" w:rsidRPr="00001F7B">
        <w:rPr>
          <w:rFonts w:cstheme="minorHAnsi"/>
        </w:rPr>
        <w:t xml:space="preserve">that </w:t>
      </w:r>
      <w:r w:rsidR="001A0B6B" w:rsidRPr="00001F7B">
        <w:rPr>
          <w:rFonts w:cstheme="minorHAnsi"/>
        </w:rPr>
        <w:t>(p</w:t>
      </w:r>
      <w:r w:rsidR="00E4712C" w:rsidRPr="00001F7B">
        <w:rPr>
          <w:rFonts w:cstheme="minorHAnsi"/>
        </w:rPr>
        <w:t xml:space="preserve"> </w:t>
      </w:r>
      <w:r w:rsidR="001A0B6B" w:rsidRPr="00001F7B">
        <w:rPr>
          <w:rFonts w:cstheme="minorHAnsi"/>
        </w:rPr>
        <w:t xml:space="preserve">426, </w:t>
      </w:r>
      <w:proofErr w:type="spellStart"/>
      <w:r w:rsidR="001A0B6B" w:rsidRPr="00001F7B">
        <w:rPr>
          <w:rFonts w:cstheme="minorHAnsi"/>
        </w:rPr>
        <w:t>fn</w:t>
      </w:r>
      <w:proofErr w:type="spellEnd"/>
      <w:r w:rsidR="001A0B6B" w:rsidRPr="00001F7B">
        <w:rPr>
          <w:rFonts w:cstheme="minorHAnsi"/>
        </w:rPr>
        <w:t xml:space="preserve"> 53</w:t>
      </w:r>
      <w:r w:rsidR="00E4712C" w:rsidRPr="00001F7B">
        <w:rPr>
          <w:rFonts w:cstheme="minorHAnsi"/>
        </w:rPr>
        <w:t xml:space="preserve">) </w:t>
      </w:r>
      <w:r w:rsidR="00F56A98" w:rsidRPr="00001F7B">
        <w:rPr>
          <w:rFonts w:cstheme="minorHAnsi"/>
        </w:rPr>
        <w:t>whilst this has some attractions it would only work where a complete text was negotiated and drafted entirely from thoughts and proposals in a single language which would not be typical with modern multilateral treaties.</w:t>
      </w:r>
    </w:p>
  </w:footnote>
  <w:footnote w:id="263">
    <w:p w14:paraId="4CD397E0" w14:textId="53883E8E" w:rsidR="001A3B12" w:rsidRPr="00001F7B" w:rsidRDefault="001A3B12">
      <w:pPr>
        <w:pStyle w:val="FootnoteText"/>
        <w:rPr>
          <w:rFonts w:cstheme="minorHAnsi"/>
        </w:rPr>
      </w:pPr>
      <w:r w:rsidRPr="00001F7B">
        <w:rPr>
          <w:rStyle w:val="FootnoteReference"/>
          <w:rFonts w:cstheme="minorHAnsi"/>
        </w:rPr>
        <w:footnoteRef/>
      </w:r>
      <w:r w:rsidRPr="00001F7B">
        <w:rPr>
          <w:rFonts w:cstheme="minorHAnsi"/>
        </w:rPr>
        <w:t xml:space="preserve"> P 427</w:t>
      </w:r>
    </w:p>
  </w:footnote>
  <w:footnote w:id="264">
    <w:p w14:paraId="65F4A43C" w14:textId="51439CA8" w:rsidR="0038272C" w:rsidRPr="00001F7B" w:rsidRDefault="0038272C">
      <w:pPr>
        <w:pStyle w:val="FootnoteText"/>
        <w:rPr>
          <w:rFonts w:cstheme="minorHAnsi"/>
        </w:rPr>
      </w:pPr>
      <w:r w:rsidRPr="00001F7B">
        <w:rPr>
          <w:rStyle w:val="FootnoteReference"/>
          <w:rFonts w:cstheme="minorHAnsi"/>
        </w:rPr>
        <w:footnoteRef/>
      </w:r>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5, pp 425-</w:t>
      </w:r>
      <w:r w:rsidR="009E483B" w:rsidRPr="00001F7B">
        <w:rPr>
          <w:rFonts w:cstheme="minorHAnsi"/>
        </w:rPr>
        <w:t>426.</w:t>
      </w:r>
    </w:p>
  </w:footnote>
  <w:footnote w:id="265">
    <w:p w14:paraId="613011AD" w14:textId="7557E260" w:rsidR="00413EC9" w:rsidRPr="00001F7B" w:rsidRDefault="00413EC9">
      <w:pPr>
        <w:pStyle w:val="FootnoteText"/>
        <w:rPr>
          <w:rFonts w:cstheme="minorHAnsi"/>
        </w:rPr>
      </w:pPr>
      <w:r w:rsidRPr="00001F7B">
        <w:rPr>
          <w:rStyle w:val="FootnoteReference"/>
          <w:rFonts w:cstheme="minorHAnsi"/>
        </w:rPr>
        <w:footnoteRef/>
      </w:r>
      <w:r w:rsidRPr="00001F7B">
        <w:rPr>
          <w:rFonts w:cstheme="minorHAnsi"/>
        </w:rPr>
        <w:t xml:space="preserve"> Gardiner, p 429.</w:t>
      </w:r>
    </w:p>
  </w:footnote>
  <w:footnote w:id="266">
    <w:p w14:paraId="6A5CEA03" w14:textId="59FDB119" w:rsidR="00043EE6" w:rsidRPr="00001F7B" w:rsidRDefault="00043EE6">
      <w:pPr>
        <w:pStyle w:val="FootnoteText"/>
        <w:rPr>
          <w:rFonts w:cstheme="minorHAnsi"/>
        </w:rPr>
      </w:pPr>
      <w:r w:rsidRPr="00001F7B">
        <w:rPr>
          <w:rStyle w:val="FootnoteReference"/>
          <w:rFonts w:cstheme="minorHAnsi"/>
        </w:rPr>
        <w:footnoteRef/>
      </w:r>
      <w:r w:rsidRPr="00001F7B">
        <w:rPr>
          <w:rFonts w:cstheme="minorHAnsi"/>
        </w:rPr>
        <w:t xml:space="preserve"> (1991) 499 US 530, Gardiner</w:t>
      </w:r>
      <w:r w:rsidR="00482604" w:rsidRPr="00001F7B">
        <w:rPr>
          <w:rFonts w:cstheme="minorHAnsi"/>
        </w:rPr>
        <w:t>,</w:t>
      </w:r>
      <w:r w:rsidRPr="00001F7B">
        <w:rPr>
          <w:rFonts w:cstheme="minorHAnsi"/>
        </w:rPr>
        <w:t xml:space="preserve"> pp 430-</w:t>
      </w:r>
      <w:r w:rsidR="00482604" w:rsidRPr="00001F7B">
        <w:rPr>
          <w:rFonts w:cstheme="minorHAnsi"/>
        </w:rPr>
        <w:t>43</w:t>
      </w:r>
      <w:r w:rsidRPr="00001F7B">
        <w:rPr>
          <w:rFonts w:cstheme="minorHAnsi"/>
        </w:rPr>
        <w:t>1.</w:t>
      </w:r>
    </w:p>
  </w:footnote>
  <w:footnote w:id="267">
    <w:p w14:paraId="64693EF6" w14:textId="7553ECF1" w:rsidR="00D94643" w:rsidRPr="00001F7B" w:rsidRDefault="00D94643">
      <w:pPr>
        <w:pStyle w:val="FootnoteText"/>
        <w:rPr>
          <w:rFonts w:cstheme="minorHAnsi"/>
        </w:rPr>
      </w:pPr>
      <w:r w:rsidRPr="00001F7B">
        <w:rPr>
          <w:rStyle w:val="FootnoteReference"/>
          <w:rFonts w:cstheme="minorHAnsi"/>
        </w:rPr>
        <w:footnoteRef/>
      </w:r>
      <w:r w:rsidRPr="00001F7B">
        <w:rPr>
          <w:rFonts w:cstheme="minorHAnsi"/>
        </w:rPr>
        <w:t xml:space="preserve"> Gardiner, p 431.</w:t>
      </w:r>
    </w:p>
  </w:footnote>
  <w:footnote w:id="268">
    <w:p w14:paraId="65067758" w14:textId="1ECA2B80" w:rsidR="00A01135" w:rsidRPr="00001F7B" w:rsidRDefault="00A01135" w:rsidP="00482604">
      <w:pPr>
        <w:widowControl w:val="0"/>
        <w:autoSpaceDE w:val="0"/>
        <w:autoSpaceDN w:val="0"/>
        <w:adjustRightInd w:val="0"/>
        <w:spacing w:after="0" w:line="240" w:lineRule="auto"/>
        <w:rPr>
          <w:rFonts w:cstheme="minorHAnsi"/>
          <w:sz w:val="20"/>
          <w:szCs w:val="20"/>
        </w:rPr>
      </w:pPr>
      <w:r w:rsidRPr="00001F7B">
        <w:rPr>
          <w:rStyle w:val="FootnoteReference"/>
          <w:rFonts w:cstheme="minorHAnsi"/>
          <w:sz w:val="20"/>
          <w:szCs w:val="20"/>
        </w:rPr>
        <w:footnoteRef/>
      </w:r>
      <w:r w:rsidRPr="00001F7B">
        <w:rPr>
          <w:rFonts w:cstheme="minorHAnsi"/>
          <w:sz w:val="20"/>
          <w:szCs w:val="20"/>
        </w:rPr>
        <w:t xml:space="preserve"> </w:t>
      </w:r>
      <w:r w:rsidR="00482604" w:rsidRPr="00001F7B">
        <w:rPr>
          <w:rFonts w:eastAsiaTheme="minorEastAsia" w:cstheme="minorHAnsi"/>
          <w:color w:val="000000"/>
          <w:sz w:val="20"/>
          <w:szCs w:val="20"/>
          <w:lang w:eastAsia="en-GB"/>
        </w:rPr>
        <w:t>[2002] UKHL 7, [2002] 2 AC 628 at para 16.</w:t>
      </w:r>
      <w:r w:rsidR="00831D29" w:rsidRPr="00001F7B">
        <w:rPr>
          <w:rFonts w:eastAsiaTheme="minorEastAsia" w:cstheme="minorHAnsi"/>
          <w:color w:val="000000"/>
          <w:sz w:val="20"/>
          <w:szCs w:val="20"/>
          <w:lang w:eastAsia="en-GB"/>
        </w:rPr>
        <w:t xml:space="preserve"> See further, Review of UK law</w:t>
      </w:r>
      <w:r w:rsidR="009D3337" w:rsidRPr="00001F7B">
        <w:rPr>
          <w:rFonts w:eastAsiaTheme="minorEastAsia" w:cstheme="minorHAnsi"/>
          <w:color w:val="000000"/>
          <w:sz w:val="20"/>
          <w:szCs w:val="20"/>
          <w:lang w:eastAsia="en-GB"/>
        </w:rPr>
        <w:t xml:space="preserve"> in the Annex Folder</w:t>
      </w:r>
      <w:r w:rsidR="00831D29" w:rsidRPr="00001F7B">
        <w:rPr>
          <w:rFonts w:eastAsiaTheme="minorEastAsia" w:cstheme="minorHAnsi"/>
          <w:color w:val="000000"/>
          <w:sz w:val="20"/>
          <w:szCs w:val="20"/>
          <w:lang w:eastAsia="en-GB"/>
        </w:rPr>
        <w:t xml:space="preserve">, section </w:t>
      </w:r>
      <w:r w:rsidR="00831D29" w:rsidRPr="00001F7B">
        <w:rPr>
          <w:rFonts w:eastAsiaTheme="minorEastAsia" w:cstheme="minorHAnsi"/>
          <w:b/>
          <w:bCs/>
          <w:color w:val="000000"/>
          <w:sz w:val="20"/>
          <w:szCs w:val="20"/>
          <w:lang w:eastAsia="en-GB"/>
        </w:rPr>
        <w:t>2.4</w:t>
      </w:r>
      <w:r w:rsidR="00831D29" w:rsidRPr="00001F7B">
        <w:rPr>
          <w:rFonts w:eastAsiaTheme="minorEastAsia" w:cstheme="minorHAnsi"/>
          <w:color w:val="000000"/>
          <w:sz w:val="20"/>
          <w:szCs w:val="20"/>
          <w:lang w:eastAsia="en-GB"/>
        </w:rPr>
        <w:t>.</w:t>
      </w:r>
    </w:p>
  </w:footnote>
  <w:footnote w:id="269">
    <w:p w14:paraId="78AB7F2E" w14:textId="1DDC281F" w:rsidR="00C34B29" w:rsidRPr="00001F7B" w:rsidRDefault="00C34B29">
      <w:pPr>
        <w:pStyle w:val="FootnoteText"/>
        <w:rPr>
          <w:rFonts w:cstheme="minorHAnsi"/>
        </w:rPr>
      </w:pPr>
      <w:r w:rsidRPr="00001F7B">
        <w:rPr>
          <w:rStyle w:val="FootnoteReference"/>
          <w:rFonts w:cstheme="minorHAnsi"/>
        </w:rPr>
        <w:footnoteRef/>
      </w:r>
      <w:r w:rsidRPr="00001F7B">
        <w:rPr>
          <w:rFonts w:cstheme="minorHAnsi"/>
        </w:rPr>
        <w:t xml:space="preserve"> Gardiner</w:t>
      </w:r>
      <w:r w:rsidR="001226F6" w:rsidRPr="00001F7B">
        <w:rPr>
          <w:rFonts w:cstheme="minorHAnsi"/>
        </w:rPr>
        <w:t>,</w:t>
      </w:r>
      <w:r w:rsidRPr="00001F7B">
        <w:rPr>
          <w:rFonts w:cstheme="minorHAnsi"/>
        </w:rPr>
        <w:t xml:space="preserve"> p</w:t>
      </w:r>
      <w:r w:rsidR="001226F6" w:rsidRPr="00001F7B">
        <w:rPr>
          <w:rFonts w:cstheme="minorHAnsi"/>
        </w:rPr>
        <w:t xml:space="preserve"> </w:t>
      </w:r>
      <w:r w:rsidRPr="00001F7B">
        <w:rPr>
          <w:rFonts w:cstheme="minorHAnsi"/>
        </w:rPr>
        <w:t>433.</w:t>
      </w:r>
    </w:p>
  </w:footnote>
  <w:footnote w:id="270">
    <w:p w14:paraId="36842426" w14:textId="4D87A185" w:rsidR="00A03D51" w:rsidRPr="00001F7B" w:rsidRDefault="00A03D51">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 xml:space="preserve">Op </w:t>
      </w:r>
      <w:proofErr w:type="spellStart"/>
      <w:r w:rsidRPr="00001F7B">
        <w:rPr>
          <w:rFonts w:cstheme="minorHAnsi"/>
          <w:i/>
          <w:iCs/>
        </w:rPr>
        <w:t>cit</w:t>
      </w:r>
      <w:proofErr w:type="spellEnd"/>
      <w:r w:rsidR="001226F6" w:rsidRPr="00001F7B">
        <w:rPr>
          <w:rFonts w:cstheme="minorHAnsi"/>
        </w:rPr>
        <w:t xml:space="preserve">, </w:t>
      </w:r>
      <w:r w:rsidRPr="00001F7B">
        <w:rPr>
          <w:rFonts w:cstheme="minorHAnsi"/>
        </w:rPr>
        <w:t>pp 433-</w:t>
      </w:r>
      <w:r w:rsidR="00831D29" w:rsidRPr="00001F7B">
        <w:rPr>
          <w:rFonts w:cstheme="minorHAnsi"/>
        </w:rPr>
        <w:t>43</w:t>
      </w:r>
      <w:r w:rsidRPr="00001F7B">
        <w:rPr>
          <w:rFonts w:cstheme="minorHAnsi"/>
        </w:rPr>
        <w:t>4.</w:t>
      </w:r>
    </w:p>
  </w:footnote>
  <w:footnote w:id="271">
    <w:p w14:paraId="1592F597" w14:textId="1AE859C3" w:rsidR="00831D29" w:rsidRPr="00001F7B" w:rsidRDefault="00831D29">
      <w:pPr>
        <w:pStyle w:val="FootnoteText"/>
        <w:rPr>
          <w:rFonts w:cstheme="minorHAnsi"/>
        </w:rPr>
      </w:pPr>
      <w:r w:rsidRPr="00001F7B">
        <w:rPr>
          <w:rStyle w:val="FootnoteReference"/>
          <w:rFonts w:cstheme="minorHAnsi"/>
        </w:rPr>
        <w:footnoteRef/>
      </w:r>
      <w:r w:rsidRPr="00001F7B">
        <w:rPr>
          <w:rFonts w:cstheme="minorHAnsi"/>
        </w:rPr>
        <w:t xml:space="preserve"> </w:t>
      </w:r>
      <w:r w:rsidR="00C22DC7" w:rsidRPr="00001F7B">
        <w:rPr>
          <w:rFonts w:cstheme="minorHAnsi"/>
        </w:rPr>
        <w:t>Fourth report on subsequent agreements and subsequent practice in relation to the interpretation of treaties, A/CN.4/694, 7 March 2016, pp 38-39: “Article 31 does not, after all, require that all means of interpretation must in each case be given the same predetermined weight. Rather, the provision leaves room for putting more or less emphasis on certain of those means, as appropriate.”</w:t>
      </w:r>
      <w:r w:rsidR="00415355" w:rsidRPr="00001F7B">
        <w:rPr>
          <w:rFonts w:cstheme="minorHAnsi"/>
        </w:rPr>
        <w:t xml:space="preserve"> See also, </w:t>
      </w:r>
      <w:r w:rsidR="00415355" w:rsidRPr="00001F7B">
        <w:rPr>
          <w:rFonts w:eastAsia="Arial" w:cstheme="minorHAnsi"/>
          <w:color w:val="000000"/>
        </w:rPr>
        <w:t xml:space="preserve">Mola and </w:t>
      </w:r>
      <w:proofErr w:type="spellStart"/>
      <w:r w:rsidR="00415355" w:rsidRPr="00001F7B">
        <w:rPr>
          <w:rFonts w:eastAsia="Arial" w:cstheme="minorHAnsi"/>
          <w:color w:val="000000"/>
        </w:rPr>
        <w:t>Poncibò</w:t>
      </w:r>
      <w:proofErr w:type="spellEnd"/>
      <w:r w:rsidR="00415355" w:rsidRPr="00001F7B">
        <w:rPr>
          <w:rFonts w:eastAsia="Arial" w:cstheme="minorHAnsi"/>
          <w:color w:val="000000"/>
        </w:rPr>
        <w:t xml:space="preserve">, above, </w:t>
      </w:r>
      <w:proofErr w:type="spellStart"/>
      <w:r w:rsidR="00415355" w:rsidRPr="00001F7B">
        <w:rPr>
          <w:rFonts w:eastAsia="Arial" w:cstheme="minorHAnsi"/>
          <w:color w:val="000000"/>
        </w:rPr>
        <w:t>fn</w:t>
      </w:r>
      <w:proofErr w:type="spellEnd"/>
      <w:r w:rsidR="00415355" w:rsidRPr="00001F7B">
        <w:rPr>
          <w:rFonts w:eastAsia="Arial" w:cstheme="minorHAnsi"/>
          <w:color w:val="000000"/>
        </w:rPr>
        <w:t xml:space="preserve"> 7, p 866, </w:t>
      </w:r>
      <w:proofErr w:type="spellStart"/>
      <w:r w:rsidR="00415355" w:rsidRPr="00001F7B">
        <w:rPr>
          <w:rFonts w:eastAsia="Arial" w:cstheme="minorHAnsi"/>
          <w:color w:val="000000"/>
        </w:rPr>
        <w:t>Wailbel</w:t>
      </w:r>
      <w:proofErr w:type="spellEnd"/>
      <w:r w:rsidR="00415355" w:rsidRPr="00001F7B">
        <w:rPr>
          <w:rFonts w:eastAsia="Arial" w:cstheme="minorHAnsi"/>
          <w:color w:val="000000"/>
        </w:rPr>
        <w:t xml:space="preserve">, </w:t>
      </w:r>
      <w:r w:rsidR="007B3D1A" w:rsidRPr="00001F7B">
        <w:rPr>
          <w:rFonts w:eastAsia="Arial" w:cstheme="minorHAnsi"/>
          <w:color w:val="000000"/>
        </w:rPr>
        <w:t xml:space="preserve">above, </w:t>
      </w:r>
      <w:proofErr w:type="spellStart"/>
      <w:r w:rsidR="00415355" w:rsidRPr="00001F7B">
        <w:rPr>
          <w:rFonts w:eastAsia="Arial" w:cstheme="minorHAnsi"/>
          <w:color w:val="000000"/>
        </w:rPr>
        <w:t>fn</w:t>
      </w:r>
      <w:proofErr w:type="spellEnd"/>
      <w:r w:rsidR="00415355" w:rsidRPr="00001F7B">
        <w:rPr>
          <w:rFonts w:eastAsia="Arial" w:cstheme="minorHAnsi"/>
          <w:color w:val="000000"/>
        </w:rPr>
        <w:t xml:space="preserve"> 3, pp 4-5.  </w:t>
      </w:r>
      <w:r w:rsidR="00415355" w:rsidRPr="00001F7B">
        <w:rPr>
          <w:rFonts w:cstheme="minorHAnsi"/>
        </w:rPr>
        <w:t xml:space="preserve"> </w:t>
      </w:r>
    </w:p>
  </w:footnote>
  <w:footnote w:id="272">
    <w:p w14:paraId="2E744299" w14:textId="701BCEBC" w:rsidR="00AE1CB5" w:rsidRPr="00001F7B" w:rsidRDefault="00AE1CB5">
      <w:pPr>
        <w:pStyle w:val="FootnoteText"/>
        <w:rPr>
          <w:rFonts w:cstheme="minorHAnsi"/>
        </w:rPr>
      </w:pPr>
      <w:r w:rsidRPr="00001F7B">
        <w:rPr>
          <w:rStyle w:val="FootnoteReference"/>
          <w:rFonts w:cstheme="minorHAnsi"/>
        </w:rPr>
        <w:footnoteRef/>
      </w:r>
      <w:r w:rsidRPr="00001F7B">
        <w:rPr>
          <w:rFonts w:cstheme="minorHAnsi"/>
        </w:rPr>
        <w:t xml:space="preserve"> </w:t>
      </w:r>
      <w:r w:rsidR="00A23429" w:rsidRPr="00001F7B">
        <w:rPr>
          <w:rFonts w:cstheme="minorHAnsi"/>
        </w:rPr>
        <w:t xml:space="preserve">Above, </w:t>
      </w:r>
      <w:proofErr w:type="spellStart"/>
      <w:r w:rsidR="00A23429" w:rsidRPr="00001F7B">
        <w:rPr>
          <w:rFonts w:cstheme="minorHAnsi"/>
        </w:rPr>
        <w:t>fn</w:t>
      </w:r>
      <w:proofErr w:type="spellEnd"/>
      <w:r w:rsidR="00A23429" w:rsidRPr="00001F7B">
        <w:rPr>
          <w:rFonts w:cstheme="minorHAnsi"/>
        </w:rPr>
        <w:t xml:space="preserve"> 71, p 337.</w:t>
      </w:r>
    </w:p>
  </w:footnote>
  <w:footnote w:id="273">
    <w:p w14:paraId="4A259556" w14:textId="3D98190F" w:rsidR="0093392B" w:rsidRPr="00001F7B" w:rsidRDefault="0093392B">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w:t>
      </w:r>
      <w:proofErr w:type="spellEnd"/>
      <w:r w:rsidRPr="00001F7B">
        <w:rPr>
          <w:rFonts w:cstheme="minorHAnsi"/>
          <w:i/>
          <w:iCs/>
        </w:rPr>
        <w:t xml:space="preserve"> cit.</w:t>
      </w:r>
    </w:p>
  </w:footnote>
  <w:footnote w:id="274">
    <w:p w14:paraId="04B5A2B6" w14:textId="5DCAFE06" w:rsidR="00890E6B" w:rsidRPr="00001F7B" w:rsidRDefault="00890E6B">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Verheyen</w:t>
      </w:r>
      <w:proofErr w:type="spellEnd"/>
      <w:r w:rsidRPr="00001F7B">
        <w:rPr>
          <w:rFonts w:cstheme="minorHAnsi"/>
        </w:rPr>
        <w:t xml:space="preserve">, </w:t>
      </w:r>
      <w:r w:rsidR="005145E2" w:rsidRPr="00001F7B">
        <w:rPr>
          <w:rFonts w:cstheme="minorHAnsi"/>
        </w:rPr>
        <w:t>‘National Judges as Gatekeepers to the CMR Convention’ (2016) 21 ULR 441 at p 441.</w:t>
      </w:r>
    </w:p>
  </w:footnote>
  <w:footnote w:id="275">
    <w:p w14:paraId="63080E10" w14:textId="05F0A51C" w:rsidR="007B3D1A" w:rsidRPr="00001F7B" w:rsidRDefault="007B3D1A">
      <w:pPr>
        <w:pStyle w:val="FootnoteText"/>
        <w:rPr>
          <w:rFonts w:cstheme="minorHAnsi"/>
        </w:rPr>
      </w:pPr>
      <w:r w:rsidRPr="00001F7B">
        <w:rPr>
          <w:rStyle w:val="FootnoteReference"/>
          <w:rFonts w:cstheme="minorHAnsi"/>
        </w:rPr>
        <w:footnoteRef/>
      </w:r>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3, p 12.</w:t>
      </w:r>
    </w:p>
  </w:footnote>
  <w:footnote w:id="276">
    <w:p w14:paraId="413C14FA" w14:textId="0A1A1BE7" w:rsidR="00A935A0" w:rsidRPr="00001F7B" w:rsidRDefault="00A935A0">
      <w:pPr>
        <w:pStyle w:val="FootnoteText"/>
        <w:rPr>
          <w:rFonts w:cstheme="minorHAnsi"/>
        </w:rPr>
      </w:pPr>
      <w:r w:rsidRPr="00001F7B">
        <w:rPr>
          <w:rStyle w:val="FootnoteReference"/>
          <w:rFonts w:cstheme="minorHAnsi"/>
        </w:rPr>
        <w:footnoteRef/>
      </w:r>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7 p 869.</w:t>
      </w:r>
    </w:p>
  </w:footnote>
  <w:footnote w:id="277">
    <w:p w14:paraId="65A7239B" w14:textId="7258AE65" w:rsidR="00765E86" w:rsidRPr="00001F7B" w:rsidRDefault="00765E86">
      <w:pPr>
        <w:pStyle w:val="FootnoteText"/>
        <w:rPr>
          <w:rFonts w:cstheme="minorHAnsi"/>
        </w:rPr>
      </w:pPr>
      <w:r w:rsidRPr="00001F7B">
        <w:rPr>
          <w:rStyle w:val="FootnoteReference"/>
          <w:rFonts w:cstheme="minorHAnsi"/>
        </w:rPr>
        <w:footnoteRef/>
      </w:r>
      <w:r w:rsidRPr="00001F7B">
        <w:rPr>
          <w:rFonts w:cstheme="minorHAnsi"/>
        </w:rPr>
        <w:t xml:space="preserve"> </w:t>
      </w:r>
      <w:r w:rsidR="005D1049" w:rsidRPr="00001F7B">
        <w:rPr>
          <w:rFonts w:cstheme="minorHAnsi"/>
          <w:i/>
          <w:iCs/>
        </w:rPr>
        <w:t xml:space="preserve">Op </w:t>
      </w:r>
      <w:proofErr w:type="spellStart"/>
      <w:r w:rsidRPr="00001F7B">
        <w:rPr>
          <w:rFonts w:cstheme="minorHAnsi"/>
          <w:i/>
          <w:iCs/>
        </w:rPr>
        <w:t>cit</w:t>
      </w:r>
      <w:proofErr w:type="spellEnd"/>
      <w:r w:rsidRPr="00001F7B">
        <w:rPr>
          <w:rFonts w:cstheme="minorHAnsi"/>
        </w:rPr>
        <w:t xml:space="preserve">, p 866. </w:t>
      </w:r>
      <w:r w:rsidR="00195AEA" w:rsidRPr="00001F7B">
        <w:rPr>
          <w:rFonts w:cstheme="minorHAnsi"/>
        </w:rPr>
        <w:t xml:space="preserve">See also, Ammann, above, </w:t>
      </w:r>
      <w:proofErr w:type="spellStart"/>
      <w:r w:rsidR="00195AEA" w:rsidRPr="00001F7B">
        <w:rPr>
          <w:rFonts w:cstheme="minorHAnsi"/>
        </w:rPr>
        <w:t>fn</w:t>
      </w:r>
      <w:proofErr w:type="spellEnd"/>
      <w:r w:rsidR="00195AEA" w:rsidRPr="00001F7B">
        <w:rPr>
          <w:rFonts w:cstheme="minorHAnsi"/>
        </w:rPr>
        <w:t xml:space="preserve"> 205.</w:t>
      </w:r>
    </w:p>
  </w:footnote>
  <w:footnote w:id="278">
    <w:p w14:paraId="14619F12" w14:textId="2FA17BE6" w:rsidR="00765E86" w:rsidRPr="00001F7B" w:rsidRDefault="00765E86">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001C3050" w:rsidRPr="00001F7B">
        <w:rPr>
          <w:rFonts w:cstheme="minorHAnsi"/>
          <w:i/>
          <w:iCs/>
        </w:rPr>
        <w:t>Loc</w:t>
      </w:r>
      <w:proofErr w:type="spellEnd"/>
      <w:r w:rsidR="001C3050" w:rsidRPr="00001F7B">
        <w:rPr>
          <w:rFonts w:cstheme="minorHAnsi"/>
          <w:i/>
          <w:iCs/>
        </w:rPr>
        <w:t xml:space="preserve"> cit</w:t>
      </w:r>
      <w:r w:rsidR="001C3050" w:rsidRPr="00001F7B">
        <w:rPr>
          <w:rFonts w:cstheme="minorHAnsi"/>
        </w:rPr>
        <w:t>.</w:t>
      </w:r>
    </w:p>
  </w:footnote>
  <w:footnote w:id="279">
    <w:p w14:paraId="4AE628D9" w14:textId="76F5F6E1" w:rsidR="001C3050" w:rsidRPr="00001F7B" w:rsidRDefault="001C3050">
      <w:pPr>
        <w:pStyle w:val="FootnoteText"/>
        <w:rPr>
          <w:rFonts w:cstheme="minorHAnsi"/>
        </w:rPr>
      </w:pPr>
      <w:r w:rsidRPr="00001F7B">
        <w:rPr>
          <w:rStyle w:val="FootnoteReference"/>
          <w:rFonts w:cstheme="minorHAnsi"/>
        </w:rPr>
        <w:footnoteRef/>
      </w:r>
      <w:r w:rsidRPr="00001F7B">
        <w:rPr>
          <w:rFonts w:cstheme="minorHAnsi"/>
        </w:rPr>
        <w:t xml:space="preserve"> </w:t>
      </w:r>
      <w:r w:rsidR="00696DB0" w:rsidRPr="00001F7B">
        <w:rPr>
          <w:rFonts w:cstheme="minorHAnsi"/>
        </w:rPr>
        <w:t>Similarly,</w:t>
      </w:r>
      <w:r w:rsidRPr="00001F7B">
        <w:rPr>
          <w:rFonts w:cstheme="minorHAnsi"/>
        </w:rPr>
        <w:t xml:space="preserve"> </w:t>
      </w:r>
      <w:proofErr w:type="spellStart"/>
      <w:r w:rsidRPr="00001F7B">
        <w:rPr>
          <w:rFonts w:cstheme="minorHAnsi"/>
        </w:rPr>
        <w:t>Aust</w:t>
      </w:r>
      <w:proofErr w:type="spellEnd"/>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w:t>
      </w:r>
      <w:r w:rsidR="00696DB0" w:rsidRPr="00001F7B">
        <w:rPr>
          <w:rFonts w:cstheme="minorHAnsi"/>
        </w:rPr>
        <w:t>71, p 344.</w:t>
      </w:r>
    </w:p>
  </w:footnote>
  <w:footnote w:id="280">
    <w:p w14:paraId="366E9373" w14:textId="0963E30A" w:rsidR="004E0343" w:rsidRPr="00001F7B" w:rsidRDefault="004E0343">
      <w:pPr>
        <w:pStyle w:val="FootnoteText"/>
        <w:rPr>
          <w:rFonts w:cstheme="minorHAnsi"/>
        </w:rPr>
      </w:pPr>
      <w:r w:rsidRPr="00001F7B">
        <w:rPr>
          <w:rStyle w:val="FootnoteReference"/>
          <w:rFonts w:cstheme="minorHAnsi"/>
        </w:rPr>
        <w:footnoteRef/>
      </w:r>
      <w:r w:rsidRPr="00001F7B">
        <w:rPr>
          <w:rFonts w:cstheme="minorHAnsi"/>
        </w:rPr>
        <w:t xml:space="preserve"> </w:t>
      </w:r>
      <w:r w:rsidR="00C930E9" w:rsidRPr="00001F7B">
        <w:rPr>
          <w:rFonts w:cstheme="minorHAnsi"/>
        </w:rPr>
        <w:t xml:space="preserve">‘The Interpretative Methods of International Law: What Are They, and Why Use Them’  </w:t>
      </w:r>
      <w:proofErr w:type="spellStart"/>
      <w:r w:rsidR="00C930E9" w:rsidRPr="00001F7B">
        <w:rPr>
          <w:rFonts w:cstheme="minorHAnsi"/>
        </w:rPr>
        <w:t>ch</w:t>
      </w:r>
      <w:proofErr w:type="spellEnd"/>
      <w:r w:rsidR="00C930E9" w:rsidRPr="00001F7B">
        <w:rPr>
          <w:rFonts w:cstheme="minorHAnsi"/>
        </w:rPr>
        <w:t xml:space="preserve"> 6, </w:t>
      </w:r>
      <w:r w:rsidR="00C930E9" w:rsidRPr="00001F7B">
        <w:rPr>
          <w:rFonts w:cstheme="minorHAnsi"/>
          <w:i/>
          <w:iCs/>
        </w:rPr>
        <w:t xml:space="preserve">Domestic Courts and the Interpretation of International Law </w:t>
      </w:r>
      <w:r w:rsidR="00C930E9" w:rsidRPr="00001F7B">
        <w:rPr>
          <w:rFonts w:cstheme="minorHAnsi"/>
        </w:rPr>
        <w:t>(2020) Brill, p 197.</w:t>
      </w:r>
    </w:p>
  </w:footnote>
  <w:footnote w:id="281">
    <w:p w14:paraId="5BD84A8C" w14:textId="714AC301" w:rsidR="00421B91" w:rsidRPr="00001F7B" w:rsidRDefault="00421B91">
      <w:pPr>
        <w:pStyle w:val="FootnoteText"/>
        <w:rPr>
          <w:rFonts w:cstheme="minorHAnsi"/>
        </w:rPr>
      </w:pPr>
      <w:r w:rsidRPr="00001F7B">
        <w:rPr>
          <w:rStyle w:val="FootnoteReference"/>
          <w:rFonts w:cstheme="minorHAnsi"/>
        </w:rPr>
        <w:footnoteRef/>
      </w:r>
      <w:r w:rsidRPr="00001F7B">
        <w:rPr>
          <w:rFonts w:cstheme="minorHAnsi"/>
        </w:rPr>
        <w:t xml:space="preserve"> Above, text to </w:t>
      </w:r>
      <w:proofErr w:type="spellStart"/>
      <w:r w:rsidRPr="00001F7B">
        <w:rPr>
          <w:rFonts w:cstheme="minorHAnsi"/>
        </w:rPr>
        <w:t>fn</w:t>
      </w:r>
      <w:proofErr w:type="spellEnd"/>
      <w:r w:rsidRPr="00001F7B">
        <w:rPr>
          <w:rFonts w:cstheme="minorHAnsi"/>
        </w:rPr>
        <w:t xml:space="preserve"> 61.</w:t>
      </w:r>
    </w:p>
  </w:footnote>
  <w:footnote w:id="282">
    <w:p w14:paraId="765C2221" w14:textId="56596CC0" w:rsidR="00227DB6" w:rsidRPr="00001F7B" w:rsidRDefault="00227DB6">
      <w:pPr>
        <w:pStyle w:val="FootnoteText"/>
        <w:rPr>
          <w:rFonts w:cstheme="minorHAnsi"/>
        </w:rPr>
      </w:pPr>
      <w:r w:rsidRPr="00001F7B">
        <w:rPr>
          <w:rStyle w:val="FootnoteReference"/>
          <w:rFonts w:cstheme="minorHAnsi"/>
        </w:rPr>
        <w:footnoteRef/>
      </w:r>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47, pp 118-119.</w:t>
      </w:r>
    </w:p>
  </w:footnote>
  <w:footnote w:id="283">
    <w:p w14:paraId="5801CD8A" w14:textId="5170D97C" w:rsidR="006C2D12" w:rsidRPr="00001F7B" w:rsidRDefault="006C2D12" w:rsidP="009D3456">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 xml:space="preserve">Op </w:t>
      </w:r>
      <w:proofErr w:type="spellStart"/>
      <w:r w:rsidRPr="00001F7B">
        <w:rPr>
          <w:rFonts w:cstheme="minorHAnsi"/>
          <w:i/>
          <w:iCs/>
        </w:rPr>
        <w:t>cit</w:t>
      </w:r>
      <w:proofErr w:type="spellEnd"/>
      <w:r w:rsidRPr="00001F7B">
        <w:rPr>
          <w:rFonts w:cstheme="minorHAnsi"/>
        </w:rPr>
        <w:t>, part 6 pp 114-117.</w:t>
      </w:r>
      <w:r w:rsidR="009D3456" w:rsidRPr="00001F7B">
        <w:rPr>
          <w:rFonts w:cstheme="minorHAnsi"/>
        </w:rPr>
        <w:t xml:space="preserve"> This is also noticed by Mortenson, </w:t>
      </w:r>
      <w:r w:rsidR="00C50535" w:rsidRPr="00001F7B">
        <w:rPr>
          <w:rFonts w:cstheme="minorHAnsi"/>
        </w:rPr>
        <w:t>‘</w:t>
      </w:r>
      <w:r w:rsidR="009D3456" w:rsidRPr="00001F7B">
        <w:rPr>
          <w:rFonts w:cstheme="minorHAnsi"/>
        </w:rPr>
        <w:t>The travaux of Travaux: Is the Vienna Convention Hostile to Drafting History?</w:t>
      </w:r>
      <w:r w:rsidR="00C50535" w:rsidRPr="00001F7B">
        <w:rPr>
          <w:rFonts w:cstheme="minorHAnsi"/>
        </w:rPr>
        <w:t>’</w:t>
      </w:r>
      <w:r w:rsidR="009D3456" w:rsidRPr="00001F7B">
        <w:rPr>
          <w:rFonts w:cstheme="minorHAnsi"/>
        </w:rPr>
        <w:t xml:space="preserve"> </w:t>
      </w:r>
      <w:r w:rsidR="00E51F5F" w:rsidRPr="00001F7B">
        <w:rPr>
          <w:rFonts w:cstheme="minorHAnsi"/>
        </w:rPr>
        <w:t xml:space="preserve">(2013) American Journal of International Law, </w:t>
      </w:r>
      <w:r w:rsidR="001F6874" w:rsidRPr="00001F7B">
        <w:rPr>
          <w:rFonts w:cstheme="minorHAnsi"/>
        </w:rPr>
        <w:t xml:space="preserve">780, see pp </w:t>
      </w:r>
      <w:r w:rsidR="00337EBB" w:rsidRPr="00001F7B">
        <w:rPr>
          <w:rFonts w:cstheme="minorHAnsi"/>
        </w:rPr>
        <w:t xml:space="preserve">788 </w:t>
      </w:r>
      <w:r w:rsidR="00337EBB" w:rsidRPr="00001F7B">
        <w:rPr>
          <w:rFonts w:cstheme="minorHAnsi"/>
          <w:i/>
          <w:iCs/>
        </w:rPr>
        <w:t xml:space="preserve">et </w:t>
      </w:r>
      <w:proofErr w:type="spellStart"/>
      <w:r w:rsidR="00337EBB" w:rsidRPr="00001F7B">
        <w:rPr>
          <w:rFonts w:cstheme="minorHAnsi"/>
          <w:i/>
          <w:iCs/>
        </w:rPr>
        <w:t>seq</w:t>
      </w:r>
      <w:proofErr w:type="spellEnd"/>
      <w:r w:rsidR="009D3456" w:rsidRPr="00001F7B">
        <w:rPr>
          <w:rFonts w:cstheme="minorHAnsi"/>
        </w:rPr>
        <w:t xml:space="preserve"> </w:t>
      </w:r>
      <w:r w:rsidR="00AC0202" w:rsidRPr="00001F7B">
        <w:rPr>
          <w:rFonts w:cstheme="minorHAnsi"/>
        </w:rPr>
        <w:t xml:space="preserve">, 810 </w:t>
      </w:r>
      <w:r w:rsidR="00AC0202" w:rsidRPr="00001F7B">
        <w:rPr>
          <w:rFonts w:cstheme="minorHAnsi"/>
          <w:i/>
          <w:iCs/>
        </w:rPr>
        <w:t xml:space="preserve">et </w:t>
      </w:r>
      <w:proofErr w:type="spellStart"/>
      <w:r w:rsidR="00AC0202" w:rsidRPr="00001F7B">
        <w:rPr>
          <w:rFonts w:cstheme="minorHAnsi"/>
          <w:i/>
          <w:iCs/>
        </w:rPr>
        <w:t>seq</w:t>
      </w:r>
      <w:proofErr w:type="spellEnd"/>
      <w:r w:rsidR="00AC0202" w:rsidRPr="00001F7B">
        <w:rPr>
          <w:rFonts w:cstheme="minorHAnsi"/>
        </w:rPr>
        <w:t xml:space="preserve"> </w:t>
      </w:r>
      <w:r w:rsidR="00337EBB" w:rsidRPr="00001F7B">
        <w:rPr>
          <w:rFonts w:cstheme="minorHAnsi"/>
        </w:rPr>
        <w:t>and 821-</w:t>
      </w:r>
      <w:r w:rsidR="009D3456" w:rsidRPr="00001F7B">
        <w:rPr>
          <w:rFonts w:cstheme="minorHAnsi"/>
        </w:rPr>
        <w:t>822</w:t>
      </w:r>
      <w:r w:rsidR="00C50535" w:rsidRPr="00001F7B">
        <w:rPr>
          <w:rFonts w:cstheme="minorHAnsi"/>
        </w:rPr>
        <w:t xml:space="preserve">. </w:t>
      </w:r>
      <w:r w:rsidR="00C94881">
        <w:rPr>
          <w:rFonts w:cstheme="minorHAnsi"/>
        </w:rPr>
        <w:t>H</w:t>
      </w:r>
      <w:r w:rsidR="00C50535" w:rsidRPr="00001F7B">
        <w:rPr>
          <w:rFonts w:cstheme="minorHAnsi"/>
        </w:rPr>
        <w:t>e</w:t>
      </w:r>
      <w:r w:rsidR="009D3456" w:rsidRPr="00001F7B">
        <w:rPr>
          <w:rFonts w:cstheme="minorHAnsi"/>
        </w:rPr>
        <w:t xml:space="preserve"> se</w:t>
      </w:r>
      <w:r w:rsidR="00C50535" w:rsidRPr="00001F7B">
        <w:rPr>
          <w:rFonts w:cstheme="minorHAnsi"/>
        </w:rPr>
        <w:t>es</w:t>
      </w:r>
      <w:r w:rsidR="009D3456" w:rsidRPr="00001F7B">
        <w:rPr>
          <w:rFonts w:cstheme="minorHAnsi"/>
        </w:rPr>
        <w:t xml:space="preserve"> th</w:t>
      </w:r>
      <w:r w:rsidR="00211FE5" w:rsidRPr="00001F7B">
        <w:rPr>
          <w:rFonts w:cstheme="minorHAnsi"/>
        </w:rPr>
        <w:t xml:space="preserve">is </w:t>
      </w:r>
      <w:r w:rsidR="00C50535" w:rsidRPr="00001F7B">
        <w:rPr>
          <w:rFonts w:cstheme="minorHAnsi"/>
        </w:rPr>
        <w:t xml:space="preserve">as </w:t>
      </w:r>
      <w:r w:rsidR="00211FE5" w:rsidRPr="00001F7B">
        <w:rPr>
          <w:rFonts w:cstheme="minorHAnsi"/>
        </w:rPr>
        <w:t>based on a misunderstanding of the Rules</w:t>
      </w:r>
      <w:r w:rsidR="00E51F5F" w:rsidRPr="00001F7B">
        <w:rPr>
          <w:rFonts w:cstheme="minorHAnsi"/>
        </w:rPr>
        <w:t xml:space="preserve"> </w:t>
      </w:r>
      <w:r w:rsidR="001F6874" w:rsidRPr="00001F7B">
        <w:rPr>
          <w:rFonts w:cstheme="minorHAnsi"/>
        </w:rPr>
        <w:t xml:space="preserve">by the ICJ </w:t>
      </w:r>
      <w:r w:rsidR="00E51F5F" w:rsidRPr="00001F7B">
        <w:rPr>
          <w:rFonts w:cstheme="minorHAnsi"/>
        </w:rPr>
        <w:t xml:space="preserve">deriving from </w:t>
      </w:r>
      <w:r w:rsidR="00AC0202" w:rsidRPr="00001F7B">
        <w:rPr>
          <w:rFonts w:cstheme="minorHAnsi"/>
        </w:rPr>
        <w:t xml:space="preserve">inaccurate </w:t>
      </w:r>
      <w:r w:rsidR="00E51F5F" w:rsidRPr="00001F7B">
        <w:rPr>
          <w:rFonts w:cstheme="minorHAnsi"/>
        </w:rPr>
        <w:t xml:space="preserve">criticism made </w:t>
      </w:r>
      <w:r w:rsidR="00AC0202" w:rsidRPr="00001F7B">
        <w:rPr>
          <w:rFonts w:cstheme="minorHAnsi"/>
        </w:rPr>
        <w:t>during the creation of the treaty</w:t>
      </w:r>
      <w:r w:rsidR="00211FE5" w:rsidRPr="00001F7B">
        <w:rPr>
          <w:rFonts w:cstheme="minorHAnsi"/>
        </w:rPr>
        <w:t>.</w:t>
      </w:r>
    </w:p>
  </w:footnote>
  <w:footnote w:id="284">
    <w:p w14:paraId="4F69EF9F" w14:textId="70C2ED8B" w:rsidR="0051006C" w:rsidRPr="00001F7B" w:rsidRDefault="0051006C">
      <w:pPr>
        <w:pStyle w:val="FootnoteText"/>
        <w:rPr>
          <w:rFonts w:cstheme="minorHAnsi"/>
        </w:rPr>
      </w:pPr>
      <w:r w:rsidRPr="00001F7B">
        <w:rPr>
          <w:rStyle w:val="FootnoteReference"/>
          <w:rFonts w:cstheme="minorHAnsi"/>
        </w:rPr>
        <w:footnoteRef/>
      </w:r>
      <w:r w:rsidRPr="00001F7B">
        <w:rPr>
          <w:rFonts w:cstheme="minorHAnsi"/>
        </w:rPr>
        <w:t xml:space="preserve"> See generally, Nolte (ed), </w:t>
      </w:r>
      <w:r w:rsidRPr="00001F7B">
        <w:rPr>
          <w:rFonts w:cstheme="minorHAnsi"/>
          <w:i/>
          <w:iCs/>
        </w:rPr>
        <w:t>Treaties and Subsequent Practice</w:t>
      </w:r>
      <w:r w:rsidRPr="00001F7B">
        <w:rPr>
          <w:rFonts w:cstheme="minorHAnsi"/>
        </w:rPr>
        <w:t xml:space="preserve"> 2013, OUP.</w:t>
      </w:r>
    </w:p>
  </w:footnote>
  <w:footnote w:id="285">
    <w:p w14:paraId="59041960" w14:textId="63EA4331" w:rsidR="003D207D" w:rsidRPr="00001F7B" w:rsidRDefault="003D207D">
      <w:pPr>
        <w:pStyle w:val="FootnoteText"/>
        <w:rPr>
          <w:rFonts w:cstheme="minorHAnsi"/>
        </w:rPr>
      </w:pPr>
      <w:r w:rsidRPr="00001F7B">
        <w:rPr>
          <w:rStyle w:val="FootnoteReference"/>
          <w:rFonts w:cstheme="minorHAnsi"/>
        </w:rPr>
        <w:footnoteRef/>
      </w:r>
      <w:r w:rsidRPr="00001F7B">
        <w:rPr>
          <w:rFonts w:cstheme="minorHAnsi"/>
        </w:rPr>
        <w:t xml:space="preserve"> Even the application of art 31.3(c) to the Rules themselves</w:t>
      </w:r>
      <w:r w:rsidR="00144692" w:rsidRPr="00001F7B">
        <w:rPr>
          <w:rFonts w:cstheme="minorHAnsi"/>
        </w:rPr>
        <w:t xml:space="preserve"> seems unlikely to produce a result where application of a new CIL would automatically disrupt the scheme given that international law is only one of the elements to be taken into account.</w:t>
      </w:r>
    </w:p>
  </w:footnote>
  <w:footnote w:id="286">
    <w:p w14:paraId="275D4FB1" w14:textId="51FE67AA" w:rsidR="00CE2720" w:rsidRPr="00001F7B" w:rsidRDefault="00CE2720">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rPr>
        <w:t>En</w:t>
      </w:r>
      <w:r w:rsidR="00CC7983" w:rsidRPr="00001F7B">
        <w:rPr>
          <w:rFonts w:cstheme="minorHAnsi"/>
        </w:rPr>
        <w:t>d</w:t>
      </w:r>
      <w:r w:rsidRPr="00001F7B">
        <w:rPr>
          <w:rFonts w:cstheme="minorHAnsi"/>
        </w:rPr>
        <w:t>erlein</w:t>
      </w:r>
      <w:proofErr w:type="spellEnd"/>
      <w:r w:rsidRPr="00001F7B">
        <w:rPr>
          <w:rFonts w:cstheme="minorHAnsi"/>
        </w:rPr>
        <w:t xml:space="preserve">, above, </w:t>
      </w:r>
      <w:proofErr w:type="spellStart"/>
      <w:r w:rsidRPr="00001F7B">
        <w:rPr>
          <w:rFonts w:cstheme="minorHAnsi"/>
        </w:rPr>
        <w:t>fn</w:t>
      </w:r>
      <w:proofErr w:type="spellEnd"/>
      <w:r w:rsidRPr="00001F7B">
        <w:rPr>
          <w:rFonts w:cstheme="minorHAnsi"/>
        </w:rPr>
        <w:t xml:space="preserve"> 15, p 342 citing </w:t>
      </w:r>
      <w:proofErr w:type="spellStart"/>
      <w:r w:rsidRPr="00001F7B">
        <w:rPr>
          <w:rFonts w:cstheme="minorHAnsi"/>
        </w:rPr>
        <w:t>Honnold</w:t>
      </w:r>
      <w:proofErr w:type="spellEnd"/>
      <w:r w:rsidRPr="00001F7B">
        <w:rPr>
          <w:rFonts w:cstheme="minorHAnsi"/>
        </w:rPr>
        <w:t xml:space="preserve">, </w:t>
      </w:r>
      <w:r w:rsidRPr="00001F7B">
        <w:rPr>
          <w:rFonts w:cstheme="minorHAnsi"/>
          <w:i/>
          <w:iCs/>
        </w:rPr>
        <w:t>Uniform Law for International Sales under the 1980 United Nations Convention</w:t>
      </w:r>
      <w:r w:rsidRPr="00001F7B">
        <w:rPr>
          <w:rFonts w:cstheme="minorHAnsi"/>
        </w:rPr>
        <w:t>, 1982, p 127.</w:t>
      </w:r>
    </w:p>
  </w:footnote>
  <w:footnote w:id="287">
    <w:p w14:paraId="2C0C0389" w14:textId="7AE351F2" w:rsidR="00C00167" w:rsidRPr="00001F7B" w:rsidRDefault="00C00167">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eastAsia="Arial" w:cstheme="minorHAnsi"/>
          <w:color w:val="000000"/>
        </w:rPr>
        <w:t xml:space="preserve">As noted above </w:t>
      </w:r>
      <w:proofErr w:type="spellStart"/>
      <w:r w:rsidRPr="00001F7B">
        <w:rPr>
          <w:rFonts w:eastAsia="Arial" w:cstheme="minorHAnsi"/>
          <w:color w:val="000000"/>
        </w:rPr>
        <w:t>fn</w:t>
      </w:r>
      <w:proofErr w:type="spellEnd"/>
      <w:r w:rsidRPr="00001F7B">
        <w:rPr>
          <w:rFonts w:eastAsia="Arial" w:cstheme="minorHAnsi"/>
          <w:color w:val="000000"/>
        </w:rPr>
        <w:t xml:space="preserve"> 1</w:t>
      </w:r>
      <w:r w:rsidR="00E1335D">
        <w:rPr>
          <w:rFonts w:eastAsia="Arial" w:cstheme="minorHAnsi"/>
          <w:color w:val="000000"/>
        </w:rPr>
        <w:t>7</w:t>
      </w:r>
      <w:r w:rsidRPr="00001F7B">
        <w:rPr>
          <w:rFonts w:eastAsia="Arial" w:cstheme="minorHAnsi"/>
          <w:color w:val="000000"/>
        </w:rPr>
        <w:t>.</w:t>
      </w:r>
    </w:p>
  </w:footnote>
  <w:footnote w:id="288">
    <w:p w14:paraId="47051EC9" w14:textId="0802B010" w:rsidR="009E0C1C" w:rsidRPr="00001F7B" w:rsidRDefault="009E0C1C">
      <w:pPr>
        <w:pStyle w:val="FootnoteText"/>
        <w:rPr>
          <w:rFonts w:cstheme="minorHAnsi"/>
        </w:rPr>
      </w:pPr>
      <w:r w:rsidRPr="00001F7B">
        <w:rPr>
          <w:rStyle w:val="FootnoteReference"/>
          <w:rFonts w:cstheme="minorHAnsi"/>
        </w:rPr>
        <w:footnoteRef/>
      </w:r>
      <w:r w:rsidRPr="00001F7B">
        <w:rPr>
          <w:rFonts w:cstheme="minorHAnsi"/>
        </w:rPr>
        <w:t xml:space="preserve"> Although often interpretated in accordance with national law, see for </w:t>
      </w:r>
      <w:r w:rsidR="00CF2C6E" w:rsidRPr="00001F7B">
        <w:rPr>
          <w:rFonts w:cstheme="minorHAnsi"/>
        </w:rPr>
        <w:t>examples</w:t>
      </w:r>
      <w:r w:rsidRPr="00001F7B">
        <w:rPr>
          <w:rFonts w:cstheme="minorHAnsi"/>
        </w:rPr>
        <w:t xml:space="preserve">, Clarke, CMR, above, </w:t>
      </w:r>
      <w:proofErr w:type="spellStart"/>
      <w:r w:rsidRPr="00001F7B">
        <w:rPr>
          <w:rFonts w:cstheme="minorHAnsi"/>
        </w:rPr>
        <w:t>fn</w:t>
      </w:r>
      <w:proofErr w:type="spellEnd"/>
      <w:r w:rsidRPr="00001F7B">
        <w:rPr>
          <w:rFonts w:cstheme="minorHAnsi"/>
        </w:rPr>
        <w:t xml:space="preserve"> </w:t>
      </w:r>
      <w:r w:rsidR="00214541" w:rsidRPr="00001F7B">
        <w:rPr>
          <w:rFonts w:cstheme="minorHAnsi"/>
        </w:rPr>
        <w:t>186, CMR book</w:t>
      </w:r>
      <w:r w:rsidRPr="00001F7B">
        <w:rPr>
          <w:rFonts w:cstheme="minorHAnsi"/>
        </w:rPr>
        <w:t xml:space="preserve">, para </w:t>
      </w:r>
      <w:r w:rsidR="00CF2C6E" w:rsidRPr="00001F7B">
        <w:rPr>
          <w:rFonts w:cstheme="minorHAnsi"/>
        </w:rPr>
        <w:t>64</w:t>
      </w:r>
      <w:r w:rsidR="00214541" w:rsidRPr="00001F7B">
        <w:rPr>
          <w:rFonts w:cstheme="minorHAnsi"/>
        </w:rPr>
        <w:t>.</w:t>
      </w:r>
    </w:p>
  </w:footnote>
  <w:footnote w:id="289">
    <w:p w14:paraId="7CD06E2F" w14:textId="52FD468C" w:rsidR="00BE0E43" w:rsidRPr="00001F7B" w:rsidRDefault="00BE0E43">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009149BB" w:rsidRPr="00001F7B">
        <w:rPr>
          <w:rFonts w:cstheme="minorHAnsi"/>
        </w:rPr>
        <w:t>Verheyen</w:t>
      </w:r>
      <w:proofErr w:type="spellEnd"/>
      <w:r w:rsidR="009149BB" w:rsidRPr="00001F7B">
        <w:rPr>
          <w:rFonts w:cstheme="minorHAnsi"/>
        </w:rPr>
        <w:t>, a</w:t>
      </w:r>
      <w:r w:rsidRPr="00001F7B">
        <w:rPr>
          <w:rFonts w:cstheme="minorHAnsi"/>
        </w:rPr>
        <w:t xml:space="preserve">bove, </w:t>
      </w:r>
      <w:proofErr w:type="spellStart"/>
      <w:r w:rsidRPr="00001F7B">
        <w:rPr>
          <w:rFonts w:cstheme="minorHAnsi"/>
        </w:rPr>
        <w:t>fn</w:t>
      </w:r>
      <w:proofErr w:type="spellEnd"/>
      <w:r w:rsidRPr="00001F7B">
        <w:rPr>
          <w:rFonts w:cstheme="minorHAnsi"/>
        </w:rPr>
        <w:t xml:space="preserve"> 272.</w:t>
      </w:r>
    </w:p>
  </w:footnote>
  <w:footnote w:id="290">
    <w:p w14:paraId="5070857F" w14:textId="5FE0201B" w:rsidR="00BE0E43" w:rsidRPr="00001F7B" w:rsidRDefault="00BE0E43">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 xml:space="preserve">Op </w:t>
      </w:r>
      <w:proofErr w:type="spellStart"/>
      <w:r w:rsidRPr="00001F7B">
        <w:rPr>
          <w:rFonts w:cstheme="minorHAnsi"/>
          <w:i/>
          <w:iCs/>
        </w:rPr>
        <w:t>cit</w:t>
      </w:r>
      <w:proofErr w:type="spellEnd"/>
      <w:r w:rsidRPr="00001F7B">
        <w:rPr>
          <w:rFonts w:cstheme="minorHAnsi"/>
        </w:rPr>
        <w:t>,</w:t>
      </w:r>
      <w:r w:rsidR="006A21DA" w:rsidRPr="00001F7B">
        <w:rPr>
          <w:rFonts w:cstheme="minorHAnsi"/>
        </w:rPr>
        <w:t xml:space="preserve"> p 444.</w:t>
      </w:r>
    </w:p>
  </w:footnote>
  <w:footnote w:id="291">
    <w:p w14:paraId="18554D50" w14:textId="0FB74173" w:rsidR="008141DF" w:rsidRPr="00001F7B" w:rsidRDefault="008141DF">
      <w:pPr>
        <w:pStyle w:val="FootnoteText"/>
        <w:rPr>
          <w:rFonts w:cstheme="minorHAnsi"/>
        </w:rPr>
      </w:pPr>
      <w:r w:rsidRPr="00001F7B">
        <w:rPr>
          <w:rStyle w:val="FootnoteReference"/>
          <w:rFonts w:cstheme="minorHAnsi"/>
        </w:rPr>
        <w:footnoteRef/>
      </w:r>
      <w:r w:rsidRPr="00001F7B">
        <w:rPr>
          <w:rFonts w:cstheme="minorHAnsi"/>
        </w:rPr>
        <w:t xml:space="preserve"> Even though the CISG, through its art 4, excludes issues of validity from its purview there is still a need to strive for a uniform approach in respect of the types of fact that fall within the exception, cf., </w:t>
      </w:r>
      <w:proofErr w:type="spellStart"/>
      <w:r w:rsidRPr="00001F7B">
        <w:rPr>
          <w:rFonts w:cstheme="minorHAnsi"/>
        </w:rPr>
        <w:t>Schroeter</w:t>
      </w:r>
      <w:proofErr w:type="spellEnd"/>
      <w:r w:rsidRPr="00001F7B">
        <w:rPr>
          <w:rFonts w:cstheme="minorHAnsi"/>
        </w:rPr>
        <w:t xml:space="preserve">, ‘Contract Validity and the CISG’ (2017) 22 ULR 47.  </w:t>
      </w:r>
    </w:p>
  </w:footnote>
  <w:footnote w:id="292">
    <w:p w14:paraId="06F46FF9" w14:textId="0CB6895B" w:rsidR="00CC7983" w:rsidRPr="00001F7B" w:rsidRDefault="00CC7983">
      <w:pPr>
        <w:pStyle w:val="FootnoteText"/>
        <w:rPr>
          <w:rFonts w:cstheme="minorHAnsi"/>
          <w:lang w:val="fr-FR"/>
        </w:rPr>
      </w:pPr>
      <w:r w:rsidRPr="00001F7B">
        <w:rPr>
          <w:rStyle w:val="FootnoteReference"/>
          <w:rFonts w:cstheme="minorHAnsi"/>
        </w:rPr>
        <w:footnoteRef/>
      </w:r>
      <w:r w:rsidRPr="00001F7B">
        <w:rPr>
          <w:rFonts w:cstheme="minorHAnsi"/>
          <w:lang w:val="fr-FR"/>
        </w:rPr>
        <w:t xml:space="preserve"> </w:t>
      </w:r>
      <w:r w:rsidRPr="00001F7B">
        <w:rPr>
          <w:rFonts w:cstheme="minorHAnsi"/>
          <w:i/>
          <w:iCs/>
          <w:lang w:val="fr-FR"/>
        </w:rPr>
        <w:t xml:space="preserve">Op </w:t>
      </w:r>
      <w:proofErr w:type="spellStart"/>
      <w:r w:rsidRPr="00001F7B">
        <w:rPr>
          <w:rFonts w:cstheme="minorHAnsi"/>
          <w:i/>
          <w:iCs/>
          <w:lang w:val="fr-FR"/>
        </w:rPr>
        <w:t>cit</w:t>
      </w:r>
      <w:proofErr w:type="spellEnd"/>
      <w:r w:rsidRPr="00001F7B">
        <w:rPr>
          <w:rFonts w:cstheme="minorHAnsi"/>
          <w:lang w:val="fr-FR"/>
        </w:rPr>
        <w:t xml:space="preserve">, </w:t>
      </w:r>
      <w:r w:rsidRPr="00001F7B">
        <w:rPr>
          <w:rFonts w:eastAsia="Arial" w:cstheme="minorHAnsi"/>
          <w:color w:val="000000"/>
          <w:lang w:val="fr-FR"/>
        </w:rPr>
        <w:t xml:space="preserve">p 445 </w:t>
      </w:r>
      <w:r w:rsidRPr="00001F7B">
        <w:rPr>
          <w:rFonts w:eastAsia="Arial" w:cstheme="minorHAnsi"/>
          <w:i/>
          <w:iCs/>
          <w:color w:val="000000"/>
          <w:lang w:val="fr-FR"/>
        </w:rPr>
        <w:t xml:space="preserve">et </w:t>
      </w:r>
      <w:proofErr w:type="spellStart"/>
      <w:r w:rsidRPr="00001F7B">
        <w:rPr>
          <w:rFonts w:eastAsia="Arial" w:cstheme="minorHAnsi"/>
          <w:i/>
          <w:iCs/>
          <w:color w:val="000000"/>
          <w:lang w:val="fr-FR"/>
        </w:rPr>
        <w:t>seq</w:t>
      </w:r>
      <w:proofErr w:type="spellEnd"/>
      <w:r w:rsidRPr="00001F7B">
        <w:rPr>
          <w:rFonts w:eastAsia="Arial" w:cstheme="minorHAnsi"/>
          <w:i/>
          <w:iCs/>
          <w:color w:val="000000"/>
          <w:lang w:val="fr-FR"/>
        </w:rPr>
        <w:t>.</w:t>
      </w:r>
    </w:p>
  </w:footnote>
  <w:footnote w:id="293">
    <w:p w14:paraId="3625AE7E" w14:textId="0E8CEF78" w:rsidR="00CC7983" w:rsidRPr="00001F7B" w:rsidRDefault="00CC7983">
      <w:pPr>
        <w:pStyle w:val="FootnoteText"/>
        <w:rPr>
          <w:rFonts w:cstheme="minorHAnsi"/>
        </w:rPr>
      </w:pPr>
      <w:r w:rsidRPr="00001F7B">
        <w:rPr>
          <w:rStyle w:val="FootnoteReference"/>
          <w:rFonts w:cstheme="minorHAnsi"/>
        </w:rPr>
        <w:footnoteRef/>
      </w:r>
      <w:r w:rsidRPr="00001F7B">
        <w:rPr>
          <w:rFonts w:cstheme="minorHAnsi"/>
        </w:rPr>
        <w:t xml:space="preserve"> </w:t>
      </w:r>
      <w:r w:rsidRPr="00001F7B">
        <w:rPr>
          <w:rFonts w:cstheme="minorHAnsi"/>
          <w:i/>
          <w:iCs/>
        </w:rPr>
        <w:t xml:space="preserve">Op </w:t>
      </w:r>
      <w:proofErr w:type="spellStart"/>
      <w:r w:rsidRPr="00001F7B">
        <w:rPr>
          <w:rFonts w:cstheme="minorHAnsi"/>
          <w:i/>
          <w:iCs/>
        </w:rPr>
        <w:t>cit</w:t>
      </w:r>
      <w:proofErr w:type="spellEnd"/>
      <w:r w:rsidRPr="00001F7B">
        <w:rPr>
          <w:rFonts w:cstheme="minorHAnsi"/>
        </w:rPr>
        <w:t>, p 447</w:t>
      </w:r>
      <w:r w:rsidR="0031446D" w:rsidRPr="00001F7B">
        <w:rPr>
          <w:rFonts w:cstheme="minorHAnsi"/>
        </w:rPr>
        <w:t xml:space="preserve">.  </w:t>
      </w:r>
    </w:p>
  </w:footnote>
  <w:footnote w:id="294">
    <w:p w14:paraId="232EEAE3" w14:textId="7CA073EF" w:rsidR="00CC7983" w:rsidRPr="00001F7B" w:rsidRDefault="00CC7983">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Pr="00001F7B">
        <w:rPr>
          <w:rFonts w:cstheme="minorHAnsi"/>
          <w:i/>
          <w:iCs/>
        </w:rPr>
        <w:t>Loc</w:t>
      </w:r>
      <w:proofErr w:type="spellEnd"/>
      <w:r w:rsidRPr="00001F7B">
        <w:rPr>
          <w:rFonts w:cstheme="minorHAnsi"/>
          <w:i/>
          <w:iCs/>
        </w:rPr>
        <w:t xml:space="preserve"> cit</w:t>
      </w:r>
      <w:r w:rsidRPr="00001F7B">
        <w:rPr>
          <w:rFonts w:cstheme="minorHAnsi"/>
        </w:rPr>
        <w:t>.</w:t>
      </w:r>
    </w:p>
  </w:footnote>
  <w:footnote w:id="295">
    <w:p w14:paraId="71915D1D" w14:textId="5B16F596" w:rsidR="003D3379" w:rsidRPr="00001F7B" w:rsidRDefault="003D3379">
      <w:pPr>
        <w:pStyle w:val="FootnoteText"/>
        <w:rPr>
          <w:rFonts w:cstheme="minorHAnsi"/>
        </w:rPr>
      </w:pPr>
      <w:r w:rsidRPr="00001F7B">
        <w:rPr>
          <w:rStyle w:val="FootnoteReference"/>
          <w:rFonts w:cstheme="minorHAnsi"/>
        </w:rPr>
        <w:footnoteRef/>
      </w:r>
      <w:r w:rsidRPr="00001F7B">
        <w:rPr>
          <w:rFonts w:cstheme="minorHAnsi"/>
        </w:rPr>
        <w:t xml:space="preserve"> BGH, 14 2 2008 (2008) </w:t>
      </w:r>
      <w:proofErr w:type="spellStart"/>
      <w:r w:rsidRPr="00001F7B">
        <w:rPr>
          <w:rFonts w:cstheme="minorHAnsi"/>
        </w:rPr>
        <w:t>TranspR</w:t>
      </w:r>
      <w:proofErr w:type="spellEnd"/>
      <w:r w:rsidRPr="00001F7B">
        <w:rPr>
          <w:rFonts w:cstheme="minorHAnsi"/>
        </w:rPr>
        <w:t xml:space="preserve"> </w:t>
      </w:r>
      <w:r w:rsidR="007F783E" w:rsidRPr="00001F7B">
        <w:rPr>
          <w:rFonts w:cstheme="minorHAnsi"/>
        </w:rPr>
        <w:t>323.</w:t>
      </w:r>
      <w:r w:rsidR="00586D77" w:rsidRPr="00001F7B">
        <w:rPr>
          <w:rFonts w:cstheme="minorHAnsi"/>
        </w:rPr>
        <w:t xml:space="preserve"> The court considered at para 21 that a fixed cost forwarding contract is </w:t>
      </w:r>
      <w:r w:rsidR="0031446D" w:rsidRPr="00001F7B">
        <w:rPr>
          <w:rFonts w:cstheme="minorHAnsi"/>
        </w:rPr>
        <w:t xml:space="preserve">a </w:t>
      </w:r>
      <w:r w:rsidR="00586D77" w:rsidRPr="00001F7B">
        <w:rPr>
          <w:rFonts w:cstheme="minorHAnsi"/>
        </w:rPr>
        <w:t>carriage contract even if it is</w:t>
      </w:r>
      <w:r w:rsidR="0031446D" w:rsidRPr="00001F7B">
        <w:rPr>
          <w:rFonts w:cstheme="minorHAnsi"/>
        </w:rPr>
        <w:t xml:space="preserve"> also</w:t>
      </w:r>
      <w:r w:rsidR="00586D77" w:rsidRPr="00001F7B">
        <w:rPr>
          <w:rFonts w:cstheme="minorHAnsi"/>
        </w:rPr>
        <w:t xml:space="preserve"> in accordance with s 459 of the </w:t>
      </w:r>
      <w:r w:rsidR="0031446D" w:rsidRPr="00001F7B">
        <w:rPr>
          <w:rFonts w:cstheme="minorHAnsi"/>
        </w:rPr>
        <w:t>HGB</w:t>
      </w:r>
      <w:r w:rsidR="00586D77" w:rsidRPr="00001F7B">
        <w:rPr>
          <w:rFonts w:cstheme="minorHAnsi"/>
        </w:rPr>
        <w:t xml:space="preserve">. </w:t>
      </w:r>
    </w:p>
  </w:footnote>
  <w:footnote w:id="296">
    <w:p w14:paraId="3B9AECA4" w14:textId="7D21A0DF" w:rsidR="0031446D" w:rsidRPr="00001F7B" w:rsidRDefault="0031446D">
      <w:pPr>
        <w:pStyle w:val="FootnoteText"/>
        <w:rPr>
          <w:rFonts w:cstheme="minorHAnsi"/>
        </w:rPr>
      </w:pPr>
      <w:r w:rsidRPr="00001F7B">
        <w:rPr>
          <w:rStyle w:val="FootnoteReference"/>
          <w:rFonts w:cstheme="minorHAnsi"/>
        </w:rPr>
        <w:footnoteRef/>
      </w:r>
      <w:r w:rsidRPr="00001F7B">
        <w:rPr>
          <w:rFonts w:cstheme="minorHAnsi"/>
        </w:rPr>
        <w:t xml:space="preserve"> See </w:t>
      </w:r>
      <w:r w:rsidR="0056475B" w:rsidRPr="00001F7B">
        <w:rPr>
          <w:rFonts w:cstheme="minorHAnsi"/>
        </w:rPr>
        <w:t xml:space="preserve">Gillette and Walt, </w:t>
      </w:r>
      <w:r w:rsidRPr="00001F7B">
        <w:rPr>
          <w:rFonts w:cstheme="minorHAnsi"/>
        </w:rPr>
        <w:t xml:space="preserve">above, </w:t>
      </w:r>
      <w:proofErr w:type="spellStart"/>
      <w:r w:rsidRPr="00001F7B">
        <w:rPr>
          <w:rFonts w:cstheme="minorHAnsi"/>
        </w:rPr>
        <w:t>fn</w:t>
      </w:r>
      <w:proofErr w:type="spellEnd"/>
      <w:r w:rsidRPr="00001F7B">
        <w:rPr>
          <w:rFonts w:cstheme="minorHAnsi"/>
        </w:rPr>
        <w:t xml:space="preserve"> </w:t>
      </w:r>
      <w:r w:rsidR="0056475B" w:rsidRPr="00001F7B">
        <w:rPr>
          <w:rFonts w:cstheme="minorHAnsi"/>
        </w:rPr>
        <w:t>17.</w:t>
      </w:r>
    </w:p>
  </w:footnote>
  <w:footnote w:id="297">
    <w:p w14:paraId="5C5FBDFA" w14:textId="70368D1D" w:rsidR="00404869" w:rsidRPr="00001F7B" w:rsidRDefault="00404869" w:rsidP="00404869">
      <w:pPr>
        <w:pStyle w:val="FootnoteText"/>
        <w:rPr>
          <w:rFonts w:cstheme="minorHAnsi"/>
        </w:rPr>
      </w:pPr>
      <w:r w:rsidRPr="00001F7B">
        <w:rPr>
          <w:rStyle w:val="FootnoteReference"/>
          <w:rFonts w:cstheme="minorHAnsi"/>
        </w:rPr>
        <w:footnoteRef/>
      </w:r>
      <w:r w:rsidRPr="00001F7B">
        <w:rPr>
          <w:rFonts w:cstheme="minorHAnsi"/>
        </w:rPr>
        <w:t xml:space="preserve"> </w:t>
      </w:r>
      <w:r w:rsidR="00DC209F" w:rsidRPr="00001F7B">
        <w:rPr>
          <w:rFonts w:cstheme="minorHAnsi"/>
        </w:rPr>
        <w:t>Cf.,</w:t>
      </w:r>
      <w:r w:rsidRPr="00001F7B">
        <w:rPr>
          <w:rFonts w:cstheme="minorHAnsi"/>
        </w:rPr>
        <w:t xml:space="preserve"> </w:t>
      </w:r>
      <w:proofErr w:type="spellStart"/>
      <w:r w:rsidRPr="00001F7B">
        <w:rPr>
          <w:rFonts w:cstheme="minorHAnsi"/>
        </w:rPr>
        <w:t>Skontzos</w:t>
      </w:r>
      <w:proofErr w:type="spellEnd"/>
      <w:r w:rsidRPr="00001F7B">
        <w:rPr>
          <w:rFonts w:cstheme="minorHAnsi"/>
        </w:rPr>
        <w:t xml:space="preserve"> ‘The burden and standard of proof in model international procedural law: dealing with the burden and standard of proof in international disputes’ (2018) 23 ULR 569</w:t>
      </w:r>
      <w:r w:rsidR="0033348C" w:rsidRPr="00001F7B">
        <w:rPr>
          <w:rFonts w:cstheme="minorHAnsi"/>
        </w:rPr>
        <w:t>.</w:t>
      </w:r>
      <w:r w:rsidRPr="00001F7B">
        <w:rPr>
          <w:rFonts w:cstheme="minorHAnsi"/>
        </w:rPr>
        <w:t xml:space="preserve"> </w:t>
      </w:r>
    </w:p>
  </w:footnote>
  <w:footnote w:id="298">
    <w:p w14:paraId="590FF03A" w14:textId="628067AD" w:rsidR="00B95368" w:rsidRPr="00001F7B" w:rsidRDefault="00B95368">
      <w:pPr>
        <w:pStyle w:val="FootnoteText"/>
        <w:rPr>
          <w:rFonts w:cstheme="minorHAnsi"/>
        </w:rPr>
      </w:pPr>
      <w:r w:rsidRPr="00001F7B">
        <w:rPr>
          <w:rStyle w:val="FootnoteReference"/>
          <w:rFonts w:cstheme="minorHAnsi"/>
        </w:rPr>
        <w:footnoteRef/>
      </w:r>
      <w:r w:rsidRPr="00001F7B">
        <w:rPr>
          <w:rFonts w:cstheme="minorHAnsi"/>
        </w:rPr>
        <w:t xml:space="preserve"> See e.g., Carruthers, </w:t>
      </w:r>
      <w:r w:rsidR="00B86735" w:rsidRPr="00001F7B">
        <w:rPr>
          <w:rFonts w:cstheme="minorHAnsi"/>
        </w:rPr>
        <w:t xml:space="preserve">‘Substance and Procedure in the Conflict of Laws: A Continuing Debate in Relation to Damages’ (2004) 53 ICLQ 691.  </w:t>
      </w:r>
    </w:p>
  </w:footnote>
  <w:footnote w:id="299">
    <w:p w14:paraId="3331D357" w14:textId="4EEE877F" w:rsidR="0047686E" w:rsidRPr="00001F7B" w:rsidRDefault="0047686E">
      <w:pPr>
        <w:pStyle w:val="FootnoteText"/>
        <w:rPr>
          <w:rFonts w:cstheme="minorHAnsi"/>
        </w:rPr>
      </w:pPr>
      <w:r w:rsidRPr="00001F7B">
        <w:rPr>
          <w:rStyle w:val="FootnoteReference"/>
          <w:rFonts w:cstheme="minorHAnsi"/>
        </w:rPr>
        <w:footnoteRef/>
      </w:r>
      <w:r w:rsidRPr="00001F7B">
        <w:rPr>
          <w:rFonts w:cstheme="minorHAnsi"/>
        </w:rPr>
        <w:t xml:space="preserve"> This was certainly the view of the UK Supreme Court in respect of the Hague Rules in </w:t>
      </w:r>
      <w:proofErr w:type="spellStart"/>
      <w:r w:rsidRPr="00001F7B">
        <w:rPr>
          <w:rFonts w:eastAsiaTheme="minorEastAsia" w:cstheme="minorHAnsi"/>
          <w:i/>
          <w:iCs/>
          <w:color w:val="000000"/>
          <w:lang w:eastAsia="en-GB"/>
        </w:rPr>
        <w:t>Volcafe</w:t>
      </w:r>
      <w:proofErr w:type="spellEnd"/>
      <w:r w:rsidRPr="00001F7B">
        <w:rPr>
          <w:rFonts w:eastAsiaTheme="minorEastAsia" w:cstheme="minorHAnsi"/>
          <w:i/>
          <w:iCs/>
          <w:color w:val="000000"/>
          <w:lang w:eastAsia="en-GB"/>
        </w:rPr>
        <w:t xml:space="preserve"> &amp; others v Cia Sud Americana </w:t>
      </w:r>
      <w:proofErr w:type="spellStart"/>
      <w:r w:rsidRPr="00001F7B">
        <w:rPr>
          <w:rFonts w:eastAsiaTheme="minorEastAsia" w:cstheme="minorHAnsi"/>
          <w:i/>
          <w:iCs/>
          <w:color w:val="000000"/>
          <w:lang w:eastAsia="en-GB"/>
        </w:rPr>
        <w:t>Vapores</w:t>
      </w:r>
      <w:proofErr w:type="spellEnd"/>
      <w:r w:rsidRPr="00001F7B">
        <w:rPr>
          <w:rFonts w:eastAsiaTheme="minorEastAsia" w:cstheme="minorHAnsi"/>
          <w:i/>
          <w:iCs/>
          <w:color w:val="000000"/>
          <w:lang w:eastAsia="en-GB"/>
        </w:rPr>
        <w:t xml:space="preserve"> SA (trading as CSAV</w:t>
      </w:r>
      <w:r w:rsidRPr="00001F7B">
        <w:rPr>
          <w:rFonts w:eastAsiaTheme="minorEastAsia" w:cstheme="minorHAnsi"/>
          <w:color w:val="000000"/>
          <w:lang w:eastAsia="en-GB"/>
        </w:rPr>
        <w:t xml:space="preserve">) </w:t>
      </w:r>
      <w:r w:rsidR="00F02B2A" w:rsidRPr="00001F7B">
        <w:rPr>
          <w:rFonts w:eastAsiaTheme="minorEastAsia" w:cstheme="minorHAnsi"/>
          <w:color w:val="000000"/>
          <w:lang w:eastAsia="en-GB"/>
        </w:rPr>
        <w:t xml:space="preserve">[2018] UKSC 61, [2019] A.C. 358, See Review of UK Law, section </w:t>
      </w:r>
      <w:r w:rsidR="00F02B2A" w:rsidRPr="00001F7B">
        <w:rPr>
          <w:rFonts w:eastAsiaTheme="minorEastAsia" w:cstheme="minorHAnsi"/>
          <w:b/>
          <w:bCs/>
          <w:color w:val="000000"/>
          <w:lang w:eastAsia="en-GB"/>
        </w:rPr>
        <w:t>4.1</w:t>
      </w:r>
      <w:r w:rsidR="00F02B2A" w:rsidRPr="00001F7B">
        <w:rPr>
          <w:rFonts w:eastAsiaTheme="minorEastAsia" w:cstheme="minorHAnsi"/>
          <w:color w:val="000000"/>
          <w:lang w:eastAsia="en-GB"/>
        </w:rPr>
        <w:t>.</w:t>
      </w:r>
    </w:p>
  </w:footnote>
  <w:footnote w:id="300">
    <w:p w14:paraId="0254B7E7" w14:textId="2757EFA1" w:rsidR="00B86735" w:rsidRPr="00001F7B" w:rsidRDefault="00B86735" w:rsidP="001415F5">
      <w:pPr>
        <w:pStyle w:val="FootnoteText"/>
        <w:rPr>
          <w:rFonts w:cstheme="minorHAnsi"/>
        </w:rPr>
      </w:pPr>
      <w:r w:rsidRPr="00001F7B">
        <w:rPr>
          <w:rStyle w:val="FootnoteReference"/>
          <w:rFonts w:cstheme="minorHAnsi"/>
        </w:rPr>
        <w:footnoteRef/>
      </w:r>
      <w:r w:rsidRPr="00001F7B">
        <w:rPr>
          <w:rFonts w:cstheme="minorHAnsi"/>
        </w:rPr>
        <w:t xml:space="preserve"> </w:t>
      </w:r>
      <w:proofErr w:type="spellStart"/>
      <w:r w:rsidR="001415F5" w:rsidRPr="00001F7B">
        <w:rPr>
          <w:rFonts w:cstheme="minorHAnsi"/>
        </w:rPr>
        <w:t>Orlandi</w:t>
      </w:r>
      <w:proofErr w:type="spellEnd"/>
      <w:r w:rsidR="001415F5" w:rsidRPr="00001F7B">
        <w:rPr>
          <w:rFonts w:cstheme="minorHAnsi"/>
        </w:rPr>
        <w:t xml:space="preserve">, </w:t>
      </w:r>
      <w:r w:rsidR="00D04132" w:rsidRPr="00001F7B">
        <w:rPr>
          <w:rFonts w:cstheme="minorHAnsi"/>
        </w:rPr>
        <w:t>‘</w:t>
      </w:r>
      <w:r w:rsidR="001415F5" w:rsidRPr="00001F7B">
        <w:rPr>
          <w:rFonts w:cstheme="minorHAnsi"/>
        </w:rPr>
        <w:t>Procedural Law Issues and Uniform Law Conventions</w:t>
      </w:r>
      <w:r w:rsidR="00D04132" w:rsidRPr="00001F7B">
        <w:rPr>
          <w:rFonts w:cstheme="minorHAnsi"/>
        </w:rPr>
        <w:t>’</w:t>
      </w:r>
      <w:r w:rsidR="001415F5" w:rsidRPr="00001F7B">
        <w:rPr>
          <w:rFonts w:cstheme="minorHAnsi"/>
        </w:rPr>
        <w:t xml:space="preserve"> 5</w:t>
      </w:r>
      <w:r w:rsidR="00C85103" w:rsidRPr="00001F7B">
        <w:rPr>
          <w:rFonts w:cstheme="minorHAnsi"/>
        </w:rPr>
        <w:t xml:space="preserve"> </w:t>
      </w:r>
      <w:r w:rsidR="001415F5" w:rsidRPr="00001F7B">
        <w:rPr>
          <w:rFonts w:cstheme="minorHAnsi"/>
        </w:rPr>
        <w:t xml:space="preserve">UNIF. L. REV. </w:t>
      </w:r>
      <w:proofErr w:type="spellStart"/>
      <w:r w:rsidR="001415F5" w:rsidRPr="00001F7B">
        <w:rPr>
          <w:rFonts w:cstheme="minorHAnsi"/>
        </w:rPr>
        <w:t>n.s</w:t>
      </w:r>
      <w:proofErr w:type="spellEnd"/>
      <w:r w:rsidR="001415F5" w:rsidRPr="00001F7B">
        <w:rPr>
          <w:rFonts w:cstheme="minorHAnsi"/>
        </w:rPr>
        <w:t xml:space="preserve">. 23 (2000), </w:t>
      </w:r>
      <w:proofErr w:type="spellStart"/>
      <w:r w:rsidR="001415F5" w:rsidRPr="00001F7B">
        <w:rPr>
          <w:rFonts w:cstheme="minorHAnsi"/>
        </w:rPr>
        <w:t>Gotanda</w:t>
      </w:r>
      <w:proofErr w:type="spellEnd"/>
      <w:r w:rsidR="001415F5" w:rsidRPr="00001F7B">
        <w:rPr>
          <w:rFonts w:cstheme="minorHAnsi"/>
        </w:rPr>
        <w:t xml:space="preserve">, </w:t>
      </w:r>
      <w:r w:rsidR="00D04132" w:rsidRPr="00001F7B">
        <w:rPr>
          <w:rFonts w:cstheme="minorHAnsi"/>
        </w:rPr>
        <w:t>‘</w:t>
      </w:r>
      <w:r w:rsidR="001415F5" w:rsidRPr="00001F7B">
        <w:rPr>
          <w:rFonts w:cstheme="minorHAnsi"/>
        </w:rPr>
        <w:t>Awarding Damages under the United Nations Convention on the</w:t>
      </w:r>
      <w:r w:rsidR="00C85103" w:rsidRPr="00001F7B">
        <w:rPr>
          <w:rFonts w:cstheme="minorHAnsi"/>
        </w:rPr>
        <w:t xml:space="preserve"> </w:t>
      </w:r>
      <w:r w:rsidR="001415F5" w:rsidRPr="00001F7B">
        <w:rPr>
          <w:rFonts w:cstheme="minorHAnsi"/>
        </w:rPr>
        <w:t>International Sale of Goods: A Matter of Interpretation</w:t>
      </w:r>
      <w:r w:rsidR="00D04132" w:rsidRPr="00001F7B">
        <w:rPr>
          <w:rFonts w:cstheme="minorHAnsi"/>
        </w:rPr>
        <w:t xml:space="preserve">’ </w:t>
      </w:r>
      <w:r w:rsidR="00C85103" w:rsidRPr="00001F7B">
        <w:rPr>
          <w:rFonts w:cstheme="minorHAnsi"/>
        </w:rPr>
        <w:t xml:space="preserve">(2005) </w:t>
      </w:r>
      <w:r w:rsidR="001415F5" w:rsidRPr="00001F7B">
        <w:rPr>
          <w:rFonts w:cstheme="minorHAnsi"/>
        </w:rPr>
        <w:t xml:space="preserve"> 37 GEO. J. </w:t>
      </w:r>
      <w:proofErr w:type="spellStart"/>
      <w:r w:rsidR="001415F5" w:rsidRPr="00001F7B">
        <w:rPr>
          <w:rFonts w:cstheme="minorHAnsi"/>
        </w:rPr>
        <w:t>INT'l</w:t>
      </w:r>
      <w:proofErr w:type="spellEnd"/>
      <w:r w:rsidR="001415F5" w:rsidRPr="00001F7B">
        <w:rPr>
          <w:rFonts w:cstheme="minorHAnsi"/>
        </w:rPr>
        <w:t xml:space="preserve"> L. 95</w:t>
      </w:r>
      <w:r w:rsidR="00C85103" w:rsidRPr="00001F7B">
        <w:rPr>
          <w:rFonts w:cstheme="minorHAnsi"/>
        </w:rPr>
        <w:t>,</w:t>
      </w:r>
      <w:r w:rsidR="001415F5" w:rsidRPr="00001F7B">
        <w:rPr>
          <w:rFonts w:cstheme="minorHAnsi"/>
        </w:rPr>
        <w:t xml:space="preserve"> </w:t>
      </w:r>
      <w:r w:rsidRPr="00001F7B">
        <w:rPr>
          <w:rFonts w:cstheme="minorHAnsi"/>
        </w:rPr>
        <w:t xml:space="preserve">McMahon, ‘Differentiating between </w:t>
      </w:r>
      <w:r w:rsidR="00F6610A" w:rsidRPr="00001F7B">
        <w:rPr>
          <w:rFonts w:cstheme="minorHAnsi"/>
        </w:rPr>
        <w:t xml:space="preserve">Internal and External Gaps in the UN Convention on Contracts for the International Sale of Goods: A Proposed Method for Determining Governed by in the context of Article 7(2)’ (2006) 44 Colum J </w:t>
      </w:r>
      <w:proofErr w:type="spellStart"/>
      <w:r w:rsidR="00F6610A" w:rsidRPr="00001F7B">
        <w:rPr>
          <w:rFonts w:cstheme="minorHAnsi"/>
        </w:rPr>
        <w:t>Transnat’l</w:t>
      </w:r>
      <w:proofErr w:type="spellEnd"/>
      <w:r w:rsidR="00F6610A" w:rsidRPr="00001F7B">
        <w:rPr>
          <w:rFonts w:cstheme="minorHAnsi"/>
        </w:rPr>
        <w:t xml:space="preserve"> L 99</w:t>
      </w:r>
      <w:r w:rsidR="00C85103" w:rsidRPr="00001F7B">
        <w:rPr>
          <w:rFonts w:cstheme="minorHAnsi"/>
        </w:rPr>
        <w:t xml:space="preserve">2. </w:t>
      </w:r>
      <w:proofErr w:type="spellStart"/>
      <w:r w:rsidR="00C85103" w:rsidRPr="00001F7B">
        <w:rPr>
          <w:rFonts w:cstheme="minorHAnsi"/>
        </w:rPr>
        <w:t>Orlandi</w:t>
      </w:r>
      <w:proofErr w:type="spellEnd"/>
      <w:r w:rsidR="00C85103" w:rsidRPr="00001F7B">
        <w:rPr>
          <w:rFonts w:cstheme="minorHAnsi"/>
        </w:rPr>
        <w:t xml:space="preserve"> asserts (at p 28) that </w:t>
      </w:r>
      <w:r w:rsidR="00D04132" w:rsidRPr="00001F7B">
        <w:rPr>
          <w:rFonts w:cstheme="minorHAnsi"/>
        </w:rPr>
        <w:t>i</w:t>
      </w:r>
      <w:r w:rsidR="00C85103" w:rsidRPr="00001F7B">
        <w:rPr>
          <w:rFonts w:cstheme="minorHAnsi"/>
        </w:rPr>
        <w:t>n most countries, the rules of evidence are classified as substantive, not as procedural rules.</w:t>
      </w:r>
      <w:r w:rsidR="007D2007" w:rsidRPr="00001F7B">
        <w:rPr>
          <w:rFonts w:cstheme="minorHAnsi"/>
        </w:rPr>
        <w:t xml:space="preserve"> An important consideration in conflicts of law and of relevance in the context of uniform law is that of convenience. This involves a balance between the inconvenience of searching for the alternative rule (</w:t>
      </w:r>
      <w:r w:rsidR="006C646C" w:rsidRPr="00001F7B">
        <w:rPr>
          <w:rFonts w:cstheme="minorHAnsi"/>
        </w:rPr>
        <w:t>i.e.,</w:t>
      </w:r>
      <w:r w:rsidR="006C646C">
        <w:rPr>
          <w:rFonts w:cstheme="minorHAnsi"/>
        </w:rPr>
        <w:t xml:space="preserve"> </w:t>
      </w:r>
      <w:r w:rsidR="007D2007" w:rsidRPr="00001F7B">
        <w:rPr>
          <w:rFonts w:cstheme="minorHAnsi"/>
        </w:rPr>
        <w:t xml:space="preserve">in conflicts – the foreign law) </w:t>
      </w:r>
      <w:r w:rsidR="00E141CC" w:rsidRPr="00001F7B">
        <w:rPr>
          <w:rFonts w:cstheme="minorHAnsi"/>
        </w:rPr>
        <w:t>and the convenience for a court to be able to rely on its familiar national law.</w:t>
      </w:r>
    </w:p>
  </w:footnote>
  <w:footnote w:id="301">
    <w:p w14:paraId="32742B01" w14:textId="2222EAC6" w:rsidR="00CC65D5" w:rsidRPr="00001F7B" w:rsidRDefault="00CC65D5">
      <w:pPr>
        <w:pStyle w:val="FootnoteText"/>
        <w:rPr>
          <w:rFonts w:cstheme="minorHAnsi"/>
        </w:rPr>
      </w:pPr>
      <w:r w:rsidRPr="00001F7B">
        <w:rPr>
          <w:rStyle w:val="FootnoteReference"/>
          <w:rFonts w:cstheme="minorHAnsi"/>
        </w:rPr>
        <w:footnoteRef/>
      </w:r>
      <w:r w:rsidRPr="00001F7B">
        <w:rPr>
          <w:rFonts w:cstheme="minorHAnsi"/>
        </w:rPr>
        <w:t xml:space="preserve"> See McMahon, above, </w:t>
      </w:r>
      <w:proofErr w:type="spellStart"/>
      <w:r w:rsidRPr="00001F7B">
        <w:rPr>
          <w:rFonts w:cstheme="minorHAnsi"/>
        </w:rPr>
        <w:t>fn</w:t>
      </w:r>
      <w:proofErr w:type="spellEnd"/>
      <w:r w:rsidRPr="00001F7B">
        <w:rPr>
          <w:rFonts w:cstheme="minorHAnsi"/>
        </w:rPr>
        <w:t xml:space="preserve"> 297, p 1007</w:t>
      </w:r>
      <w:r w:rsidR="00D04132" w:rsidRPr="00001F7B">
        <w:rPr>
          <w:rFonts w:cstheme="minorHAnsi"/>
        </w:rPr>
        <w:t xml:space="preserve"> </w:t>
      </w:r>
      <w:r w:rsidR="00D04132" w:rsidRPr="00001F7B">
        <w:rPr>
          <w:rFonts w:cstheme="minorHAnsi"/>
          <w:i/>
          <w:iCs/>
        </w:rPr>
        <w:t>et seq</w:t>
      </w:r>
      <w:r w:rsidR="00D04132" w:rsidRPr="00001F7B">
        <w:rPr>
          <w:rFonts w:cstheme="minorHAnsi"/>
        </w:rPr>
        <w:t>.</w:t>
      </w:r>
    </w:p>
  </w:footnote>
  <w:footnote w:id="302">
    <w:p w14:paraId="4FF57BA6" w14:textId="4B62B244" w:rsidR="00222D7A" w:rsidRDefault="00222D7A">
      <w:pPr>
        <w:pStyle w:val="FootnoteText"/>
      </w:pPr>
      <w:r w:rsidRPr="00001F7B">
        <w:rPr>
          <w:rStyle w:val="FootnoteReference"/>
          <w:rFonts w:cstheme="minorHAnsi"/>
        </w:rPr>
        <w:footnoteRef/>
      </w:r>
      <w:r w:rsidRPr="00001F7B">
        <w:rPr>
          <w:rFonts w:cstheme="minorHAnsi"/>
        </w:rPr>
        <w:t xml:space="preserve"> 3.5.89 (1991) </w:t>
      </w:r>
      <w:proofErr w:type="spellStart"/>
      <w:r w:rsidRPr="00001F7B">
        <w:rPr>
          <w:rFonts w:cstheme="minorHAnsi"/>
        </w:rPr>
        <w:t>TranspR</w:t>
      </w:r>
      <w:proofErr w:type="spellEnd"/>
      <w:r w:rsidRPr="00001F7B">
        <w:rPr>
          <w:rFonts w:cstheme="minorHAnsi"/>
        </w:rPr>
        <w:t xml:space="preserve"> 61, discussed by Clarke, CMR</w:t>
      </w:r>
      <w:r w:rsidR="00214541" w:rsidRPr="00001F7B">
        <w:rPr>
          <w:rFonts w:cstheme="minorHAnsi"/>
        </w:rPr>
        <w:t xml:space="preserve"> book</w:t>
      </w:r>
      <w:r w:rsidRPr="00001F7B">
        <w:rPr>
          <w:rFonts w:cstheme="minorHAnsi"/>
        </w:rPr>
        <w:t>, a</w:t>
      </w:r>
      <w:r w:rsidR="00F119F1" w:rsidRPr="00001F7B">
        <w:rPr>
          <w:rFonts w:cstheme="minorHAnsi"/>
        </w:rPr>
        <w:t>b</w:t>
      </w:r>
      <w:r w:rsidRPr="00001F7B">
        <w:rPr>
          <w:rFonts w:cstheme="minorHAnsi"/>
        </w:rPr>
        <w:t xml:space="preserve">ove, </w:t>
      </w:r>
      <w:proofErr w:type="spellStart"/>
      <w:r w:rsidRPr="00001F7B">
        <w:rPr>
          <w:rFonts w:cstheme="minorHAnsi"/>
        </w:rPr>
        <w:t>fn</w:t>
      </w:r>
      <w:proofErr w:type="spellEnd"/>
      <w:r w:rsidR="00402262">
        <w:rPr>
          <w:rFonts w:cstheme="minorHAnsi"/>
        </w:rPr>
        <w:t xml:space="preserve"> </w:t>
      </w:r>
      <w:r w:rsidR="00214541" w:rsidRPr="00001F7B">
        <w:rPr>
          <w:rFonts w:cstheme="minorHAnsi"/>
        </w:rPr>
        <w:t>186</w:t>
      </w:r>
      <w:r w:rsidRPr="00001F7B">
        <w:rPr>
          <w:rFonts w:cstheme="minorHAnsi"/>
        </w:rPr>
        <w:t>, para 65.</w:t>
      </w:r>
    </w:p>
  </w:footnote>
  <w:footnote w:id="303">
    <w:p w14:paraId="3887FCC8" w14:textId="0BB62A1D" w:rsidR="00683009" w:rsidRDefault="00683009">
      <w:pPr>
        <w:pStyle w:val="FootnoteText"/>
      </w:pPr>
      <w:r>
        <w:rPr>
          <w:rStyle w:val="FootnoteReference"/>
        </w:rPr>
        <w:footnoteRef/>
      </w:r>
      <w:r>
        <w:t xml:space="preserve"> Cf the decision of the Dutch Supreme Court of 18.12.2015, </w:t>
      </w:r>
      <w:proofErr w:type="spellStart"/>
      <w:r w:rsidRPr="00E31FBB">
        <w:rPr>
          <w:i/>
          <w:iCs/>
        </w:rPr>
        <w:t>Transfennica</w:t>
      </w:r>
      <w:proofErr w:type="spellEnd"/>
      <w:r w:rsidRPr="00E31FBB">
        <w:rPr>
          <w:i/>
          <w:iCs/>
        </w:rPr>
        <w:t xml:space="preserve"> v Schenker</w:t>
      </w:r>
      <w:r>
        <w:t xml:space="preserve">, </w:t>
      </w:r>
      <w:proofErr w:type="spellStart"/>
      <w:r w:rsidRPr="00683009">
        <w:rPr>
          <w:rFonts w:eastAsia="Times New Roman" w:cstheme="minorHAnsi"/>
          <w:color w:val="000000"/>
          <w:lang w:eastAsia="en-GB"/>
        </w:rPr>
        <w:t>RvdW</w:t>
      </w:r>
      <w:proofErr w:type="spellEnd"/>
      <w:r w:rsidRPr="00683009">
        <w:rPr>
          <w:rFonts w:eastAsia="Times New Roman" w:cstheme="minorHAnsi"/>
          <w:color w:val="000000"/>
          <w:lang w:eastAsia="en-GB"/>
        </w:rPr>
        <w:t xml:space="preserve"> 2016/93, S&amp;S 2016/37</w:t>
      </w:r>
      <w:r>
        <w:rPr>
          <w:rFonts w:eastAsia="Times New Roman" w:cstheme="minorHAnsi"/>
          <w:color w:val="000000"/>
          <w:lang w:eastAsia="en-GB"/>
        </w:rPr>
        <w:t xml:space="preserve">, </w:t>
      </w:r>
      <w:proofErr w:type="spellStart"/>
      <w:r>
        <w:rPr>
          <w:rFonts w:eastAsia="Times New Roman" w:cstheme="minorHAnsi"/>
          <w:color w:val="000000"/>
          <w:lang w:eastAsia="en-GB"/>
        </w:rPr>
        <w:t>Idit</w:t>
      </w:r>
      <w:proofErr w:type="spellEnd"/>
      <w:r>
        <w:rPr>
          <w:rFonts w:eastAsia="Times New Roman" w:cstheme="minorHAnsi"/>
          <w:color w:val="000000"/>
          <w:lang w:eastAsia="en-GB"/>
        </w:rPr>
        <w:t xml:space="preserve"> No. 41766 where liability for fines and storage costs were incurred because the carrier gave incorrect container numbers which the shipper then put on the TIR carnet </w:t>
      </w:r>
      <w:r w:rsidR="0024762E">
        <w:rPr>
          <w:rFonts w:eastAsia="Times New Roman" w:cstheme="minorHAnsi"/>
          <w:color w:val="000000"/>
          <w:lang w:eastAsia="en-GB"/>
        </w:rPr>
        <w:t xml:space="preserve">which </w:t>
      </w:r>
      <w:r>
        <w:rPr>
          <w:rFonts w:eastAsia="Times New Roman" w:cstheme="minorHAnsi"/>
          <w:color w:val="000000"/>
          <w:lang w:eastAsia="en-GB"/>
        </w:rPr>
        <w:t xml:space="preserve">was held to fall outside </w:t>
      </w:r>
      <w:r w:rsidR="00E31FBB">
        <w:rPr>
          <w:rFonts w:eastAsia="Times New Roman" w:cstheme="minorHAnsi"/>
          <w:color w:val="000000"/>
          <w:lang w:eastAsia="en-GB"/>
        </w:rPr>
        <w:t xml:space="preserve">the scope of CMR but was recoverable under national law.  The decision is criticised by </w:t>
      </w:r>
      <w:proofErr w:type="spellStart"/>
      <w:r w:rsidR="00E31FBB">
        <w:rPr>
          <w:rFonts w:eastAsia="Times New Roman" w:cstheme="minorHAnsi"/>
          <w:color w:val="000000"/>
          <w:lang w:eastAsia="en-GB"/>
        </w:rPr>
        <w:t>Spaanjaart</w:t>
      </w:r>
      <w:proofErr w:type="spellEnd"/>
      <w:r w:rsidR="00E31FBB">
        <w:rPr>
          <w:rFonts w:eastAsia="Times New Roman" w:cstheme="minorHAnsi"/>
          <w:color w:val="000000"/>
          <w:lang w:eastAsia="en-GB"/>
        </w:rPr>
        <w:t>, ‘</w:t>
      </w:r>
      <w:proofErr w:type="spellStart"/>
      <w:r w:rsidR="00E31FBB">
        <w:rPr>
          <w:rFonts w:eastAsia="Times New Roman" w:cstheme="minorHAnsi"/>
          <w:color w:val="000000"/>
          <w:lang w:eastAsia="en-GB"/>
        </w:rPr>
        <w:t>Transfennica</w:t>
      </w:r>
      <w:proofErr w:type="spellEnd"/>
      <w:r w:rsidR="00E31FBB">
        <w:rPr>
          <w:rFonts w:eastAsia="Times New Roman" w:cstheme="minorHAnsi"/>
          <w:color w:val="000000"/>
          <w:lang w:eastAsia="en-GB"/>
        </w:rPr>
        <w:t xml:space="preserve"> v Schenker, The system of articles 17 and 23 CMR’ (2016) </w:t>
      </w:r>
      <w:proofErr w:type="spellStart"/>
      <w:r w:rsidR="00E31FBB">
        <w:rPr>
          <w:rFonts w:eastAsia="Times New Roman" w:cstheme="minorHAnsi"/>
          <w:color w:val="000000"/>
          <w:lang w:eastAsia="en-GB"/>
        </w:rPr>
        <w:t>Transportrecht</w:t>
      </w:r>
      <w:proofErr w:type="spellEnd"/>
      <w:r w:rsidR="00E31FBB">
        <w:rPr>
          <w:rFonts w:eastAsia="Times New Roman" w:cstheme="minorHAnsi"/>
          <w:color w:val="000000"/>
          <w:lang w:eastAsia="en-GB"/>
        </w:rPr>
        <w:t xml:space="preserve"> 383.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E4F22"/>
    <w:multiLevelType w:val="hybridMultilevel"/>
    <w:tmpl w:val="3EA00B2A"/>
    <w:lvl w:ilvl="0" w:tplc="3BC43A9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9603B"/>
    <w:multiLevelType w:val="hybridMultilevel"/>
    <w:tmpl w:val="B69066D4"/>
    <w:lvl w:ilvl="0" w:tplc="59A229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CA15D1"/>
    <w:multiLevelType w:val="hybridMultilevel"/>
    <w:tmpl w:val="EEFCBB0C"/>
    <w:lvl w:ilvl="0" w:tplc="0892207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BF1F00"/>
    <w:multiLevelType w:val="hybridMultilevel"/>
    <w:tmpl w:val="CEC02588"/>
    <w:lvl w:ilvl="0" w:tplc="C3541952">
      <w:start w:val="8"/>
      <w:numFmt w:val="bullet"/>
      <w:lvlText w:val="-"/>
      <w:lvlJc w:val="left"/>
      <w:pPr>
        <w:ind w:left="720" w:hanging="360"/>
      </w:pPr>
      <w:rPr>
        <w:rFonts w:ascii="Times New Roman" w:eastAsiaTheme="minorEastAsia" w:hAnsi="Times New Roman" w:cs="Times New Roman"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A44330"/>
    <w:multiLevelType w:val="hybridMultilevel"/>
    <w:tmpl w:val="F6F6D112"/>
    <w:lvl w:ilvl="0" w:tplc="79B240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68127830">
    <w:abstractNumId w:val="3"/>
  </w:num>
  <w:num w:numId="2" w16cid:durableId="649990368">
    <w:abstractNumId w:val="0"/>
  </w:num>
  <w:num w:numId="3" w16cid:durableId="1831142497">
    <w:abstractNumId w:val="1"/>
  </w:num>
  <w:num w:numId="4" w16cid:durableId="1579099686">
    <w:abstractNumId w:val="4"/>
  </w:num>
  <w:num w:numId="5" w16cid:durableId="18420386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362"/>
    <w:rsid w:val="0000056E"/>
    <w:rsid w:val="0000067C"/>
    <w:rsid w:val="00000B02"/>
    <w:rsid w:val="00000D87"/>
    <w:rsid w:val="00001F7B"/>
    <w:rsid w:val="00002D11"/>
    <w:rsid w:val="00003FB5"/>
    <w:rsid w:val="0000536B"/>
    <w:rsid w:val="00010559"/>
    <w:rsid w:val="0001065A"/>
    <w:rsid w:val="00010B51"/>
    <w:rsid w:val="00012A90"/>
    <w:rsid w:val="00012FD1"/>
    <w:rsid w:val="00013B1E"/>
    <w:rsid w:val="00014171"/>
    <w:rsid w:val="00015377"/>
    <w:rsid w:val="0001589A"/>
    <w:rsid w:val="0001643F"/>
    <w:rsid w:val="0001657C"/>
    <w:rsid w:val="00016700"/>
    <w:rsid w:val="00016756"/>
    <w:rsid w:val="00016ED9"/>
    <w:rsid w:val="0001738C"/>
    <w:rsid w:val="00017712"/>
    <w:rsid w:val="00020992"/>
    <w:rsid w:val="00020F14"/>
    <w:rsid w:val="00021010"/>
    <w:rsid w:val="0002220E"/>
    <w:rsid w:val="0002357F"/>
    <w:rsid w:val="00023D25"/>
    <w:rsid w:val="000248B8"/>
    <w:rsid w:val="00024C56"/>
    <w:rsid w:val="00024DEF"/>
    <w:rsid w:val="00025B3E"/>
    <w:rsid w:val="00026071"/>
    <w:rsid w:val="00026A8B"/>
    <w:rsid w:val="00027260"/>
    <w:rsid w:val="00027D36"/>
    <w:rsid w:val="000303A1"/>
    <w:rsid w:val="000308A7"/>
    <w:rsid w:val="000315FC"/>
    <w:rsid w:val="00031BCF"/>
    <w:rsid w:val="00032042"/>
    <w:rsid w:val="000321E2"/>
    <w:rsid w:val="00033555"/>
    <w:rsid w:val="000336BD"/>
    <w:rsid w:val="00033F4B"/>
    <w:rsid w:val="0003491F"/>
    <w:rsid w:val="00035048"/>
    <w:rsid w:val="0003517E"/>
    <w:rsid w:val="000355D7"/>
    <w:rsid w:val="00035652"/>
    <w:rsid w:val="000359B1"/>
    <w:rsid w:val="00037B8A"/>
    <w:rsid w:val="00040315"/>
    <w:rsid w:val="00040FEB"/>
    <w:rsid w:val="000417D8"/>
    <w:rsid w:val="000425B7"/>
    <w:rsid w:val="000427DF"/>
    <w:rsid w:val="000428A3"/>
    <w:rsid w:val="00043777"/>
    <w:rsid w:val="000437A4"/>
    <w:rsid w:val="00043A72"/>
    <w:rsid w:val="00043CD3"/>
    <w:rsid w:val="00043EE6"/>
    <w:rsid w:val="00045346"/>
    <w:rsid w:val="000454EA"/>
    <w:rsid w:val="000459A9"/>
    <w:rsid w:val="00047391"/>
    <w:rsid w:val="00050600"/>
    <w:rsid w:val="00051122"/>
    <w:rsid w:val="00053049"/>
    <w:rsid w:val="00053696"/>
    <w:rsid w:val="00053AA8"/>
    <w:rsid w:val="00053FD3"/>
    <w:rsid w:val="00054943"/>
    <w:rsid w:val="00054CA3"/>
    <w:rsid w:val="000553F9"/>
    <w:rsid w:val="00055DD5"/>
    <w:rsid w:val="00057011"/>
    <w:rsid w:val="000601A6"/>
    <w:rsid w:val="0006032F"/>
    <w:rsid w:val="00061482"/>
    <w:rsid w:val="000634F8"/>
    <w:rsid w:val="00063753"/>
    <w:rsid w:val="00064CAA"/>
    <w:rsid w:val="0006523A"/>
    <w:rsid w:val="0006549A"/>
    <w:rsid w:val="00065A12"/>
    <w:rsid w:val="00065A6A"/>
    <w:rsid w:val="00066E8F"/>
    <w:rsid w:val="00066F6D"/>
    <w:rsid w:val="0006749D"/>
    <w:rsid w:val="00070951"/>
    <w:rsid w:val="000729F3"/>
    <w:rsid w:val="000733A0"/>
    <w:rsid w:val="00074562"/>
    <w:rsid w:val="000753B8"/>
    <w:rsid w:val="00077525"/>
    <w:rsid w:val="00077F8A"/>
    <w:rsid w:val="00080AEF"/>
    <w:rsid w:val="00080E99"/>
    <w:rsid w:val="00081303"/>
    <w:rsid w:val="0008219E"/>
    <w:rsid w:val="00082FFD"/>
    <w:rsid w:val="000844FC"/>
    <w:rsid w:val="00085378"/>
    <w:rsid w:val="000855F7"/>
    <w:rsid w:val="00086872"/>
    <w:rsid w:val="00086DFB"/>
    <w:rsid w:val="00087712"/>
    <w:rsid w:val="00087912"/>
    <w:rsid w:val="00087941"/>
    <w:rsid w:val="000920E9"/>
    <w:rsid w:val="0009258B"/>
    <w:rsid w:val="00093FB0"/>
    <w:rsid w:val="0009420E"/>
    <w:rsid w:val="0009444E"/>
    <w:rsid w:val="00094901"/>
    <w:rsid w:val="00094BBF"/>
    <w:rsid w:val="00094D79"/>
    <w:rsid w:val="000956B5"/>
    <w:rsid w:val="000975F7"/>
    <w:rsid w:val="000A163A"/>
    <w:rsid w:val="000A2284"/>
    <w:rsid w:val="000A2F66"/>
    <w:rsid w:val="000A35FE"/>
    <w:rsid w:val="000A571E"/>
    <w:rsid w:val="000A5D45"/>
    <w:rsid w:val="000A66D5"/>
    <w:rsid w:val="000A69D5"/>
    <w:rsid w:val="000A743E"/>
    <w:rsid w:val="000A74A1"/>
    <w:rsid w:val="000A785D"/>
    <w:rsid w:val="000B03D0"/>
    <w:rsid w:val="000B2184"/>
    <w:rsid w:val="000B2449"/>
    <w:rsid w:val="000B366B"/>
    <w:rsid w:val="000B4029"/>
    <w:rsid w:val="000B4372"/>
    <w:rsid w:val="000B502A"/>
    <w:rsid w:val="000B7183"/>
    <w:rsid w:val="000B74BB"/>
    <w:rsid w:val="000B7639"/>
    <w:rsid w:val="000C003F"/>
    <w:rsid w:val="000C0080"/>
    <w:rsid w:val="000C0083"/>
    <w:rsid w:val="000C1092"/>
    <w:rsid w:val="000C170D"/>
    <w:rsid w:val="000C1B40"/>
    <w:rsid w:val="000C1C3C"/>
    <w:rsid w:val="000C24A0"/>
    <w:rsid w:val="000C284F"/>
    <w:rsid w:val="000C2F97"/>
    <w:rsid w:val="000C407C"/>
    <w:rsid w:val="000C4773"/>
    <w:rsid w:val="000C52FE"/>
    <w:rsid w:val="000C5E1F"/>
    <w:rsid w:val="000C6F9E"/>
    <w:rsid w:val="000C72B4"/>
    <w:rsid w:val="000D029A"/>
    <w:rsid w:val="000D0E51"/>
    <w:rsid w:val="000D15A3"/>
    <w:rsid w:val="000D26DA"/>
    <w:rsid w:val="000D2B22"/>
    <w:rsid w:val="000D3350"/>
    <w:rsid w:val="000D34D0"/>
    <w:rsid w:val="000D4B03"/>
    <w:rsid w:val="000D4B35"/>
    <w:rsid w:val="000D4F76"/>
    <w:rsid w:val="000D525A"/>
    <w:rsid w:val="000D6139"/>
    <w:rsid w:val="000D6281"/>
    <w:rsid w:val="000D6386"/>
    <w:rsid w:val="000D7546"/>
    <w:rsid w:val="000D787D"/>
    <w:rsid w:val="000E06B0"/>
    <w:rsid w:val="000E0982"/>
    <w:rsid w:val="000E0E5E"/>
    <w:rsid w:val="000E0EC2"/>
    <w:rsid w:val="000E137E"/>
    <w:rsid w:val="000E18AF"/>
    <w:rsid w:val="000E38EA"/>
    <w:rsid w:val="000E397C"/>
    <w:rsid w:val="000E49CE"/>
    <w:rsid w:val="000E4CC8"/>
    <w:rsid w:val="000E4E9C"/>
    <w:rsid w:val="000E4F1E"/>
    <w:rsid w:val="000E5CCE"/>
    <w:rsid w:val="000E6816"/>
    <w:rsid w:val="000E6A64"/>
    <w:rsid w:val="000E6A75"/>
    <w:rsid w:val="000E6BEB"/>
    <w:rsid w:val="000E7704"/>
    <w:rsid w:val="000E7EEA"/>
    <w:rsid w:val="000F1DC8"/>
    <w:rsid w:val="000F28B1"/>
    <w:rsid w:val="000F321C"/>
    <w:rsid w:val="000F39F6"/>
    <w:rsid w:val="000F4598"/>
    <w:rsid w:val="000F4876"/>
    <w:rsid w:val="000F4EBA"/>
    <w:rsid w:val="000F7998"/>
    <w:rsid w:val="000F79FF"/>
    <w:rsid w:val="000F7B2B"/>
    <w:rsid w:val="000F7C15"/>
    <w:rsid w:val="001012DA"/>
    <w:rsid w:val="00101AA7"/>
    <w:rsid w:val="00101B1F"/>
    <w:rsid w:val="00101EB6"/>
    <w:rsid w:val="0010206E"/>
    <w:rsid w:val="001027EC"/>
    <w:rsid w:val="00102C8E"/>
    <w:rsid w:val="00103345"/>
    <w:rsid w:val="00103E89"/>
    <w:rsid w:val="001051FB"/>
    <w:rsid w:val="00105DE9"/>
    <w:rsid w:val="00106976"/>
    <w:rsid w:val="00106AC7"/>
    <w:rsid w:val="00107940"/>
    <w:rsid w:val="00110C97"/>
    <w:rsid w:val="001116FA"/>
    <w:rsid w:val="00111F93"/>
    <w:rsid w:val="001121F2"/>
    <w:rsid w:val="00112C2F"/>
    <w:rsid w:val="001161C6"/>
    <w:rsid w:val="0011670F"/>
    <w:rsid w:val="00116C8E"/>
    <w:rsid w:val="00116FC9"/>
    <w:rsid w:val="00117093"/>
    <w:rsid w:val="0011716B"/>
    <w:rsid w:val="00120B96"/>
    <w:rsid w:val="001221FF"/>
    <w:rsid w:val="001226F6"/>
    <w:rsid w:val="00122C26"/>
    <w:rsid w:val="00123985"/>
    <w:rsid w:val="00123AF7"/>
    <w:rsid w:val="00125014"/>
    <w:rsid w:val="0012546B"/>
    <w:rsid w:val="00130F14"/>
    <w:rsid w:val="00132286"/>
    <w:rsid w:val="0013297C"/>
    <w:rsid w:val="001340BF"/>
    <w:rsid w:val="00134160"/>
    <w:rsid w:val="00134636"/>
    <w:rsid w:val="00135A26"/>
    <w:rsid w:val="00135E9A"/>
    <w:rsid w:val="0013616A"/>
    <w:rsid w:val="0013659A"/>
    <w:rsid w:val="00136C47"/>
    <w:rsid w:val="0013752C"/>
    <w:rsid w:val="00137D72"/>
    <w:rsid w:val="00140B16"/>
    <w:rsid w:val="001415F5"/>
    <w:rsid w:val="00142C90"/>
    <w:rsid w:val="00142CC2"/>
    <w:rsid w:val="00144692"/>
    <w:rsid w:val="001463F5"/>
    <w:rsid w:val="00146EB0"/>
    <w:rsid w:val="00150B48"/>
    <w:rsid w:val="0015341F"/>
    <w:rsid w:val="00153941"/>
    <w:rsid w:val="00154CAD"/>
    <w:rsid w:val="00155520"/>
    <w:rsid w:val="0015572C"/>
    <w:rsid w:val="00155F07"/>
    <w:rsid w:val="00156973"/>
    <w:rsid w:val="00156FB2"/>
    <w:rsid w:val="001578B5"/>
    <w:rsid w:val="00157DAF"/>
    <w:rsid w:val="00157E07"/>
    <w:rsid w:val="00157FE7"/>
    <w:rsid w:val="0016086A"/>
    <w:rsid w:val="00161381"/>
    <w:rsid w:val="00161790"/>
    <w:rsid w:val="00163089"/>
    <w:rsid w:val="00163E09"/>
    <w:rsid w:val="00163E60"/>
    <w:rsid w:val="00165CFA"/>
    <w:rsid w:val="00165D05"/>
    <w:rsid w:val="00165D82"/>
    <w:rsid w:val="00167865"/>
    <w:rsid w:val="00167973"/>
    <w:rsid w:val="00167D52"/>
    <w:rsid w:val="001706E1"/>
    <w:rsid w:val="00171AE0"/>
    <w:rsid w:val="00171C50"/>
    <w:rsid w:val="001725C8"/>
    <w:rsid w:val="001728A7"/>
    <w:rsid w:val="00173C28"/>
    <w:rsid w:val="00176F60"/>
    <w:rsid w:val="001775A6"/>
    <w:rsid w:val="00177870"/>
    <w:rsid w:val="00177BDC"/>
    <w:rsid w:val="00177E12"/>
    <w:rsid w:val="001800FD"/>
    <w:rsid w:val="00180246"/>
    <w:rsid w:val="001817C2"/>
    <w:rsid w:val="00181819"/>
    <w:rsid w:val="00181BFF"/>
    <w:rsid w:val="00183B16"/>
    <w:rsid w:val="001840B9"/>
    <w:rsid w:val="0018455A"/>
    <w:rsid w:val="00184B87"/>
    <w:rsid w:val="00184E60"/>
    <w:rsid w:val="0018519C"/>
    <w:rsid w:val="00185880"/>
    <w:rsid w:val="001864C1"/>
    <w:rsid w:val="001868D0"/>
    <w:rsid w:val="00187147"/>
    <w:rsid w:val="00187AFC"/>
    <w:rsid w:val="0019189D"/>
    <w:rsid w:val="0019227A"/>
    <w:rsid w:val="00192F4C"/>
    <w:rsid w:val="001934BB"/>
    <w:rsid w:val="00194037"/>
    <w:rsid w:val="001940DC"/>
    <w:rsid w:val="00194A90"/>
    <w:rsid w:val="00194F19"/>
    <w:rsid w:val="0019513C"/>
    <w:rsid w:val="00195AEA"/>
    <w:rsid w:val="00196BC2"/>
    <w:rsid w:val="00197624"/>
    <w:rsid w:val="001976B0"/>
    <w:rsid w:val="00197AAC"/>
    <w:rsid w:val="001A0B6B"/>
    <w:rsid w:val="001A1C15"/>
    <w:rsid w:val="001A2290"/>
    <w:rsid w:val="001A27D6"/>
    <w:rsid w:val="001A3083"/>
    <w:rsid w:val="001A30D3"/>
    <w:rsid w:val="001A32F8"/>
    <w:rsid w:val="001A3B12"/>
    <w:rsid w:val="001A3F03"/>
    <w:rsid w:val="001A4E9F"/>
    <w:rsid w:val="001A61A0"/>
    <w:rsid w:val="001A642C"/>
    <w:rsid w:val="001A72B4"/>
    <w:rsid w:val="001A7994"/>
    <w:rsid w:val="001A7C4C"/>
    <w:rsid w:val="001B067B"/>
    <w:rsid w:val="001B0FC2"/>
    <w:rsid w:val="001B11E5"/>
    <w:rsid w:val="001B1674"/>
    <w:rsid w:val="001B1A4B"/>
    <w:rsid w:val="001B227F"/>
    <w:rsid w:val="001B2AA7"/>
    <w:rsid w:val="001B3A5A"/>
    <w:rsid w:val="001B3C0F"/>
    <w:rsid w:val="001B4CF3"/>
    <w:rsid w:val="001B50FD"/>
    <w:rsid w:val="001B6F78"/>
    <w:rsid w:val="001B7CD8"/>
    <w:rsid w:val="001C037D"/>
    <w:rsid w:val="001C0406"/>
    <w:rsid w:val="001C0489"/>
    <w:rsid w:val="001C10BB"/>
    <w:rsid w:val="001C3050"/>
    <w:rsid w:val="001C3805"/>
    <w:rsid w:val="001C422F"/>
    <w:rsid w:val="001C4CD6"/>
    <w:rsid w:val="001C56CD"/>
    <w:rsid w:val="001C716A"/>
    <w:rsid w:val="001D10B9"/>
    <w:rsid w:val="001D17EB"/>
    <w:rsid w:val="001D22B8"/>
    <w:rsid w:val="001D2CEC"/>
    <w:rsid w:val="001D2DE0"/>
    <w:rsid w:val="001D32AC"/>
    <w:rsid w:val="001D4738"/>
    <w:rsid w:val="001D4AE1"/>
    <w:rsid w:val="001D5165"/>
    <w:rsid w:val="001D5484"/>
    <w:rsid w:val="001D6067"/>
    <w:rsid w:val="001D7035"/>
    <w:rsid w:val="001D7385"/>
    <w:rsid w:val="001E1468"/>
    <w:rsid w:val="001E14A8"/>
    <w:rsid w:val="001E14F2"/>
    <w:rsid w:val="001E1E38"/>
    <w:rsid w:val="001E274E"/>
    <w:rsid w:val="001E477B"/>
    <w:rsid w:val="001E564E"/>
    <w:rsid w:val="001E624E"/>
    <w:rsid w:val="001E719F"/>
    <w:rsid w:val="001E7BA0"/>
    <w:rsid w:val="001E7D86"/>
    <w:rsid w:val="001F04DF"/>
    <w:rsid w:val="001F07EF"/>
    <w:rsid w:val="001F0A80"/>
    <w:rsid w:val="001F120D"/>
    <w:rsid w:val="001F1867"/>
    <w:rsid w:val="001F2B5C"/>
    <w:rsid w:val="001F30CA"/>
    <w:rsid w:val="001F3A1D"/>
    <w:rsid w:val="001F3E7D"/>
    <w:rsid w:val="001F4D4A"/>
    <w:rsid w:val="001F52CE"/>
    <w:rsid w:val="001F6874"/>
    <w:rsid w:val="001F6DB0"/>
    <w:rsid w:val="001F6FBF"/>
    <w:rsid w:val="001F751D"/>
    <w:rsid w:val="001F7B5B"/>
    <w:rsid w:val="001F7E8C"/>
    <w:rsid w:val="00200634"/>
    <w:rsid w:val="00201172"/>
    <w:rsid w:val="0020133B"/>
    <w:rsid w:val="0020152A"/>
    <w:rsid w:val="0020262E"/>
    <w:rsid w:val="00203D31"/>
    <w:rsid w:val="00204432"/>
    <w:rsid w:val="00205151"/>
    <w:rsid w:val="002052A5"/>
    <w:rsid w:val="002058C3"/>
    <w:rsid w:val="00205B05"/>
    <w:rsid w:val="002061E8"/>
    <w:rsid w:val="002069D5"/>
    <w:rsid w:val="00206EAD"/>
    <w:rsid w:val="00211FE5"/>
    <w:rsid w:val="00212B0B"/>
    <w:rsid w:val="00213E16"/>
    <w:rsid w:val="00214541"/>
    <w:rsid w:val="002158C9"/>
    <w:rsid w:val="00215EB4"/>
    <w:rsid w:val="00216549"/>
    <w:rsid w:val="0021791F"/>
    <w:rsid w:val="00222D7A"/>
    <w:rsid w:val="00223897"/>
    <w:rsid w:val="002238E5"/>
    <w:rsid w:val="0022474D"/>
    <w:rsid w:val="00224CEF"/>
    <w:rsid w:val="00225682"/>
    <w:rsid w:val="0022595E"/>
    <w:rsid w:val="002264C9"/>
    <w:rsid w:val="00227456"/>
    <w:rsid w:val="00227DB6"/>
    <w:rsid w:val="002316F8"/>
    <w:rsid w:val="00231FDD"/>
    <w:rsid w:val="0023210E"/>
    <w:rsid w:val="0023347A"/>
    <w:rsid w:val="00233A5B"/>
    <w:rsid w:val="002348F5"/>
    <w:rsid w:val="0023583E"/>
    <w:rsid w:val="002360B6"/>
    <w:rsid w:val="002363D2"/>
    <w:rsid w:val="00236F72"/>
    <w:rsid w:val="00237D91"/>
    <w:rsid w:val="00237FCF"/>
    <w:rsid w:val="00240F7B"/>
    <w:rsid w:val="00241105"/>
    <w:rsid w:val="0024200A"/>
    <w:rsid w:val="00242D57"/>
    <w:rsid w:val="00242FB6"/>
    <w:rsid w:val="00244445"/>
    <w:rsid w:val="00244C53"/>
    <w:rsid w:val="00244D03"/>
    <w:rsid w:val="0024762E"/>
    <w:rsid w:val="002500B4"/>
    <w:rsid w:val="00250322"/>
    <w:rsid w:val="002527F6"/>
    <w:rsid w:val="00252D16"/>
    <w:rsid w:val="002530D7"/>
    <w:rsid w:val="00253C3E"/>
    <w:rsid w:val="0025520D"/>
    <w:rsid w:val="00255B91"/>
    <w:rsid w:val="0025639B"/>
    <w:rsid w:val="00257C00"/>
    <w:rsid w:val="002607F7"/>
    <w:rsid w:val="002618F8"/>
    <w:rsid w:val="0026256F"/>
    <w:rsid w:val="002629B0"/>
    <w:rsid w:val="00262CF8"/>
    <w:rsid w:val="0026347D"/>
    <w:rsid w:val="00263E39"/>
    <w:rsid w:val="00265D44"/>
    <w:rsid w:val="002677D7"/>
    <w:rsid w:val="002678FD"/>
    <w:rsid w:val="00270141"/>
    <w:rsid w:val="0027100C"/>
    <w:rsid w:val="0027148E"/>
    <w:rsid w:val="00275F11"/>
    <w:rsid w:val="00276C31"/>
    <w:rsid w:val="00277D26"/>
    <w:rsid w:val="002819B3"/>
    <w:rsid w:val="00281ACC"/>
    <w:rsid w:val="00282088"/>
    <w:rsid w:val="00282998"/>
    <w:rsid w:val="00282E59"/>
    <w:rsid w:val="00284BAD"/>
    <w:rsid w:val="00285159"/>
    <w:rsid w:val="0028576C"/>
    <w:rsid w:val="00285A72"/>
    <w:rsid w:val="00290451"/>
    <w:rsid w:val="002907D2"/>
    <w:rsid w:val="002914DA"/>
    <w:rsid w:val="002914E8"/>
    <w:rsid w:val="00291B22"/>
    <w:rsid w:val="00291F81"/>
    <w:rsid w:val="00293239"/>
    <w:rsid w:val="0029386A"/>
    <w:rsid w:val="00293B11"/>
    <w:rsid w:val="00293FED"/>
    <w:rsid w:val="002946B0"/>
    <w:rsid w:val="00294700"/>
    <w:rsid w:val="002967EC"/>
    <w:rsid w:val="002971B3"/>
    <w:rsid w:val="0029750B"/>
    <w:rsid w:val="002975B1"/>
    <w:rsid w:val="00297FD1"/>
    <w:rsid w:val="002A1852"/>
    <w:rsid w:val="002A1F62"/>
    <w:rsid w:val="002A22A3"/>
    <w:rsid w:val="002A2A56"/>
    <w:rsid w:val="002A306A"/>
    <w:rsid w:val="002A496F"/>
    <w:rsid w:val="002A5299"/>
    <w:rsid w:val="002A5396"/>
    <w:rsid w:val="002A5B40"/>
    <w:rsid w:val="002A5CD0"/>
    <w:rsid w:val="002A5CE0"/>
    <w:rsid w:val="002A736D"/>
    <w:rsid w:val="002B01CB"/>
    <w:rsid w:val="002B0F8F"/>
    <w:rsid w:val="002B1101"/>
    <w:rsid w:val="002B179A"/>
    <w:rsid w:val="002B54E5"/>
    <w:rsid w:val="002B6835"/>
    <w:rsid w:val="002B7A28"/>
    <w:rsid w:val="002B7C75"/>
    <w:rsid w:val="002C02F5"/>
    <w:rsid w:val="002C236F"/>
    <w:rsid w:val="002C2CDE"/>
    <w:rsid w:val="002C3671"/>
    <w:rsid w:val="002C3A7B"/>
    <w:rsid w:val="002C4D0F"/>
    <w:rsid w:val="002C7828"/>
    <w:rsid w:val="002C7DA0"/>
    <w:rsid w:val="002D036B"/>
    <w:rsid w:val="002D24AD"/>
    <w:rsid w:val="002D2D4C"/>
    <w:rsid w:val="002D2E2E"/>
    <w:rsid w:val="002D4BC4"/>
    <w:rsid w:val="002D67C3"/>
    <w:rsid w:val="002D75BD"/>
    <w:rsid w:val="002D78CC"/>
    <w:rsid w:val="002D7BFD"/>
    <w:rsid w:val="002E019A"/>
    <w:rsid w:val="002E0265"/>
    <w:rsid w:val="002E1AE3"/>
    <w:rsid w:val="002E2634"/>
    <w:rsid w:val="002E29E2"/>
    <w:rsid w:val="002E2CD3"/>
    <w:rsid w:val="002E2F67"/>
    <w:rsid w:val="002E3779"/>
    <w:rsid w:val="002E3D6F"/>
    <w:rsid w:val="002E417D"/>
    <w:rsid w:val="002E600D"/>
    <w:rsid w:val="002E6DCE"/>
    <w:rsid w:val="002F0277"/>
    <w:rsid w:val="002F179F"/>
    <w:rsid w:val="002F1E31"/>
    <w:rsid w:val="002F37CD"/>
    <w:rsid w:val="002F3C6A"/>
    <w:rsid w:val="002F40C4"/>
    <w:rsid w:val="002F4879"/>
    <w:rsid w:val="002F4CEE"/>
    <w:rsid w:val="002F6852"/>
    <w:rsid w:val="002F6A26"/>
    <w:rsid w:val="002F6E6B"/>
    <w:rsid w:val="002F72A5"/>
    <w:rsid w:val="0030142D"/>
    <w:rsid w:val="0030184C"/>
    <w:rsid w:val="00301E1D"/>
    <w:rsid w:val="00302FDA"/>
    <w:rsid w:val="00303138"/>
    <w:rsid w:val="00304E64"/>
    <w:rsid w:val="003051FA"/>
    <w:rsid w:val="0030588A"/>
    <w:rsid w:val="003064A6"/>
    <w:rsid w:val="003118E9"/>
    <w:rsid w:val="00312347"/>
    <w:rsid w:val="00312A58"/>
    <w:rsid w:val="003141A5"/>
    <w:rsid w:val="0031446D"/>
    <w:rsid w:val="00315382"/>
    <w:rsid w:val="00316D4D"/>
    <w:rsid w:val="00317423"/>
    <w:rsid w:val="00317770"/>
    <w:rsid w:val="003201CC"/>
    <w:rsid w:val="003216C9"/>
    <w:rsid w:val="003223FF"/>
    <w:rsid w:val="00324623"/>
    <w:rsid w:val="003255AA"/>
    <w:rsid w:val="00326807"/>
    <w:rsid w:val="00327017"/>
    <w:rsid w:val="00327FE9"/>
    <w:rsid w:val="0033032D"/>
    <w:rsid w:val="00332349"/>
    <w:rsid w:val="00332756"/>
    <w:rsid w:val="00332AD6"/>
    <w:rsid w:val="003332D8"/>
    <w:rsid w:val="0033348C"/>
    <w:rsid w:val="00333D78"/>
    <w:rsid w:val="00333F0B"/>
    <w:rsid w:val="00333FE8"/>
    <w:rsid w:val="00334811"/>
    <w:rsid w:val="00334E9E"/>
    <w:rsid w:val="00335DD1"/>
    <w:rsid w:val="00337EBB"/>
    <w:rsid w:val="003403AB"/>
    <w:rsid w:val="00341405"/>
    <w:rsid w:val="00341698"/>
    <w:rsid w:val="00341786"/>
    <w:rsid w:val="00343ECC"/>
    <w:rsid w:val="00345115"/>
    <w:rsid w:val="00345E66"/>
    <w:rsid w:val="003471FA"/>
    <w:rsid w:val="0034779D"/>
    <w:rsid w:val="00350128"/>
    <w:rsid w:val="00350F51"/>
    <w:rsid w:val="00350F78"/>
    <w:rsid w:val="0035107D"/>
    <w:rsid w:val="00352D67"/>
    <w:rsid w:val="003539BE"/>
    <w:rsid w:val="0035418B"/>
    <w:rsid w:val="003557D9"/>
    <w:rsid w:val="0035621E"/>
    <w:rsid w:val="00360398"/>
    <w:rsid w:val="003612C7"/>
    <w:rsid w:val="003624A2"/>
    <w:rsid w:val="003629D2"/>
    <w:rsid w:val="00362A63"/>
    <w:rsid w:val="00362C51"/>
    <w:rsid w:val="00363E4B"/>
    <w:rsid w:val="00364934"/>
    <w:rsid w:val="0036494C"/>
    <w:rsid w:val="00364AA2"/>
    <w:rsid w:val="0036516E"/>
    <w:rsid w:val="003654EE"/>
    <w:rsid w:val="00365EBC"/>
    <w:rsid w:val="00366936"/>
    <w:rsid w:val="00366B05"/>
    <w:rsid w:val="0036774D"/>
    <w:rsid w:val="00367C67"/>
    <w:rsid w:val="003704C3"/>
    <w:rsid w:val="003709B7"/>
    <w:rsid w:val="00370C11"/>
    <w:rsid w:val="00372426"/>
    <w:rsid w:val="00373244"/>
    <w:rsid w:val="00373479"/>
    <w:rsid w:val="0037365F"/>
    <w:rsid w:val="0037375E"/>
    <w:rsid w:val="003745DA"/>
    <w:rsid w:val="00374DFF"/>
    <w:rsid w:val="0037571D"/>
    <w:rsid w:val="00375AA2"/>
    <w:rsid w:val="00375C3E"/>
    <w:rsid w:val="00376241"/>
    <w:rsid w:val="0037624E"/>
    <w:rsid w:val="00376C90"/>
    <w:rsid w:val="0038015A"/>
    <w:rsid w:val="003802E1"/>
    <w:rsid w:val="003809D3"/>
    <w:rsid w:val="00380C2F"/>
    <w:rsid w:val="00380CBC"/>
    <w:rsid w:val="003819F8"/>
    <w:rsid w:val="00381E49"/>
    <w:rsid w:val="0038272C"/>
    <w:rsid w:val="00382B57"/>
    <w:rsid w:val="00382E03"/>
    <w:rsid w:val="00383656"/>
    <w:rsid w:val="00383B88"/>
    <w:rsid w:val="00384464"/>
    <w:rsid w:val="00385707"/>
    <w:rsid w:val="00386A94"/>
    <w:rsid w:val="00387AF3"/>
    <w:rsid w:val="00392CB8"/>
    <w:rsid w:val="00393880"/>
    <w:rsid w:val="00394123"/>
    <w:rsid w:val="00394F0E"/>
    <w:rsid w:val="0039572C"/>
    <w:rsid w:val="00395B25"/>
    <w:rsid w:val="00397290"/>
    <w:rsid w:val="003975CD"/>
    <w:rsid w:val="00397DC8"/>
    <w:rsid w:val="003A0688"/>
    <w:rsid w:val="003A0782"/>
    <w:rsid w:val="003A0C99"/>
    <w:rsid w:val="003A0EB2"/>
    <w:rsid w:val="003A13D5"/>
    <w:rsid w:val="003A1E4E"/>
    <w:rsid w:val="003A3B08"/>
    <w:rsid w:val="003A4F00"/>
    <w:rsid w:val="003A50A4"/>
    <w:rsid w:val="003A607E"/>
    <w:rsid w:val="003A6ACC"/>
    <w:rsid w:val="003A6E7D"/>
    <w:rsid w:val="003A7BF8"/>
    <w:rsid w:val="003B0B16"/>
    <w:rsid w:val="003B10CC"/>
    <w:rsid w:val="003B2708"/>
    <w:rsid w:val="003B2F7B"/>
    <w:rsid w:val="003B4881"/>
    <w:rsid w:val="003B523F"/>
    <w:rsid w:val="003B6762"/>
    <w:rsid w:val="003B6CB0"/>
    <w:rsid w:val="003B6F38"/>
    <w:rsid w:val="003B72DB"/>
    <w:rsid w:val="003B7E1C"/>
    <w:rsid w:val="003B7F4E"/>
    <w:rsid w:val="003C0483"/>
    <w:rsid w:val="003C262B"/>
    <w:rsid w:val="003C26B8"/>
    <w:rsid w:val="003C270D"/>
    <w:rsid w:val="003C39E5"/>
    <w:rsid w:val="003C39ED"/>
    <w:rsid w:val="003C3E46"/>
    <w:rsid w:val="003C45BE"/>
    <w:rsid w:val="003C470D"/>
    <w:rsid w:val="003C5EC4"/>
    <w:rsid w:val="003C65D0"/>
    <w:rsid w:val="003C6626"/>
    <w:rsid w:val="003C6CCE"/>
    <w:rsid w:val="003C6EA2"/>
    <w:rsid w:val="003C76D6"/>
    <w:rsid w:val="003C7B52"/>
    <w:rsid w:val="003C7F65"/>
    <w:rsid w:val="003C7FBC"/>
    <w:rsid w:val="003D06F1"/>
    <w:rsid w:val="003D167F"/>
    <w:rsid w:val="003D207D"/>
    <w:rsid w:val="003D3379"/>
    <w:rsid w:val="003D3939"/>
    <w:rsid w:val="003D4DF2"/>
    <w:rsid w:val="003D571B"/>
    <w:rsid w:val="003E0004"/>
    <w:rsid w:val="003E021A"/>
    <w:rsid w:val="003E1916"/>
    <w:rsid w:val="003E223D"/>
    <w:rsid w:val="003E3248"/>
    <w:rsid w:val="003E498C"/>
    <w:rsid w:val="003E5000"/>
    <w:rsid w:val="003E5186"/>
    <w:rsid w:val="003F0F27"/>
    <w:rsid w:val="003F1EAB"/>
    <w:rsid w:val="003F23BB"/>
    <w:rsid w:val="003F3B35"/>
    <w:rsid w:val="003F4A3A"/>
    <w:rsid w:val="003F4CE0"/>
    <w:rsid w:val="003F63FA"/>
    <w:rsid w:val="003F697A"/>
    <w:rsid w:val="00400979"/>
    <w:rsid w:val="00401673"/>
    <w:rsid w:val="00401876"/>
    <w:rsid w:val="00401C64"/>
    <w:rsid w:val="00402262"/>
    <w:rsid w:val="00402ACF"/>
    <w:rsid w:val="004045F8"/>
    <w:rsid w:val="00404869"/>
    <w:rsid w:val="00405FE6"/>
    <w:rsid w:val="004060F3"/>
    <w:rsid w:val="00406CDA"/>
    <w:rsid w:val="00407F7D"/>
    <w:rsid w:val="00410A88"/>
    <w:rsid w:val="00410C28"/>
    <w:rsid w:val="004127A8"/>
    <w:rsid w:val="00412E24"/>
    <w:rsid w:val="00413522"/>
    <w:rsid w:val="00413EC9"/>
    <w:rsid w:val="00414424"/>
    <w:rsid w:val="00415355"/>
    <w:rsid w:val="0041619A"/>
    <w:rsid w:val="00417D86"/>
    <w:rsid w:val="00417FE2"/>
    <w:rsid w:val="0042156B"/>
    <w:rsid w:val="00421B91"/>
    <w:rsid w:val="00422AB5"/>
    <w:rsid w:val="00422F8E"/>
    <w:rsid w:val="00424E92"/>
    <w:rsid w:val="0042533F"/>
    <w:rsid w:val="00426FCD"/>
    <w:rsid w:val="00427038"/>
    <w:rsid w:val="0042782F"/>
    <w:rsid w:val="00427EB1"/>
    <w:rsid w:val="00431AC4"/>
    <w:rsid w:val="00431EA4"/>
    <w:rsid w:val="00432722"/>
    <w:rsid w:val="00433392"/>
    <w:rsid w:val="004335DC"/>
    <w:rsid w:val="00433945"/>
    <w:rsid w:val="0043485A"/>
    <w:rsid w:val="0043597E"/>
    <w:rsid w:val="00440375"/>
    <w:rsid w:val="00441286"/>
    <w:rsid w:val="00443158"/>
    <w:rsid w:val="004438BB"/>
    <w:rsid w:val="00444486"/>
    <w:rsid w:val="00444B6B"/>
    <w:rsid w:val="00444F1C"/>
    <w:rsid w:val="00446336"/>
    <w:rsid w:val="004463F0"/>
    <w:rsid w:val="004469EC"/>
    <w:rsid w:val="0044715C"/>
    <w:rsid w:val="004471C1"/>
    <w:rsid w:val="00447ADA"/>
    <w:rsid w:val="00447D33"/>
    <w:rsid w:val="004501E8"/>
    <w:rsid w:val="004527D1"/>
    <w:rsid w:val="0045315C"/>
    <w:rsid w:val="004538CF"/>
    <w:rsid w:val="00453EDE"/>
    <w:rsid w:val="004564B0"/>
    <w:rsid w:val="004569E6"/>
    <w:rsid w:val="00456B18"/>
    <w:rsid w:val="00456B92"/>
    <w:rsid w:val="004570F7"/>
    <w:rsid w:val="00457563"/>
    <w:rsid w:val="00457D1B"/>
    <w:rsid w:val="00460428"/>
    <w:rsid w:val="00460E72"/>
    <w:rsid w:val="004616B0"/>
    <w:rsid w:val="00461B5B"/>
    <w:rsid w:val="00462B7C"/>
    <w:rsid w:val="004640C4"/>
    <w:rsid w:val="00464D3F"/>
    <w:rsid w:val="00465D05"/>
    <w:rsid w:val="00465E41"/>
    <w:rsid w:val="00465FD4"/>
    <w:rsid w:val="00467715"/>
    <w:rsid w:val="0046782B"/>
    <w:rsid w:val="00472642"/>
    <w:rsid w:val="004729E7"/>
    <w:rsid w:val="00472F0B"/>
    <w:rsid w:val="00474393"/>
    <w:rsid w:val="004744C2"/>
    <w:rsid w:val="00474E17"/>
    <w:rsid w:val="00475F71"/>
    <w:rsid w:val="00476409"/>
    <w:rsid w:val="0047686E"/>
    <w:rsid w:val="004769AF"/>
    <w:rsid w:val="00476E42"/>
    <w:rsid w:val="004771CB"/>
    <w:rsid w:val="004773D6"/>
    <w:rsid w:val="00477B04"/>
    <w:rsid w:val="00480008"/>
    <w:rsid w:val="00480E81"/>
    <w:rsid w:val="004824A7"/>
    <w:rsid w:val="00482604"/>
    <w:rsid w:val="00484262"/>
    <w:rsid w:val="0048525D"/>
    <w:rsid w:val="0048617F"/>
    <w:rsid w:val="00486283"/>
    <w:rsid w:val="0048664A"/>
    <w:rsid w:val="00486BBE"/>
    <w:rsid w:val="00486E57"/>
    <w:rsid w:val="0048712F"/>
    <w:rsid w:val="00487D7D"/>
    <w:rsid w:val="004905CA"/>
    <w:rsid w:val="00492EC3"/>
    <w:rsid w:val="00494246"/>
    <w:rsid w:val="004945D7"/>
    <w:rsid w:val="00494BA0"/>
    <w:rsid w:val="00497090"/>
    <w:rsid w:val="004973D6"/>
    <w:rsid w:val="004A0708"/>
    <w:rsid w:val="004A070C"/>
    <w:rsid w:val="004A096D"/>
    <w:rsid w:val="004A2281"/>
    <w:rsid w:val="004A3765"/>
    <w:rsid w:val="004A4AF3"/>
    <w:rsid w:val="004A4B9B"/>
    <w:rsid w:val="004A519C"/>
    <w:rsid w:val="004A51CE"/>
    <w:rsid w:val="004A5D49"/>
    <w:rsid w:val="004A61F9"/>
    <w:rsid w:val="004A6916"/>
    <w:rsid w:val="004A6BE7"/>
    <w:rsid w:val="004A6C77"/>
    <w:rsid w:val="004A7603"/>
    <w:rsid w:val="004A7A24"/>
    <w:rsid w:val="004B018F"/>
    <w:rsid w:val="004B0233"/>
    <w:rsid w:val="004B0CA1"/>
    <w:rsid w:val="004B0E65"/>
    <w:rsid w:val="004B151E"/>
    <w:rsid w:val="004B16D6"/>
    <w:rsid w:val="004B1731"/>
    <w:rsid w:val="004B1742"/>
    <w:rsid w:val="004B1A91"/>
    <w:rsid w:val="004B2272"/>
    <w:rsid w:val="004B240A"/>
    <w:rsid w:val="004B3345"/>
    <w:rsid w:val="004B477C"/>
    <w:rsid w:val="004B4A3E"/>
    <w:rsid w:val="004B4FF9"/>
    <w:rsid w:val="004B54D4"/>
    <w:rsid w:val="004B60F1"/>
    <w:rsid w:val="004B66C1"/>
    <w:rsid w:val="004B6C1E"/>
    <w:rsid w:val="004B7A35"/>
    <w:rsid w:val="004C2680"/>
    <w:rsid w:val="004C3D89"/>
    <w:rsid w:val="004C4225"/>
    <w:rsid w:val="004C44DD"/>
    <w:rsid w:val="004C4B05"/>
    <w:rsid w:val="004C4F91"/>
    <w:rsid w:val="004C5B19"/>
    <w:rsid w:val="004C6BCD"/>
    <w:rsid w:val="004C6CD1"/>
    <w:rsid w:val="004C73BC"/>
    <w:rsid w:val="004C7718"/>
    <w:rsid w:val="004C7EEF"/>
    <w:rsid w:val="004D007F"/>
    <w:rsid w:val="004D1381"/>
    <w:rsid w:val="004D1751"/>
    <w:rsid w:val="004D40B5"/>
    <w:rsid w:val="004D4110"/>
    <w:rsid w:val="004D45AB"/>
    <w:rsid w:val="004D47E1"/>
    <w:rsid w:val="004D4986"/>
    <w:rsid w:val="004D4AB3"/>
    <w:rsid w:val="004D4BA6"/>
    <w:rsid w:val="004D506B"/>
    <w:rsid w:val="004D5B4C"/>
    <w:rsid w:val="004D5DED"/>
    <w:rsid w:val="004D622C"/>
    <w:rsid w:val="004D6DC5"/>
    <w:rsid w:val="004E0343"/>
    <w:rsid w:val="004E232D"/>
    <w:rsid w:val="004E3B08"/>
    <w:rsid w:val="004E3B66"/>
    <w:rsid w:val="004E3C0B"/>
    <w:rsid w:val="004E6ED4"/>
    <w:rsid w:val="004F054D"/>
    <w:rsid w:val="004F0662"/>
    <w:rsid w:val="004F097E"/>
    <w:rsid w:val="004F1B63"/>
    <w:rsid w:val="004F3B8A"/>
    <w:rsid w:val="004F46CF"/>
    <w:rsid w:val="004F47BC"/>
    <w:rsid w:val="004F52E9"/>
    <w:rsid w:val="004F56B6"/>
    <w:rsid w:val="004F593D"/>
    <w:rsid w:val="004F5DFE"/>
    <w:rsid w:val="004F6759"/>
    <w:rsid w:val="004F7A77"/>
    <w:rsid w:val="00501579"/>
    <w:rsid w:val="0050332E"/>
    <w:rsid w:val="005033F1"/>
    <w:rsid w:val="0050346A"/>
    <w:rsid w:val="00503BB6"/>
    <w:rsid w:val="00504898"/>
    <w:rsid w:val="0050740D"/>
    <w:rsid w:val="0051006C"/>
    <w:rsid w:val="00510480"/>
    <w:rsid w:val="005114CE"/>
    <w:rsid w:val="00513346"/>
    <w:rsid w:val="00513CC2"/>
    <w:rsid w:val="005145E2"/>
    <w:rsid w:val="00514612"/>
    <w:rsid w:val="005147F5"/>
    <w:rsid w:val="00515D2C"/>
    <w:rsid w:val="00517F1B"/>
    <w:rsid w:val="00520637"/>
    <w:rsid w:val="00521983"/>
    <w:rsid w:val="00521D71"/>
    <w:rsid w:val="00524115"/>
    <w:rsid w:val="005245AC"/>
    <w:rsid w:val="00524866"/>
    <w:rsid w:val="00524E59"/>
    <w:rsid w:val="005251CE"/>
    <w:rsid w:val="00525A95"/>
    <w:rsid w:val="00526686"/>
    <w:rsid w:val="00526979"/>
    <w:rsid w:val="00526A95"/>
    <w:rsid w:val="00527B2A"/>
    <w:rsid w:val="0053000D"/>
    <w:rsid w:val="0053067F"/>
    <w:rsid w:val="00530DF3"/>
    <w:rsid w:val="00531895"/>
    <w:rsid w:val="005319AF"/>
    <w:rsid w:val="005323AF"/>
    <w:rsid w:val="005323EA"/>
    <w:rsid w:val="0053293C"/>
    <w:rsid w:val="00533695"/>
    <w:rsid w:val="00533D7F"/>
    <w:rsid w:val="00534A90"/>
    <w:rsid w:val="005379A1"/>
    <w:rsid w:val="00540045"/>
    <w:rsid w:val="00540101"/>
    <w:rsid w:val="00542FB2"/>
    <w:rsid w:val="00543960"/>
    <w:rsid w:val="00543B22"/>
    <w:rsid w:val="00543B66"/>
    <w:rsid w:val="00544FFD"/>
    <w:rsid w:val="00545524"/>
    <w:rsid w:val="00547D75"/>
    <w:rsid w:val="00547F05"/>
    <w:rsid w:val="00550154"/>
    <w:rsid w:val="00550E2B"/>
    <w:rsid w:val="005519E4"/>
    <w:rsid w:val="005523DD"/>
    <w:rsid w:val="005559D7"/>
    <w:rsid w:val="00555B2A"/>
    <w:rsid w:val="00555F20"/>
    <w:rsid w:val="00556B18"/>
    <w:rsid w:val="00557870"/>
    <w:rsid w:val="00560701"/>
    <w:rsid w:val="00561146"/>
    <w:rsid w:val="00561527"/>
    <w:rsid w:val="0056271B"/>
    <w:rsid w:val="00562749"/>
    <w:rsid w:val="00562C49"/>
    <w:rsid w:val="00563975"/>
    <w:rsid w:val="0056475B"/>
    <w:rsid w:val="00564BD5"/>
    <w:rsid w:val="005650FA"/>
    <w:rsid w:val="0056585A"/>
    <w:rsid w:val="00565F63"/>
    <w:rsid w:val="00566F2D"/>
    <w:rsid w:val="00567BF7"/>
    <w:rsid w:val="005700B7"/>
    <w:rsid w:val="00570BE9"/>
    <w:rsid w:val="00571604"/>
    <w:rsid w:val="0057239F"/>
    <w:rsid w:val="005726AD"/>
    <w:rsid w:val="005727A8"/>
    <w:rsid w:val="00572BA7"/>
    <w:rsid w:val="00574213"/>
    <w:rsid w:val="0057547C"/>
    <w:rsid w:val="00575B51"/>
    <w:rsid w:val="00576EB4"/>
    <w:rsid w:val="0057763A"/>
    <w:rsid w:val="00577A6F"/>
    <w:rsid w:val="00577E2A"/>
    <w:rsid w:val="00580126"/>
    <w:rsid w:val="00581375"/>
    <w:rsid w:val="00581D06"/>
    <w:rsid w:val="00581F18"/>
    <w:rsid w:val="005832EA"/>
    <w:rsid w:val="00583804"/>
    <w:rsid w:val="005855D5"/>
    <w:rsid w:val="00586D77"/>
    <w:rsid w:val="0058722B"/>
    <w:rsid w:val="0059061E"/>
    <w:rsid w:val="0059067D"/>
    <w:rsid w:val="00591B15"/>
    <w:rsid w:val="00591B9E"/>
    <w:rsid w:val="00593032"/>
    <w:rsid w:val="00594160"/>
    <w:rsid w:val="00594A7E"/>
    <w:rsid w:val="005955BD"/>
    <w:rsid w:val="00595876"/>
    <w:rsid w:val="00596434"/>
    <w:rsid w:val="00597922"/>
    <w:rsid w:val="005A2C53"/>
    <w:rsid w:val="005A401F"/>
    <w:rsid w:val="005A478B"/>
    <w:rsid w:val="005A4C4A"/>
    <w:rsid w:val="005A4D71"/>
    <w:rsid w:val="005A5050"/>
    <w:rsid w:val="005A7BA2"/>
    <w:rsid w:val="005A7CEE"/>
    <w:rsid w:val="005B024D"/>
    <w:rsid w:val="005B03F7"/>
    <w:rsid w:val="005B0F2F"/>
    <w:rsid w:val="005B11C4"/>
    <w:rsid w:val="005B1473"/>
    <w:rsid w:val="005B1A36"/>
    <w:rsid w:val="005B1D45"/>
    <w:rsid w:val="005B29F9"/>
    <w:rsid w:val="005B4891"/>
    <w:rsid w:val="005B4FCA"/>
    <w:rsid w:val="005B5724"/>
    <w:rsid w:val="005B5942"/>
    <w:rsid w:val="005B69D6"/>
    <w:rsid w:val="005B6E00"/>
    <w:rsid w:val="005B759C"/>
    <w:rsid w:val="005B75D4"/>
    <w:rsid w:val="005C018C"/>
    <w:rsid w:val="005C06E9"/>
    <w:rsid w:val="005C0D05"/>
    <w:rsid w:val="005C34F1"/>
    <w:rsid w:val="005C365A"/>
    <w:rsid w:val="005C398B"/>
    <w:rsid w:val="005C4178"/>
    <w:rsid w:val="005C4778"/>
    <w:rsid w:val="005C47DA"/>
    <w:rsid w:val="005C6B09"/>
    <w:rsid w:val="005D006E"/>
    <w:rsid w:val="005D0CE2"/>
    <w:rsid w:val="005D1049"/>
    <w:rsid w:val="005D2592"/>
    <w:rsid w:val="005D2769"/>
    <w:rsid w:val="005D2876"/>
    <w:rsid w:val="005D4750"/>
    <w:rsid w:val="005D47EE"/>
    <w:rsid w:val="005D502B"/>
    <w:rsid w:val="005D55AA"/>
    <w:rsid w:val="005D5BD5"/>
    <w:rsid w:val="005E0F07"/>
    <w:rsid w:val="005E1351"/>
    <w:rsid w:val="005E16C0"/>
    <w:rsid w:val="005E1AB1"/>
    <w:rsid w:val="005E2389"/>
    <w:rsid w:val="005E250E"/>
    <w:rsid w:val="005E29AB"/>
    <w:rsid w:val="005E34B3"/>
    <w:rsid w:val="005E453D"/>
    <w:rsid w:val="005E4E52"/>
    <w:rsid w:val="005E515B"/>
    <w:rsid w:val="005E5247"/>
    <w:rsid w:val="005E52FF"/>
    <w:rsid w:val="005E537C"/>
    <w:rsid w:val="005E54AA"/>
    <w:rsid w:val="005E5AD2"/>
    <w:rsid w:val="005E5DE7"/>
    <w:rsid w:val="005E66A3"/>
    <w:rsid w:val="005E6760"/>
    <w:rsid w:val="005E6A94"/>
    <w:rsid w:val="005E6B65"/>
    <w:rsid w:val="005E6F85"/>
    <w:rsid w:val="005E7328"/>
    <w:rsid w:val="005F0B74"/>
    <w:rsid w:val="005F2211"/>
    <w:rsid w:val="005F282B"/>
    <w:rsid w:val="005F35DB"/>
    <w:rsid w:val="005F3E7A"/>
    <w:rsid w:val="005F46AB"/>
    <w:rsid w:val="005F4DAA"/>
    <w:rsid w:val="005F5119"/>
    <w:rsid w:val="005F567A"/>
    <w:rsid w:val="005F6B25"/>
    <w:rsid w:val="005F6FFC"/>
    <w:rsid w:val="005F78B6"/>
    <w:rsid w:val="0060023B"/>
    <w:rsid w:val="00601149"/>
    <w:rsid w:val="0060194F"/>
    <w:rsid w:val="0060214E"/>
    <w:rsid w:val="00603FC5"/>
    <w:rsid w:val="0060403F"/>
    <w:rsid w:val="00604A80"/>
    <w:rsid w:val="00604DCB"/>
    <w:rsid w:val="00604FCF"/>
    <w:rsid w:val="006053B4"/>
    <w:rsid w:val="00605D4E"/>
    <w:rsid w:val="00606D7A"/>
    <w:rsid w:val="006070CF"/>
    <w:rsid w:val="006075BA"/>
    <w:rsid w:val="00607623"/>
    <w:rsid w:val="00607B90"/>
    <w:rsid w:val="006103C2"/>
    <w:rsid w:val="00611520"/>
    <w:rsid w:val="006119C4"/>
    <w:rsid w:val="00612142"/>
    <w:rsid w:val="00612AB6"/>
    <w:rsid w:val="00614233"/>
    <w:rsid w:val="006142AC"/>
    <w:rsid w:val="00614822"/>
    <w:rsid w:val="00614F78"/>
    <w:rsid w:val="006153E3"/>
    <w:rsid w:val="0061578A"/>
    <w:rsid w:val="00615940"/>
    <w:rsid w:val="00615E11"/>
    <w:rsid w:val="00616366"/>
    <w:rsid w:val="00622F27"/>
    <w:rsid w:val="00623086"/>
    <w:rsid w:val="006234D8"/>
    <w:rsid w:val="0062384E"/>
    <w:rsid w:val="00623ADA"/>
    <w:rsid w:val="00623FCB"/>
    <w:rsid w:val="00625B9C"/>
    <w:rsid w:val="00627DCE"/>
    <w:rsid w:val="006308D9"/>
    <w:rsid w:val="00630BEB"/>
    <w:rsid w:val="00630CA5"/>
    <w:rsid w:val="00631951"/>
    <w:rsid w:val="0063244C"/>
    <w:rsid w:val="006347AF"/>
    <w:rsid w:val="00634B8E"/>
    <w:rsid w:val="00634B9B"/>
    <w:rsid w:val="006358F9"/>
    <w:rsid w:val="0063761A"/>
    <w:rsid w:val="006407A2"/>
    <w:rsid w:val="0064198B"/>
    <w:rsid w:val="00642B96"/>
    <w:rsid w:val="00644288"/>
    <w:rsid w:val="00644490"/>
    <w:rsid w:val="00644697"/>
    <w:rsid w:val="00645C76"/>
    <w:rsid w:val="00645F64"/>
    <w:rsid w:val="006464C6"/>
    <w:rsid w:val="00646C59"/>
    <w:rsid w:val="00651B62"/>
    <w:rsid w:val="00651E5D"/>
    <w:rsid w:val="0065204A"/>
    <w:rsid w:val="006526B2"/>
    <w:rsid w:val="00652C20"/>
    <w:rsid w:val="0065418C"/>
    <w:rsid w:val="006543C5"/>
    <w:rsid w:val="00654ACF"/>
    <w:rsid w:val="00656177"/>
    <w:rsid w:val="00656AD2"/>
    <w:rsid w:val="00657CC8"/>
    <w:rsid w:val="00657D17"/>
    <w:rsid w:val="00661C6C"/>
    <w:rsid w:val="0066287E"/>
    <w:rsid w:val="006641FB"/>
    <w:rsid w:val="00664755"/>
    <w:rsid w:val="0066647E"/>
    <w:rsid w:val="00667B2B"/>
    <w:rsid w:val="00667C51"/>
    <w:rsid w:val="00670BC8"/>
    <w:rsid w:val="006718DB"/>
    <w:rsid w:val="00671927"/>
    <w:rsid w:val="00671D6F"/>
    <w:rsid w:val="006721D2"/>
    <w:rsid w:val="0067230E"/>
    <w:rsid w:val="00672A7C"/>
    <w:rsid w:val="00673400"/>
    <w:rsid w:val="00674CDD"/>
    <w:rsid w:val="00675E73"/>
    <w:rsid w:val="00676AD7"/>
    <w:rsid w:val="0067705A"/>
    <w:rsid w:val="006816A1"/>
    <w:rsid w:val="006817C1"/>
    <w:rsid w:val="00682D98"/>
    <w:rsid w:val="00683009"/>
    <w:rsid w:val="00683600"/>
    <w:rsid w:val="00684D69"/>
    <w:rsid w:val="0068538E"/>
    <w:rsid w:val="006853B1"/>
    <w:rsid w:val="00686644"/>
    <w:rsid w:val="00687161"/>
    <w:rsid w:val="00687E05"/>
    <w:rsid w:val="006905EF"/>
    <w:rsid w:val="00691072"/>
    <w:rsid w:val="0069186E"/>
    <w:rsid w:val="006930E5"/>
    <w:rsid w:val="00693A26"/>
    <w:rsid w:val="0069447F"/>
    <w:rsid w:val="00694AF7"/>
    <w:rsid w:val="00694EA2"/>
    <w:rsid w:val="0069556F"/>
    <w:rsid w:val="0069580D"/>
    <w:rsid w:val="00695CAC"/>
    <w:rsid w:val="00696220"/>
    <w:rsid w:val="00696CE9"/>
    <w:rsid w:val="00696DB0"/>
    <w:rsid w:val="006972EC"/>
    <w:rsid w:val="00697319"/>
    <w:rsid w:val="0069799A"/>
    <w:rsid w:val="006A1D49"/>
    <w:rsid w:val="006A21DA"/>
    <w:rsid w:val="006A326A"/>
    <w:rsid w:val="006A355A"/>
    <w:rsid w:val="006A4813"/>
    <w:rsid w:val="006A4AB5"/>
    <w:rsid w:val="006A59B6"/>
    <w:rsid w:val="006A65A0"/>
    <w:rsid w:val="006A6C9B"/>
    <w:rsid w:val="006A7CBB"/>
    <w:rsid w:val="006B0F14"/>
    <w:rsid w:val="006B1747"/>
    <w:rsid w:val="006B1C8E"/>
    <w:rsid w:val="006B2735"/>
    <w:rsid w:val="006B4CC2"/>
    <w:rsid w:val="006B4DA0"/>
    <w:rsid w:val="006B5170"/>
    <w:rsid w:val="006B5240"/>
    <w:rsid w:val="006B5467"/>
    <w:rsid w:val="006B5F22"/>
    <w:rsid w:val="006B6846"/>
    <w:rsid w:val="006C09E0"/>
    <w:rsid w:val="006C104F"/>
    <w:rsid w:val="006C1D15"/>
    <w:rsid w:val="006C23F8"/>
    <w:rsid w:val="006C27BA"/>
    <w:rsid w:val="006C2D12"/>
    <w:rsid w:val="006C3882"/>
    <w:rsid w:val="006C3A23"/>
    <w:rsid w:val="006C4F10"/>
    <w:rsid w:val="006C4F6A"/>
    <w:rsid w:val="006C646C"/>
    <w:rsid w:val="006C66A9"/>
    <w:rsid w:val="006C6E39"/>
    <w:rsid w:val="006C733A"/>
    <w:rsid w:val="006C7752"/>
    <w:rsid w:val="006C7CF0"/>
    <w:rsid w:val="006D00C0"/>
    <w:rsid w:val="006D0640"/>
    <w:rsid w:val="006D117E"/>
    <w:rsid w:val="006D1B81"/>
    <w:rsid w:val="006D30A4"/>
    <w:rsid w:val="006D4DD7"/>
    <w:rsid w:val="006D687B"/>
    <w:rsid w:val="006D68B0"/>
    <w:rsid w:val="006D7818"/>
    <w:rsid w:val="006E07C1"/>
    <w:rsid w:val="006E0CA6"/>
    <w:rsid w:val="006E18A1"/>
    <w:rsid w:val="006E22B4"/>
    <w:rsid w:val="006E2671"/>
    <w:rsid w:val="006E3C4D"/>
    <w:rsid w:val="006E3EC6"/>
    <w:rsid w:val="006E56AC"/>
    <w:rsid w:val="006E60E4"/>
    <w:rsid w:val="006E617C"/>
    <w:rsid w:val="006E6741"/>
    <w:rsid w:val="006E6E73"/>
    <w:rsid w:val="006F1DA6"/>
    <w:rsid w:val="006F30B2"/>
    <w:rsid w:val="006F3FD0"/>
    <w:rsid w:val="006F43DC"/>
    <w:rsid w:val="006F4A65"/>
    <w:rsid w:val="006F6578"/>
    <w:rsid w:val="006F6BD9"/>
    <w:rsid w:val="00700964"/>
    <w:rsid w:val="00702ECA"/>
    <w:rsid w:val="007030BD"/>
    <w:rsid w:val="00703197"/>
    <w:rsid w:val="00703F79"/>
    <w:rsid w:val="007067E1"/>
    <w:rsid w:val="007073C6"/>
    <w:rsid w:val="00707DB8"/>
    <w:rsid w:val="0071136A"/>
    <w:rsid w:val="00714773"/>
    <w:rsid w:val="00714851"/>
    <w:rsid w:val="00716820"/>
    <w:rsid w:val="00716940"/>
    <w:rsid w:val="00716A14"/>
    <w:rsid w:val="00717318"/>
    <w:rsid w:val="00721B1C"/>
    <w:rsid w:val="007220AF"/>
    <w:rsid w:val="00723659"/>
    <w:rsid w:val="0072393B"/>
    <w:rsid w:val="00725333"/>
    <w:rsid w:val="007263BC"/>
    <w:rsid w:val="0072752D"/>
    <w:rsid w:val="00727B03"/>
    <w:rsid w:val="0073017C"/>
    <w:rsid w:val="0073047D"/>
    <w:rsid w:val="007308AB"/>
    <w:rsid w:val="00731050"/>
    <w:rsid w:val="00731309"/>
    <w:rsid w:val="007314E0"/>
    <w:rsid w:val="00731FAE"/>
    <w:rsid w:val="00732B58"/>
    <w:rsid w:val="007338A3"/>
    <w:rsid w:val="00734329"/>
    <w:rsid w:val="00735F0F"/>
    <w:rsid w:val="00735FB4"/>
    <w:rsid w:val="007360F3"/>
    <w:rsid w:val="00736A58"/>
    <w:rsid w:val="00740334"/>
    <w:rsid w:val="0074049A"/>
    <w:rsid w:val="007414D3"/>
    <w:rsid w:val="00741C1E"/>
    <w:rsid w:val="007421CA"/>
    <w:rsid w:val="00742A29"/>
    <w:rsid w:val="00742F2A"/>
    <w:rsid w:val="00744056"/>
    <w:rsid w:val="00745C98"/>
    <w:rsid w:val="00745E5C"/>
    <w:rsid w:val="00746843"/>
    <w:rsid w:val="00746A9C"/>
    <w:rsid w:val="00750003"/>
    <w:rsid w:val="007512F8"/>
    <w:rsid w:val="00751768"/>
    <w:rsid w:val="007524E3"/>
    <w:rsid w:val="007526A8"/>
    <w:rsid w:val="00752FD4"/>
    <w:rsid w:val="00753566"/>
    <w:rsid w:val="00753D49"/>
    <w:rsid w:val="00754016"/>
    <w:rsid w:val="007545F6"/>
    <w:rsid w:val="00754A06"/>
    <w:rsid w:val="00754C74"/>
    <w:rsid w:val="00755649"/>
    <w:rsid w:val="00755BAE"/>
    <w:rsid w:val="00755BFF"/>
    <w:rsid w:val="00756522"/>
    <w:rsid w:val="00756DE5"/>
    <w:rsid w:val="00760243"/>
    <w:rsid w:val="0076138C"/>
    <w:rsid w:val="00761808"/>
    <w:rsid w:val="00761EDA"/>
    <w:rsid w:val="0076276D"/>
    <w:rsid w:val="00762A37"/>
    <w:rsid w:val="00762AEA"/>
    <w:rsid w:val="0076406B"/>
    <w:rsid w:val="0076431E"/>
    <w:rsid w:val="0076532C"/>
    <w:rsid w:val="00765783"/>
    <w:rsid w:val="00765E86"/>
    <w:rsid w:val="0076614A"/>
    <w:rsid w:val="00766856"/>
    <w:rsid w:val="00766900"/>
    <w:rsid w:val="00766E62"/>
    <w:rsid w:val="0076721D"/>
    <w:rsid w:val="0077024E"/>
    <w:rsid w:val="00770361"/>
    <w:rsid w:val="007705E7"/>
    <w:rsid w:val="00770803"/>
    <w:rsid w:val="00771485"/>
    <w:rsid w:val="00771CC7"/>
    <w:rsid w:val="00772601"/>
    <w:rsid w:val="0077310E"/>
    <w:rsid w:val="00774FFD"/>
    <w:rsid w:val="007755FD"/>
    <w:rsid w:val="00776F67"/>
    <w:rsid w:val="007770A4"/>
    <w:rsid w:val="00777DBA"/>
    <w:rsid w:val="00780063"/>
    <w:rsid w:val="007812DE"/>
    <w:rsid w:val="00782533"/>
    <w:rsid w:val="00782A6A"/>
    <w:rsid w:val="00782D1D"/>
    <w:rsid w:val="00783671"/>
    <w:rsid w:val="0078380C"/>
    <w:rsid w:val="0078485D"/>
    <w:rsid w:val="0078632B"/>
    <w:rsid w:val="00786385"/>
    <w:rsid w:val="0078715A"/>
    <w:rsid w:val="007879B3"/>
    <w:rsid w:val="0079062C"/>
    <w:rsid w:val="007909CD"/>
    <w:rsid w:val="007910C1"/>
    <w:rsid w:val="007925BE"/>
    <w:rsid w:val="00792FDC"/>
    <w:rsid w:val="00795F2A"/>
    <w:rsid w:val="00796069"/>
    <w:rsid w:val="0079721B"/>
    <w:rsid w:val="0079767F"/>
    <w:rsid w:val="007A0EF4"/>
    <w:rsid w:val="007A11B0"/>
    <w:rsid w:val="007A15C7"/>
    <w:rsid w:val="007A2329"/>
    <w:rsid w:val="007A2CB0"/>
    <w:rsid w:val="007A3A1A"/>
    <w:rsid w:val="007A4228"/>
    <w:rsid w:val="007A462A"/>
    <w:rsid w:val="007A4B86"/>
    <w:rsid w:val="007A64D0"/>
    <w:rsid w:val="007A6F32"/>
    <w:rsid w:val="007A7802"/>
    <w:rsid w:val="007B0652"/>
    <w:rsid w:val="007B2343"/>
    <w:rsid w:val="007B31C3"/>
    <w:rsid w:val="007B31C7"/>
    <w:rsid w:val="007B370F"/>
    <w:rsid w:val="007B3791"/>
    <w:rsid w:val="007B3A96"/>
    <w:rsid w:val="007B3D1A"/>
    <w:rsid w:val="007B53CE"/>
    <w:rsid w:val="007B681C"/>
    <w:rsid w:val="007B6F82"/>
    <w:rsid w:val="007B7387"/>
    <w:rsid w:val="007C00D3"/>
    <w:rsid w:val="007C0423"/>
    <w:rsid w:val="007C0468"/>
    <w:rsid w:val="007C1B76"/>
    <w:rsid w:val="007C2343"/>
    <w:rsid w:val="007C2A5F"/>
    <w:rsid w:val="007C2C26"/>
    <w:rsid w:val="007C3618"/>
    <w:rsid w:val="007C6497"/>
    <w:rsid w:val="007C7D57"/>
    <w:rsid w:val="007D0538"/>
    <w:rsid w:val="007D0758"/>
    <w:rsid w:val="007D0CBE"/>
    <w:rsid w:val="007D1098"/>
    <w:rsid w:val="007D2007"/>
    <w:rsid w:val="007D2038"/>
    <w:rsid w:val="007D27DD"/>
    <w:rsid w:val="007D3F34"/>
    <w:rsid w:val="007D44A2"/>
    <w:rsid w:val="007D4DB6"/>
    <w:rsid w:val="007D5C48"/>
    <w:rsid w:val="007D6D59"/>
    <w:rsid w:val="007D77E6"/>
    <w:rsid w:val="007E08BB"/>
    <w:rsid w:val="007E0D98"/>
    <w:rsid w:val="007E1343"/>
    <w:rsid w:val="007E18DC"/>
    <w:rsid w:val="007E1A29"/>
    <w:rsid w:val="007E1BE2"/>
    <w:rsid w:val="007E2269"/>
    <w:rsid w:val="007E26FD"/>
    <w:rsid w:val="007E2B64"/>
    <w:rsid w:val="007E3A46"/>
    <w:rsid w:val="007E3D13"/>
    <w:rsid w:val="007E537C"/>
    <w:rsid w:val="007E5B00"/>
    <w:rsid w:val="007E5CA9"/>
    <w:rsid w:val="007E5EA5"/>
    <w:rsid w:val="007E5F78"/>
    <w:rsid w:val="007E6087"/>
    <w:rsid w:val="007E6931"/>
    <w:rsid w:val="007E6F8E"/>
    <w:rsid w:val="007E7266"/>
    <w:rsid w:val="007F033D"/>
    <w:rsid w:val="007F0AB6"/>
    <w:rsid w:val="007F1AD5"/>
    <w:rsid w:val="007F2641"/>
    <w:rsid w:val="007F417C"/>
    <w:rsid w:val="007F4A76"/>
    <w:rsid w:val="007F57D4"/>
    <w:rsid w:val="007F6284"/>
    <w:rsid w:val="007F6AAA"/>
    <w:rsid w:val="007F783E"/>
    <w:rsid w:val="007F7977"/>
    <w:rsid w:val="00800400"/>
    <w:rsid w:val="00800460"/>
    <w:rsid w:val="008010EB"/>
    <w:rsid w:val="00801741"/>
    <w:rsid w:val="00801FDE"/>
    <w:rsid w:val="0080231C"/>
    <w:rsid w:val="00802367"/>
    <w:rsid w:val="008035F6"/>
    <w:rsid w:val="0080399D"/>
    <w:rsid w:val="00804B55"/>
    <w:rsid w:val="00805233"/>
    <w:rsid w:val="00807D9A"/>
    <w:rsid w:val="00810821"/>
    <w:rsid w:val="00812937"/>
    <w:rsid w:val="00812EE1"/>
    <w:rsid w:val="008141DF"/>
    <w:rsid w:val="0081632D"/>
    <w:rsid w:val="008166D0"/>
    <w:rsid w:val="00816B54"/>
    <w:rsid w:val="00817699"/>
    <w:rsid w:val="00820468"/>
    <w:rsid w:val="0082105B"/>
    <w:rsid w:val="00822172"/>
    <w:rsid w:val="008222AD"/>
    <w:rsid w:val="00823271"/>
    <w:rsid w:val="0082371E"/>
    <w:rsid w:val="008237C3"/>
    <w:rsid w:val="00823A5C"/>
    <w:rsid w:val="00823A91"/>
    <w:rsid w:val="00823BD6"/>
    <w:rsid w:val="00824FA4"/>
    <w:rsid w:val="0082598F"/>
    <w:rsid w:val="00825D0C"/>
    <w:rsid w:val="00826DD9"/>
    <w:rsid w:val="00830442"/>
    <w:rsid w:val="00830B7D"/>
    <w:rsid w:val="00831963"/>
    <w:rsid w:val="00831C6D"/>
    <w:rsid w:val="00831D29"/>
    <w:rsid w:val="00832DB5"/>
    <w:rsid w:val="00835102"/>
    <w:rsid w:val="00835493"/>
    <w:rsid w:val="00836494"/>
    <w:rsid w:val="00836592"/>
    <w:rsid w:val="008376DB"/>
    <w:rsid w:val="008403CD"/>
    <w:rsid w:val="0084188D"/>
    <w:rsid w:val="00841BCF"/>
    <w:rsid w:val="00841DB6"/>
    <w:rsid w:val="008436FC"/>
    <w:rsid w:val="0084480D"/>
    <w:rsid w:val="00845F6B"/>
    <w:rsid w:val="008465DA"/>
    <w:rsid w:val="008471C7"/>
    <w:rsid w:val="008511DA"/>
    <w:rsid w:val="00851A44"/>
    <w:rsid w:val="00851C32"/>
    <w:rsid w:val="008521F1"/>
    <w:rsid w:val="00852661"/>
    <w:rsid w:val="008526F9"/>
    <w:rsid w:val="008538AE"/>
    <w:rsid w:val="00853BDA"/>
    <w:rsid w:val="00854166"/>
    <w:rsid w:val="00855128"/>
    <w:rsid w:val="008554EA"/>
    <w:rsid w:val="008560B5"/>
    <w:rsid w:val="0085660A"/>
    <w:rsid w:val="00857B53"/>
    <w:rsid w:val="00857D69"/>
    <w:rsid w:val="0086025E"/>
    <w:rsid w:val="008602BA"/>
    <w:rsid w:val="00861EF9"/>
    <w:rsid w:val="00862137"/>
    <w:rsid w:val="00862C69"/>
    <w:rsid w:val="008631F1"/>
    <w:rsid w:val="0086395F"/>
    <w:rsid w:val="00864495"/>
    <w:rsid w:val="0086471D"/>
    <w:rsid w:val="008648A7"/>
    <w:rsid w:val="0086497A"/>
    <w:rsid w:val="00864C1E"/>
    <w:rsid w:val="00864E48"/>
    <w:rsid w:val="00865550"/>
    <w:rsid w:val="008656B5"/>
    <w:rsid w:val="00865D24"/>
    <w:rsid w:val="0086664E"/>
    <w:rsid w:val="008678B9"/>
    <w:rsid w:val="008701D9"/>
    <w:rsid w:val="00870755"/>
    <w:rsid w:val="00870DB4"/>
    <w:rsid w:val="00871880"/>
    <w:rsid w:val="00871B67"/>
    <w:rsid w:val="00872A52"/>
    <w:rsid w:val="00872B65"/>
    <w:rsid w:val="0087334B"/>
    <w:rsid w:val="0087365B"/>
    <w:rsid w:val="00873B51"/>
    <w:rsid w:val="00874D29"/>
    <w:rsid w:val="00875C09"/>
    <w:rsid w:val="00876703"/>
    <w:rsid w:val="0087749E"/>
    <w:rsid w:val="00881737"/>
    <w:rsid w:val="0088280C"/>
    <w:rsid w:val="00882A27"/>
    <w:rsid w:val="00882BC3"/>
    <w:rsid w:val="008858DD"/>
    <w:rsid w:val="00886EA2"/>
    <w:rsid w:val="008873F4"/>
    <w:rsid w:val="0088762E"/>
    <w:rsid w:val="00887750"/>
    <w:rsid w:val="008878E0"/>
    <w:rsid w:val="00890E6B"/>
    <w:rsid w:val="00891373"/>
    <w:rsid w:val="008914E2"/>
    <w:rsid w:val="008933BB"/>
    <w:rsid w:val="00893F18"/>
    <w:rsid w:val="00894472"/>
    <w:rsid w:val="00894F1D"/>
    <w:rsid w:val="0089542A"/>
    <w:rsid w:val="00895645"/>
    <w:rsid w:val="00896619"/>
    <w:rsid w:val="0089705D"/>
    <w:rsid w:val="0089725B"/>
    <w:rsid w:val="00897589"/>
    <w:rsid w:val="00897955"/>
    <w:rsid w:val="00897FFD"/>
    <w:rsid w:val="008A0464"/>
    <w:rsid w:val="008A04A5"/>
    <w:rsid w:val="008A08FE"/>
    <w:rsid w:val="008A091C"/>
    <w:rsid w:val="008A1673"/>
    <w:rsid w:val="008A2029"/>
    <w:rsid w:val="008A30E4"/>
    <w:rsid w:val="008A3CD0"/>
    <w:rsid w:val="008A3EF0"/>
    <w:rsid w:val="008A42B1"/>
    <w:rsid w:val="008A4E94"/>
    <w:rsid w:val="008A5EBB"/>
    <w:rsid w:val="008B12DB"/>
    <w:rsid w:val="008B5DDA"/>
    <w:rsid w:val="008B6930"/>
    <w:rsid w:val="008B7715"/>
    <w:rsid w:val="008C0D09"/>
    <w:rsid w:val="008C0D91"/>
    <w:rsid w:val="008C15E2"/>
    <w:rsid w:val="008C176B"/>
    <w:rsid w:val="008C1B40"/>
    <w:rsid w:val="008C1F90"/>
    <w:rsid w:val="008C2171"/>
    <w:rsid w:val="008C247D"/>
    <w:rsid w:val="008C2DB3"/>
    <w:rsid w:val="008C565B"/>
    <w:rsid w:val="008C5CDF"/>
    <w:rsid w:val="008C6E47"/>
    <w:rsid w:val="008D1A24"/>
    <w:rsid w:val="008D24B6"/>
    <w:rsid w:val="008D276B"/>
    <w:rsid w:val="008D2949"/>
    <w:rsid w:val="008D3628"/>
    <w:rsid w:val="008D367F"/>
    <w:rsid w:val="008D3CB8"/>
    <w:rsid w:val="008D3D55"/>
    <w:rsid w:val="008D4541"/>
    <w:rsid w:val="008D4B25"/>
    <w:rsid w:val="008D4FC2"/>
    <w:rsid w:val="008D5A9D"/>
    <w:rsid w:val="008D5AB8"/>
    <w:rsid w:val="008D5D8E"/>
    <w:rsid w:val="008D6258"/>
    <w:rsid w:val="008D63C8"/>
    <w:rsid w:val="008D68E4"/>
    <w:rsid w:val="008D6EFF"/>
    <w:rsid w:val="008E0947"/>
    <w:rsid w:val="008E0DE0"/>
    <w:rsid w:val="008E12DB"/>
    <w:rsid w:val="008E22E3"/>
    <w:rsid w:val="008E2AD5"/>
    <w:rsid w:val="008E312E"/>
    <w:rsid w:val="008E31E6"/>
    <w:rsid w:val="008E40FF"/>
    <w:rsid w:val="008E4B7C"/>
    <w:rsid w:val="008E5F65"/>
    <w:rsid w:val="008E61D9"/>
    <w:rsid w:val="008E6769"/>
    <w:rsid w:val="008E7369"/>
    <w:rsid w:val="008E7ECE"/>
    <w:rsid w:val="008E7F7B"/>
    <w:rsid w:val="008F1D7D"/>
    <w:rsid w:val="008F282E"/>
    <w:rsid w:val="008F3942"/>
    <w:rsid w:val="008F3D56"/>
    <w:rsid w:val="008F4EFB"/>
    <w:rsid w:val="008F5659"/>
    <w:rsid w:val="008F5ED3"/>
    <w:rsid w:val="008F65A1"/>
    <w:rsid w:val="009023B7"/>
    <w:rsid w:val="00902CCE"/>
    <w:rsid w:val="00903643"/>
    <w:rsid w:val="00904440"/>
    <w:rsid w:val="009050BB"/>
    <w:rsid w:val="009052E3"/>
    <w:rsid w:val="00905794"/>
    <w:rsid w:val="00905C52"/>
    <w:rsid w:val="00905FC7"/>
    <w:rsid w:val="00906BEF"/>
    <w:rsid w:val="009073EF"/>
    <w:rsid w:val="00911668"/>
    <w:rsid w:val="00912562"/>
    <w:rsid w:val="00912B22"/>
    <w:rsid w:val="00913ABB"/>
    <w:rsid w:val="0091426C"/>
    <w:rsid w:val="0091449F"/>
    <w:rsid w:val="00914938"/>
    <w:rsid w:val="009149BB"/>
    <w:rsid w:val="00914A85"/>
    <w:rsid w:val="00915A6C"/>
    <w:rsid w:val="009173C6"/>
    <w:rsid w:val="009221C3"/>
    <w:rsid w:val="00922687"/>
    <w:rsid w:val="00922BF2"/>
    <w:rsid w:val="00923224"/>
    <w:rsid w:val="00925407"/>
    <w:rsid w:val="0092605D"/>
    <w:rsid w:val="00927E5A"/>
    <w:rsid w:val="0093028D"/>
    <w:rsid w:val="0093075E"/>
    <w:rsid w:val="00930F32"/>
    <w:rsid w:val="00932840"/>
    <w:rsid w:val="0093392B"/>
    <w:rsid w:val="00934289"/>
    <w:rsid w:val="00934790"/>
    <w:rsid w:val="0093495D"/>
    <w:rsid w:val="009354C8"/>
    <w:rsid w:val="009357E2"/>
    <w:rsid w:val="00935983"/>
    <w:rsid w:val="00935A52"/>
    <w:rsid w:val="00935BEB"/>
    <w:rsid w:val="009366E8"/>
    <w:rsid w:val="009407FE"/>
    <w:rsid w:val="00940B11"/>
    <w:rsid w:val="009410FF"/>
    <w:rsid w:val="0094119F"/>
    <w:rsid w:val="00941B28"/>
    <w:rsid w:val="00942BC0"/>
    <w:rsid w:val="00942F85"/>
    <w:rsid w:val="00944771"/>
    <w:rsid w:val="00944939"/>
    <w:rsid w:val="00946238"/>
    <w:rsid w:val="009466A2"/>
    <w:rsid w:val="00946AA3"/>
    <w:rsid w:val="00947CE5"/>
    <w:rsid w:val="00950146"/>
    <w:rsid w:val="009504F4"/>
    <w:rsid w:val="00950DA6"/>
    <w:rsid w:val="0095196A"/>
    <w:rsid w:val="009523B6"/>
    <w:rsid w:val="00952959"/>
    <w:rsid w:val="00952C87"/>
    <w:rsid w:val="00953359"/>
    <w:rsid w:val="00953795"/>
    <w:rsid w:val="00953869"/>
    <w:rsid w:val="009539F1"/>
    <w:rsid w:val="00953D15"/>
    <w:rsid w:val="009540CC"/>
    <w:rsid w:val="00954544"/>
    <w:rsid w:val="00955338"/>
    <w:rsid w:val="00957341"/>
    <w:rsid w:val="00957B4E"/>
    <w:rsid w:val="00960697"/>
    <w:rsid w:val="00960DCE"/>
    <w:rsid w:val="00961ABA"/>
    <w:rsid w:val="00962969"/>
    <w:rsid w:val="00963BBE"/>
    <w:rsid w:val="00963C1C"/>
    <w:rsid w:val="00964588"/>
    <w:rsid w:val="009672AB"/>
    <w:rsid w:val="0097016A"/>
    <w:rsid w:val="009701D2"/>
    <w:rsid w:val="009714DC"/>
    <w:rsid w:val="00971E2D"/>
    <w:rsid w:val="00971F34"/>
    <w:rsid w:val="00972AB1"/>
    <w:rsid w:val="00972B7E"/>
    <w:rsid w:val="00972EEF"/>
    <w:rsid w:val="0097367E"/>
    <w:rsid w:val="00973788"/>
    <w:rsid w:val="00973EE5"/>
    <w:rsid w:val="009748B2"/>
    <w:rsid w:val="009748F1"/>
    <w:rsid w:val="009753EE"/>
    <w:rsid w:val="009761AC"/>
    <w:rsid w:val="009764E5"/>
    <w:rsid w:val="00976E61"/>
    <w:rsid w:val="0098202A"/>
    <w:rsid w:val="00984790"/>
    <w:rsid w:val="00984A93"/>
    <w:rsid w:val="00985022"/>
    <w:rsid w:val="00985BB4"/>
    <w:rsid w:val="0098616E"/>
    <w:rsid w:val="00986217"/>
    <w:rsid w:val="00986560"/>
    <w:rsid w:val="00987A1A"/>
    <w:rsid w:val="00987CE8"/>
    <w:rsid w:val="009905EE"/>
    <w:rsid w:val="009908C0"/>
    <w:rsid w:val="00991741"/>
    <w:rsid w:val="009925D4"/>
    <w:rsid w:val="0099269E"/>
    <w:rsid w:val="00995C74"/>
    <w:rsid w:val="00995C81"/>
    <w:rsid w:val="009972A2"/>
    <w:rsid w:val="009A0AAC"/>
    <w:rsid w:val="009A0BBF"/>
    <w:rsid w:val="009A2F2F"/>
    <w:rsid w:val="009A3576"/>
    <w:rsid w:val="009A4170"/>
    <w:rsid w:val="009A5056"/>
    <w:rsid w:val="009A5435"/>
    <w:rsid w:val="009A6846"/>
    <w:rsid w:val="009A7D75"/>
    <w:rsid w:val="009B0647"/>
    <w:rsid w:val="009B0D1C"/>
    <w:rsid w:val="009B107C"/>
    <w:rsid w:val="009B16DA"/>
    <w:rsid w:val="009B2D54"/>
    <w:rsid w:val="009B4387"/>
    <w:rsid w:val="009B4E45"/>
    <w:rsid w:val="009B6178"/>
    <w:rsid w:val="009B69A4"/>
    <w:rsid w:val="009B6EA5"/>
    <w:rsid w:val="009B73DB"/>
    <w:rsid w:val="009B77BC"/>
    <w:rsid w:val="009C011A"/>
    <w:rsid w:val="009C05E6"/>
    <w:rsid w:val="009C0722"/>
    <w:rsid w:val="009C166C"/>
    <w:rsid w:val="009C1A49"/>
    <w:rsid w:val="009C2284"/>
    <w:rsid w:val="009C485F"/>
    <w:rsid w:val="009C526A"/>
    <w:rsid w:val="009C5978"/>
    <w:rsid w:val="009C672B"/>
    <w:rsid w:val="009C68D5"/>
    <w:rsid w:val="009C6C22"/>
    <w:rsid w:val="009C7475"/>
    <w:rsid w:val="009D0BFC"/>
    <w:rsid w:val="009D204D"/>
    <w:rsid w:val="009D2192"/>
    <w:rsid w:val="009D2266"/>
    <w:rsid w:val="009D24A8"/>
    <w:rsid w:val="009D2F79"/>
    <w:rsid w:val="009D3337"/>
    <w:rsid w:val="009D3456"/>
    <w:rsid w:val="009D3E47"/>
    <w:rsid w:val="009D47FE"/>
    <w:rsid w:val="009D5025"/>
    <w:rsid w:val="009D50C7"/>
    <w:rsid w:val="009E0C1C"/>
    <w:rsid w:val="009E0CD4"/>
    <w:rsid w:val="009E1598"/>
    <w:rsid w:val="009E1D5C"/>
    <w:rsid w:val="009E2B75"/>
    <w:rsid w:val="009E483B"/>
    <w:rsid w:val="009E4C8B"/>
    <w:rsid w:val="009E4FB3"/>
    <w:rsid w:val="009E5477"/>
    <w:rsid w:val="009E71DA"/>
    <w:rsid w:val="009F043C"/>
    <w:rsid w:val="009F1A73"/>
    <w:rsid w:val="009F1CD6"/>
    <w:rsid w:val="009F2594"/>
    <w:rsid w:val="009F64CD"/>
    <w:rsid w:val="009F6BA7"/>
    <w:rsid w:val="009F7610"/>
    <w:rsid w:val="009F7C12"/>
    <w:rsid w:val="009F7EA1"/>
    <w:rsid w:val="00A003E4"/>
    <w:rsid w:val="00A01135"/>
    <w:rsid w:val="00A017FF"/>
    <w:rsid w:val="00A02160"/>
    <w:rsid w:val="00A03D51"/>
    <w:rsid w:val="00A03FF0"/>
    <w:rsid w:val="00A04DA9"/>
    <w:rsid w:val="00A04F00"/>
    <w:rsid w:val="00A05098"/>
    <w:rsid w:val="00A06099"/>
    <w:rsid w:val="00A0702A"/>
    <w:rsid w:val="00A07A73"/>
    <w:rsid w:val="00A10045"/>
    <w:rsid w:val="00A10A9F"/>
    <w:rsid w:val="00A10F55"/>
    <w:rsid w:val="00A113CF"/>
    <w:rsid w:val="00A1251F"/>
    <w:rsid w:val="00A1302C"/>
    <w:rsid w:val="00A14153"/>
    <w:rsid w:val="00A146F2"/>
    <w:rsid w:val="00A1598A"/>
    <w:rsid w:val="00A15DD8"/>
    <w:rsid w:val="00A15F00"/>
    <w:rsid w:val="00A16DD1"/>
    <w:rsid w:val="00A1703F"/>
    <w:rsid w:val="00A20420"/>
    <w:rsid w:val="00A20FA5"/>
    <w:rsid w:val="00A21C26"/>
    <w:rsid w:val="00A21D3D"/>
    <w:rsid w:val="00A23429"/>
    <w:rsid w:val="00A23A7A"/>
    <w:rsid w:val="00A24500"/>
    <w:rsid w:val="00A24A4B"/>
    <w:rsid w:val="00A26A76"/>
    <w:rsid w:val="00A27127"/>
    <w:rsid w:val="00A275AD"/>
    <w:rsid w:val="00A276B5"/>
    <w:rsid w:val="00A30FF9"/>
    <w:rsid w:val="00A31E40"/>
    <w:rsid w:val="00A32ABE"/>
    <w:rsid w:val="00A33291"/>
    <w:rsid w:val="00A33845"/>
    <w:rsid w:val="00A3390C"/>
    <w:rsid w:val="00A34744"/>
    <w:rsid w:val="00A348F0"/>
    <w:rsid w:val="00A35AB4"/>
    <w:rsid w:val="00A36EC1"/>
    <w:rsid w:val="00A4191E"/>
    <w:rsid w:val="00A41B30"/>
    <w:rsid w:val="00A41D8C"/>
    <w:rsid w:val="00A4250A"/>
    <w:rsid w:val="00A42990"/>
    <w:rsid w:val="00A43940"/>
    <w:rsid w:val="00A44308"/>
    <w:rsid w:val="00A44DC5"/>
    <w:rsid w:val="00A4611D"/>
    <w:rsid w:val="00A46D81"/>
    <w:rsid w:val="00A472FD"/>
    <w:rsid w:val="00A47B68"/>
    <w:rsid w:val="00A5114B"/>
    <w:rsid w:val="00A51905"/>
    <w:rsid w:val="00A51FBC"/>
    <w:rsid w:val="00A52C85"/>
    <w:rsid w:val="00A54879"/>
    <w:rsid w:val="00A55120"/>
    <w:rsid w:val="00A55B93"/>
    <w:rsid w:val="00A5745F"/>
    <w:rsid w:val="00A57771"/>
    <w:rsid w:val="00A57BEA"/>
    <w:rsid w:val="00A57E1E"/>
    <w:rsid w:val="00A602F3"/>
    <w:rsid w:val="00A60600"/>
    <w:rsid w:val="00A60C01"/>
    <w:rsid w:val="00A613D3"/>
    <w:rsid w:val="00A61BC6"/>
    <w:rsid w:val="00A638D0"/>
    <w:rsid w:val="00A63BCA"/>
    <w:rsid w:val="00A63DBC"/>
    <w:rsid w:val="00A63F33"/>
    <w:rsid w:val="00A65995"/>
    <w:rsid w:val="00A65AA2"/>
    <w:rsid w:val="00A6602D"/>
    <w:rsid w:val="00A66163"/>
    <w:rsid w:val="00A66723"/>
    <w:rsid w:val="00A67551"/>
    <w:rsid w:val="00A67BD8"/>
    <w:rsid w:val="00A70777"/>
    <w:rsid w:val="00A708FD"/>
    <w:rsid w:val="00A70EB2"/>
    <w:rsid w:val="00A70F19"/>
    <w:rsid w:val="00A713B4"/>
    <w:rsid w:val="00A7179D"/>
    <w:rsid w:val="00A71CD1"/>
    <w:rsid w:val="00A72769"/>
    <w:rsid w:val="00A727E7"/>
    <w:rsid w:val="00A7359E"/>
    <w:rsid w:val="00A75D49"/>
    <w:rsid w:val="00A76681"/>
    <w:rsid w:val="00A76A17"/>
    <w:rsid w:val="00A76A47"/>
    <w:rsid w:val="00A77E0E"/>
    <w:rsid w:val="00A81697"/>
    <w:rsid w:val="00A81CA4"/>
    <w:rsid w:val="00A832D1"/>
    <w:rsid w:val="00A841DE"/>
    <w:rsid w:val="00A84AA9"/>
    <w:rsid w:val="00A8510C"/>
    <w:rsid w:val="00A85994"/>
    <w:rsid w:val="00A8599C"/>
    <w:rsid w:val="00A85C60"/>
    <w:rsid w:val="00A86487"/>
    <w:rsid w:val="00A87887"/>
    <w:rsid w:val="00A87D28"/>
    <w:rsid w:val="00A918E2"/>
    <w:rsid w:val="00A92328"/>
    <w:rsid w:val="00A92DAD"/>
    <w:rsid w:val="00A935A0"/>
    <w:rsid w:val="00A94437"/>
    <w:rsid w:val="00A95341"/>
    <w:rsid w:val="00A96A30"/>
    <w:rsid w:val="00A97ADC"/>
    <w:rsid w:val="00A97F30"/>
    <w:rsid w:val="00AA0465"/>
    <w:rsid w:val="00AA0783"/>
    <w:rsid w:val="00AA0E4F"/>
    <w:rsid w:val="00AA228D"/>
    <w:rsid w:val="00AA22F1"/>
    <w:rsid w:val="00AA280F"/>
    <w:rsid w:val="00AA2AFC"/>
    <w:rsid w:val="00AA360D"/>
    <w:rsid w:val="00AA378F"/>
    <w:rsid w:val="00AA5A45"/>
    <w:rsid w:val="00AA6050"/>
    <w:rsid w:val="00AA6164"/>
    <w:rsid w:val="00AA69CD"/>
    <w:rsid w:val="00AA6F7A"/>
    <w:rsid w:val="00AA720C"/>
    <w:rsid w:val="00AA7476"/>
    <w:rsid w:val="00AA7A4A"/>
    <w:rsid w:val="00AA7ABF"/>
    <w:rsid w:val="00AA7FAE"/>
    <w:rsid w:val="00AB1A25"/>
    <w:rsid w:val="00AB1A2F"/>
    <w:rsid w:val="00AB1DD2"/>
    <w:rsid w:val="00AB2163"/>
    <w:rsid w:val="00AB2410"/>
    <w:rsid w:val="00AB4170"/>
    <w:rsid w:val="00AB421F"/>
    <w:rsid w:val="00AB4C1D"/>
    <w:rsid w:val="00AB50B0"/>
    <w:rsid w:val="00AB5426"/>
    <w:rsid w:val="00AB5C1B"/>
    <w:rsid w:val="00AB6608"/>
    <w:rsid w:val="00AC0202"/>
    <w:rsid w:val="00AC0E98"/>
    <w:rsid w:val="00AC11D4"/>
    <w:rsid w:val="00AC163A"/>
    <w:rsid w:val="00AC3457"/>
    <w:rsid w:val="00AC38DE"/>
    <w:rsid w:val="00AC42C1"/>
    <w:rsid w:val="00AC42F0"/>
    <w:rsid w:val="00AC4B58"/>
    <w:rsid w:val="00AD1B48"/>
    <w:rsid w:val="00AD4357"/>
    <w:rsid w:val="00AD459B"/>
    <w:rsid w:val="00AD4E10"/>
    <w:rsid w:val="00AD58DF"/>
    <w:rsid w:val="00AD5D3F"/>
    <w:rsid w:val="00AD6639"/>
    <w:rsid w:val="00AD6E26"/>
    <w:rsid w:val="00AD7E13"/>
    <w:rsid w:val="00AE099D"/>
    <w:rsid w:val="00AE1A70"/>
    <w:rsid w:val="00AE1CB5"/>
    <w:rsid w:val="00AE1E1C"/>
    <w:rsid w:val="00AE1F89"/>
    <w:rsid w:val="00AE2245"/>
    <w:rsid w:val="00AE3840"/>
    <w:rsid w:val="00AE4905"/>
    <w:rsid w:val="00AE4A1F"/>
    <w:rsid w:val="00AE4D65"/>
    <w:rsid w:val="00AE509F"/>
    <w:rsid w:val="00AE5AA2"/>
    <w:rsid w:val="00AE5F45"/>
    <w:rsid w:val="00AE6442"/>
    <w:rsid w:val="00AE74D0"/>
    <w:rsid w:val="00AE7C8F"/>
    <w:rsid w:val="00AE7D5E"/>
    <w:rsid w:val="00AF07F8"/>
    <w:rsid w:val="00AF2193"/>
    <w:rsid w:val="00AF21CA"/>
    <w:rsid w:val="00AF420F"/>
    <w:rsid w:val="00AF545F"/>
    <w:rsid w:val="00AF5533"/>
    <w:rsid w:val="00AF5C9B"/>
    <w:rsid w:val="00AF62DB"/>
    <w:rsid w:val="00AF6973"/>
    <w:rsid w:val="00AF72AD"/>
    <w:rsid w:val="00B0193B"/>
    <w:rsid w:val="00B02EFC"/>
    <w:rsid w:val="00B03C10"/>
    <w:rsid w:val="00B046F6"/>
    <w:rsid w:val="00B0518A"/>
    <w:rsid w:val="00B054EF"/>
    <w:rsid w:val="00B078DB"/>
    <w:rsid w:val="00B07FB6"/>
    <w:rsid w:val="00B1016B"/>
    <w:rsid w:val="00B10764"/>
    <w:rsid w:val="00B10E39"/>
    <w:rsid w:val="00B11528"/>
    <w:rsid w:val="00B125A0"/>
    <w:rsid w:val="00B129AF"/>
    <w:rsid w:val="00B12A8A"/>
    <w:rsid w:val="00B140B1"/>
    <w:rsid w:val="00B157EE"/>
    <w:rsid w:val="00B1624E"/>
    <w:rsid w:val="00B17835"/>
    <w:rsid w:val="00B2082B"/>
    <w:rsid w:val="00B20F48"/>
    <w:rsid w:val="00B21614"/>
    <w:rsid w:val="00B21652"/>
    <w:rsid w:val="00B223B7"/>
    <w:rsid w:val="00B22742"/>
    <w:rsid w:val="00B23103"/>
    <w:rsid w:val="00B23BA2"/>
    <w:rsid w:val="00B24037"/>
    <w:rsid w:val="00B248EC"/>
    <w:rsid w:val="00B2496F"/>
    <w:rsid w:val="00B30243"/>
    <w:rsid w:val="00B31F0D"/>
    <w:rsid w:val="00B3246A"/>
    <w:rsid w:val="00B32E04"/>
    <w:rsid w:val="00B347A7"/>
    <w:rsid w:val="00B34BF9"/>
    <w:rsid w:val="00B34DD9"/>
    <w:rsid w:val="00B35C21"/>
    <w:rsid w:val="00B378A3"/>
    <w:rsid w:val="00B40589"/>
    <w:rsid w:val="00B40655"/>
    <w:rsid w:val="00B40BC3"/>
    <w:rsid w:val="00B40C55"/>
    <w:rsid w:val="00B41D35"/>
    <w:rsid w:val="00B41E7A"/>
    <w:rsid w:val="00B448D0"/>
    <w:rsid w:val="00B45526"/>
    <w:rsid w:val="00B45C3D"/>
    <w:rsid w:val="00B45FD4"/>
    <w:rsid w:val="00B471D9"/>
    <w:rsid w:val="00B476AB"/>
    <w:rsid w:val="00B516F6"/>
    <w:rsid w:val="00B52241"/>
    <w:rsid w:val="00B5412D"/>
    <w:rsid w:val="00B552FB"/>
    <w:rsid w:val="00B55325"/>
    <w:rsid w:val="00B55E19"/>
    <w:rsid w:val="00B5642F"/>
    <w:rsid w:val="00B571A9"/>
    <w:rsid w:val="00B571F0"/>
    <w:rsid w:val="00B57830"/>
    <w:rsid w:val="00B578E4"/>
    <w:rsid w:val="00B61304"/>
    <w:rsid w:val="00B62C1C"/>
    <w:rsid w:val="00B62CC4"/>
    <w:rsid w:val="00B63674"/>
    <w:rsid w:val="00B65FBB"/>
    <w:rsid w:val="00B67869"/>
    <w:rsid w:val="00B705D9"/>
    <w:rsid w:val="00B7061F"/>
    <w:rsid w:val="00B70F9B"/>
    <w:rsid w:val="00B721A0"/>
    <w:rsid w:val="00B726DD"/>
    <w:rsid w:val="00B72733"/>
    <w:rsid w:val="00B72EBD"/>
    <w:rsid w:val="00B7369C"/>
    <w:rsid w:val="00B7421C"/>
    <w:rsid w:val="00B747EF"/>
    <w:rsid w:val="00B74925"/>
    <w:rsid w:val="00B75882"/>
    <w:rsid w:val="00B758B7"/>
    <w:rsid w:val="00B7614B"/>
    <w:rsid w:val="00B76235"/>
    <w:rsid w:val="00B801C3"/>
    <w:rsid w:val="00B803EC"/>
    <w:rsid w:val="00B80C01"/>
    <w:rsid w:val="00B80CA8"/>
    <w:rsid w:val="00B82C77"/>
    <w:rsid w:val="00B834DA"/>
    <w:rsid w:val="00B84054"/>
    <w:rsid w:val="00B84119"/>
    <w:rsid w:val="00B846FB"/>
    <w:rsid w:val="00B84730"/>
    <w:rsid w:val="00B85096"/>
    <w:rsid w:val="00B85495"/>
    <w:rsid w:val="00B85A8C"/>
    <w:rsid w:val="00B86735"/>
    <w:rsid w:val="00B86CBE"/>
    <w:rsid w:val="00B86E50"/>
    <w:rsid w:val="00B877C8"/>
    <w:rsid w:val="00B900D2"/>
    <w:rsid w:val="00B91EB9"/>
    <w:rsid w:val="00B92ACC"/>
    <w:rsid w:val="00B92DB5"/>
    <w:rsid w:val="00B92FFA"/>
    <w:rsid w:val="00B936C0"/>
    <w:rsid w:val="00B942C8"/>
    <w:rsid w:val="00B945B3"/>
    <w:rsid w:val="00B95368"/>
    <w:rsid w:val="00B9592A"/>
    <w:rsid w:val="00B95DC0"/>
    <w:rsid w:val="00B97110"/>
    <w:rsid w:val="00B97362"/>
    <w:rsid w:val="00B973F6"/>
    <w:rsid w:val="00B97BCF"/>
    <w:rsid w:val="00BA2645"/>
    <w:rsid w:val="00BA31CD"/>
    <w:rsid w:val="00BA4071"/>
    <w:rsid w:val="00BA4235"/>
    <w:rsid w:val="00BA43D4"/>
    <w:rsid w:val="00BA5861"/>
    <w:rsid w:val="00BA6317"/>
    <w:rsid w:val="00BA6372"/>
    <w:rsid w:val="00BA6B5B"/>
    <w:rsid w:val="00BA737A"/>
    <w:rsid w:val="00BA7381"/>
    <w:rsid w:val="00BB0776"/>
    <w:rsid w:val="00BB0D0F"/>
    <w:rsid w:val="00BB0FB7"/>
    <w:rsid w:val="00BB2798"/>
    <w:rsid w:val="00BB2CBE"/>
    <w:rsid w:val="00BB41FB"/>
    <w:rsid w:val="00BB518B"/>
    <w:rsid w:val="00BB6910"/>
    <w:rsid w:val="00BB7DF1"/>
    <w:rsid w:val="00BC049E"/>
    <w:rsid w:val="00BC14A3"/>
    <w:rsid w:val="00BC2E96"/>
    <w:rsid w:val="00BC3447"/>
    <w:rsid w:val="00BC391B"/>
    <w:rsid w:val="00BC47FD"/>
    <w:rsid w:val="00BC4B23"/>
    <w:rsid w:val="00BC5DA6"/>
    <w:rsid w:val="00BC5F4D"/>
    <w:rsid w:val="00BC70C3"/>
    <w:rsid w:val="00BC7FC3"/>
    <w:rsid w:val="00BD0A86"/>
    <w:rsid w:val="00BD1125"/>
    <w:rsid w:val="00BD115C"/>
    <w:rsid w:val="00BD14F1"/>
    <w:rsid w:val="00BD211A"/>
    <w:rsid w:val="00BD21A0"/>
    <w:rsid w:val="00BD2A99"/>
    <w:rsid w:val="00BD2BD9"/>
    <w:rsid w:val="00BD331D"/>
    <w:rsid w:val="00BD350E"/>
    <w:rsid w:val="00BD403A"/>
    <w:rsid w:val="00BD4481"/>
    <w:rsid w:val="00BD4D09"/>
    <w:rsid w:val="00BD4D45"/>
    <w:rsid w:val="00BD528E"/>
    <w:rsid w:val="00BD5A10"/>
    <w:rsid w:val="00BD5B91"/>
    <w:rsid w:val="00BD5CE6"/>
    <w:rsid w:val="00BD6408"/>
    <w:rsid w:val="00BD65B3"/>
    <w:rsid w:val="00BD6711"/>
    <w:rsid w:val="00BD7792"/>
    <w:rsid w:val="00BE02E2"/>
    <w:rsid w:val="00BE0E43"/>
    <w:rsid w:val="00BE0F6F"/>
    <w:rsid w:val="00BE17C2"/>
    <w:rsid w:val="00BE182F"/>
    <w:rsid w:val="00BE1D31"/>
    <w:rsid w:val="00BE25F1"/>
    <w:rsid w:val="00BE5B80"/>
    <w:rsid w:val="00BE5D85"/>
    <w:rsid w:val="00BE61F8"/>
    <w:rsid w:val="00BE6297"/>
    <w:rsid w:val="00BE704C"/>
    <w:rsid w:val="00BE7445"/>
    <w:rsid w:val="00BE7692"/>
    <w:rsid w:val="00BF0E33"/>
    <w:rsid w:val="00BF0F9F"/>
    <w:rsid w:val="00BF1147"/>
    <w:rsid w:val="00BF1CA2"/>
    <w:rsid w:val="00BF2D6B"/>
    <w:rsid w:val="00BF4344"/>
    <w:rsid w:val="00BF43B5"/>
    <w:rsid w:val="00BF490B"/>
    <w:rsid w:val="00BF6071"/>
    <w:rsid w:val="00BF60E1"/>
    <w:rsid w:val="00BF6332"/>
    <w:rsid w:val="00BF75A7"/>
    <w:rsid w:val="00C00167"/>
    <w:rsid w:val="00C00B6A"/>
    <w:rsid w:val="00C01BE5"/>
    <w:rsid w:val="00C01DE2"/>
    <w:rsid w:val="00C01ECA"/>
    <w:rsid w:val="00C01F7C"/>
    <w:rsid w:val="00C0309F"/>
    <w:rsid w:val="00C04ACD"/>
    <w:rsid w:val="00C04F87"/>
    <w:rsid w:val="00C06AD3"/>
    <w:rsid w:val="00C071F9"/>
    <w:rsid w:val="00C116FB"/>
    <w:rsid w:val="00C12275"/>
    <w:rsid w:val="00C12DBF"/>
    <w:rsid w:val="00C131DF"/>
    <w:rsid w:val="00C144AF"/>
    <w:rsid w:val="00C165FD"/>
    <w:rsid w:val="00C16BF7"/>
    <w:rsid w:val="00C17207"/>
    <w:rsid w:val="00C17D32"/>
    <w:rsid w:val="00C202DB"/>
    <w:rsid w:val="00C206B2"/>
    <w:rsid w:val="00C2151D"/>
    <w:rsid w:val="00C21F74"/>
    <w:rsid w:val="00C223E4"/>
    <w:rsid w:val="00C22DC7"/>
    <w:rsid w:val="00C23BAF"/>
    <w:rsid w:val="00C2469D"/>
    <w:rsid w:val="00C24ADA"/>
    <w:rsid w:val="00C255C0"/>
    <w:rsid w:val="00C263DF"/>
    <w:rsid w:val="00C26450"/>
    <w:rsid w:val="00C26A8B"/>
    <w:rsid w:val="00C300B7"/>
    <w:rsid w:val="00C311BB"/>
    <w:rsid w:val="00C312EF"/>
    <w:rsid w:val="00C31412"/>
    <w:rsid w:val="00C31966"/>
    <w:rsid w:val="00C32BBE"/>
    <w:rsid w:val="00C333A9"/>
    <w:rsid w:val="00C34B29"/>
    <w:rsid w:val="00C34B41"/>
    <w:rsid w:val="00C34CC6"/>
    <w:rsid w:val="00C35416"/>
    <w:rsid w:val="00C3569C"/>
    <w:rsid w:val="00C3612D"/>
    <w:rsid w:val="00C40CD8"/>
    <w:rsid w:val="00C40F9F"/>
    <w:rsid w:val="00C412EE"/>
    <w:rsid w:val="00C41600"/>
    <w:rsid w:val="00C41BB5"/>
    <w:rsid w:val="00C42FDE"/>
    <w:rsid w:val="00C43930"/>
    <w:rsid w:val="00C44297"/>
    <w:rsid w:val="00C45A2C"/>
    <w:rsid w:val="00C45A72"/>
    <w:rsid w:val="00C46BF0"/>
    <w:rsid w:val="00C47B62"/>
    <w:rsid w:val="00C50535"/>
    <w:rsid w:val="00C506B4"/>
    <w:rsid w:val="00C50F23"/>
    <w:rsid w:val="00C51FF3"/>
    <w:rsid w:val="00C522D6"/>
    <w:rsid w:val="00C52383"/>
    <w:rsid w:val="00C524F9"/>
    <w:rsid w:val="00C52509"/>
    <w:rsid w:val="00C5399D"/>
    <w:rsid w:val="00C53AAD"/>
    <w:rsid w:val="00C576B4"/>
    <w:rsid w:val="00C577AA"/>
    <w:rsid w:val="00C60356"/>
    <w:rsid w:val="00C62385"/>
    <w:rsid w:val="00C628E3"/>
    <w:rsid w:val="00C62D70"/>
    <w:rsid w:val="00C6332C"/>
    <w:rsid w:val="00C635AD"/>
    <w:rsid w:val="00C63D1F"/>
    <w:rsid w:val="00C65086"/>
    <w:rsid w:val="00C71837"/>
    <w:rsid w:val="00C720FB"/>
    <w:rsid w:val="00C726B7"/>
    <w:rsid w:val="00C72E39"/>
    <w:rsid w:val="00C7492F"/>
    <w:rsid w:val="00C749BC"/>
    <w:rsid w:val="00C75B27"/>
    <w:rsid w:val="00C80120"/>
    <w:rsid w:val="00C81503"/>
    <w:rsid w:val="00C8372C"/>
    <w:rsid w:val="00C842F2"/>
    <w:rsid w:val="00C8463F"/>
    <w:rsid w:val="00C85103"/>
    <w:rsid w:val="00C85404"/>
    <w:rsid w:val="00C85543"/>
    <w:rsid w:val="00C85A56"/>
    <w:rsid w:val="00C87205"/>
    <w:rsid w:val="00C90791"/>
    <w:rsid w:val="00C90E7C"/>
    <w:rsid w:val="00C90F04"/>
    <w:rsid w:val="00C91D9C"/>
    <w:rsid w:val="00C92D0B"/>
    <w:rsid w:val="00C93086"/>
    <w:rsid w:val="00C93091"/>
    <w:rsid w:val="00C930E9"/>
    <w:rsid w:val="00C93351"/>
    <w:rsid w:val="00C94881"/>
    <w:rsid w:val="00C94BD0"/>
    <w:rsid w:val="00C94F3E"/>
    <w:rsid w:val="00C94FE9"/>
    <w:rsid w:val="00C95542"/>
    <w:rsid w:val="00C9582C"/>
    <w:rsid w:val="00C95A70"/>
    <w:rsid w:val="00C95DD0"/>
    <w:rsid w:val="00CA1283"/>
    <w:rsid w:val="00CA1B1A"/>
    <w:rsid w:val="00CA2010"/>
    <w:rsid w:val="00CA25D7"/>
    <w:rsid w:val="00CA31AD"/>
    <w:rsid w:val="00CA4201"/>
    <w:rsid w:val="00CA55C6"/>
    <w:rsid w:val="00CA7144"/>
    <w:rsid w:val="00CA748F"/>
    <w:rsid w:val="00CB0502"/>
    <w:rsid w:val="00CB1200"/>
    <w:rsid w:val="00CB1C66"/>
    <w:rsid w:val="00CB1F68"/>
    <w:rsid w:val="00CB26E4"/>
    <w:rsid w:val="00CB3ABA"/>
    <w:rsid w:val="00CB4268"/>
    <w:rsid w:val="00CB44BD"/>
    <w:rsid w:val="00CC048D"/>
    <w:rsid w:val="00CC0922"/>
    <w:rsid w:val="00CC1736"/>
    <w:rsid w:val="00CC442A"/>
    <w:rsid w:val="00CC4B54"/>
    <w:rsid w:val="00CC5045"/>
    <w:rsid w:val="00CC5267"/>
    <w:rsid w:val="00CC527B"/>
    <w:rsid w:val="00CC5678"/>
    <w:rsid w:val="00CC63A3"/>
    <w:rsid w:val="00CC65D5"/>
    <w:rsid w:val="00CC65EE"/>
    <w:rsid w:val="00CC7983"/>
    <w:rsid w:val="00CD05CE"/>
    <w:rsid w:val="00CD127F"/>
    <w:rsid w:val="00CD1798"/>
    <w:rsid w:val="00CD2055"/>
    <w:rsid w:val="00CD42F7"/>
    <w:rsid w:val="00CD45B0"/>
    <w:rsid w:val="00CD4FA3"/>
    <w:rsid w:val="00CD5955"/>
    <w:rsid w:val="00CD5BC4"/>
    <w:rsid w:val="00CD6DAB"/>
    <w:rsid w:val="00CD7C80"/>
    <w:rsid w:val="00CE22BB"/>
    <w:rsid w:val="00CE23EB"/>
    <w:rsid w:val="00CE2720"/>
    <w:rsid w:val="00CE2C8F"/>
    <w:rsid w:val="00CE3D01"/>
    <w:rsid w:val="00CE4253"/>
    <w:rsid w:val="00CE4403"/>
    <w:rsid w:val="00CE4EAB"/>
    <w:rsid w:val="00CE569F"/>
    <w:rsid w:val="00CE5A76"/>
    <w:rsid w:val="00CE6094"/>
    <w:rsid w:val="00CE6A1F"/>
    <w:rsid w:val="00CE7EBE"/>
    <w:rsid w:val="00CF0951"/>
    <w:rsid w:val="00CF2C3C"/>
    <w:rsid w:val="00CF2C6E"/>
    <w:rsid w:val="00CF41D2"/>
    <w:rsid w:val="00CF41E5"/>
    <w:rsid w:val="00CF5654"/>
    <w:rsid w:val="00CF6343"/>
    <w:rsid w:val="00CF77A8"/>
    <w:rsid w:val="00CF7EDB"/>
    <w:rsid w:val="00D00618"/>
    <w:rsid w:val="00D01304"/>
    <w:rsid w:val="00D01CF3"/>
    <w:rsid w:val="00D02E69"/>
    <w:rsid w:val="00D03579"/>
    <w:rsid w:val="00D03AD3"/>
    <w:rsid w:val="00D03FFD"/>
    <w:rsid w:val="00D04132"/>
    <w:rsid w:val="00D04D75"/>
    <w:rsid w:val="00D0506B"/>
    <w:rsid w:val="00D07A48"/>
    <w:rsid w:val="00D07A91"/>
    <w:rsid w:val="00D07DA9"/>
    <w:rsid w:val="00D111E4"/>
    <w:rsid w:val="00D11B17"/>
    <w:rsid w:val="00D126E8"/>
    <w:rsid w:val="00D12E8F"/>
    <w:rsid w:val="00D133E9"/>
    <w:rsid w:val="00D1379B"/>
    <w:rsid w:val="00D13EB5"/>
    <w:rsid w:val="00D1434F"/>
    <w:rsid w:val="00D1457D"/>
    <w:rsid w:val="00D14AA8"/>
    <w:rsid w:val="00D14DDF"/>
    <w:rsid w:val="00D152E4"/>
    <w:rsid w:val="00D15A93"/>
    <w:rsid w:val="00D15E68"/>
    <w:rsid w:val="00D170F3"/>
    <w:rsid w:val="00D20084"/>
    <w:rsid w:val="00D22261"/>
    <w:rsid w:val="00D225CA"/>
    <w:rsid w:val="00D233C7"/>
    <w:rsid w:val="00D234F2"/>
    <w:rsid w:val="00D23C34"/>
    <w:rsid w:val="00D2543F"/>
    <w:rsid w:val="00D25802"/>
    <w:rsid w:val="00D25BC8"/>
    <w:rsid w:val="00D26151"/>
    <w:rsid w:val="00D2707A"/>
    <w:rsid w:val="00D27B43"/>
    <w:rsid w:val="00D27D2D"/>
    <w:rsid w:val="00D30042"/>
    <w:rsid w:val="00D304BB"/>
    <w:rsid w:val="00D31469"/>
    <w:rsid w:val="00D329B3"/>
    <w:rsid w:val="00D35B9B"/>
    <w:rsid w:val="00D36FD9"/>
    <w:rsid w:val="00D3733A"/>
    <w:rsid w:val="00D3798F"/>
    <w:rsid w:val="00D37C97"/>
    <w:rsid w:val="00D411AB"/>
    <w:rsid w:val="00D42A5C"/>
    <w:rsid w:val="00D436CE"/>
    <w:rsid w:val="00D437B8"/>
    <w:rsid w:val="00D439EF"/>
    <w:rsid w:val="00D45ED6"/>
    <w:rsid w:val="00D4626C"/>
    <w:rsid w:val="00D471EC"/>
    <w:rsid w:val="00D47B23"/>
    <w:rsid w:val="00D52739"/>
    <w:rsid w:val="00D5357B"/>
    <w:rsid w:val="00D53637"/>
    <w:rsid w:val="00D53B3D"/>
    <w:rsid w:val="00D54839"/>
    <w:rsid w:val="00D54D14"/>
    <w:rsid w:val="00D567F0"/>
    <w:rsid w:val="00D56B36"/>
    <w:rsid w:val="00D57482"/>
    <w:rsid w:val="00D57F84"/>
    <w:rsid w:val="00D60296"/>
    <w:rsid w:val="00D60A7F"/>
    <w:rsid w:val="00D61218"/>
    <w:rsid w:val="00D615C1"/>
    <w:rsid w:val="00D61A14"/>
    <w:rsid w:val="00D61C4F"/>
    <w:rsid w:val="00D61DEC"/>
    <w:rsid w:val="00D62B54"/>
    <w:rsid w:val="00D637A7"/>
    <w:rsid w:val="00D63CAA"/>
    <w:rsid w:val="00D65623"/>
    <w:rsid w:val="00D67687"/>
    <w:rsid w:val="00D711BC"/>
    <w:rsid w:val="00D711CF"/>
    <w:rsid w:val="00D715E1"/>
    <w:rsid w:val="00D7179B"/>
    <w:rsid w:val="00D72701"/>
    <w:rsid w:val="00D72FD3"/>
    <w:rsid w:val="00D73015"/>
    <w:rsid w:val="00D73325"/>
    <w:rsid w:val="00D73C7E"/>
    <w:rsid w:val="00D73CAF"/>
    <w:rsid w:val="00D764AD"/>
    <w:rsid w:val="00D7699B"/>
    <w:rsid w:val="00D779A1"/>
    <w:rsid w:val="00D77B3D"/>
    <w:rsid w:val="00D81958"/>
    <w:rsid w:val="00D83B37"/>
    <w:rsid w:val="00D83DDD"/>
    <w:rsid w:val="00D85BAF"/>
    <w:rsid w:val="00D85EB1"/>
    <w:rsid w:val="00D86AAF"/>
    <w:rsid w:val="00D8720E"/>
    <w:rsid w:val="00D91564"/>
    <w:rsid w:val="00D91575"/>
    <w:rsid w:val="00D91B02"/>
    <w:rsid w:val="00D91D77"/>
    <w:rsid w:val="00D92113"/>
    <w:rsid w:val="00D942D3"/>
    <w:rsid w:val="00D94643"/>
    <w:rsid w:val="00D94869"/>
    <w:rsid w:val="00D9559A"/>
    <w:rsid w:val="00D957B4"/>
    <w:rsid w:val="00D95CBB"/>
    <w:rsid w:val="00D9647E"/>
    <w:rsid w:val="00D96C31"/>
    <w:rsid w:val="00D971D8"/>
    <w:rsid w:val="00D97532"/>
    <w:rsid w:val="00DA1353"/>
    <w:rsid w:val="00DA1559"/>
    <w:rsid w:val="00DA412A"/>
    <w:rsid w:val="00DA4774"/>
    <w:rsid w:val="00DA4B4A"/>
    <w:rsid w:val="00DA7290"/>
    <w:rsid w:val="00DA7D5C"/>
    <w:rsid w:val="00DB03D5"/>
    <w:rsid w:val="00DB04E1"/>
    <w:rsid w:val="00DB05D3"/>
    <w:rsid w:val="00DB0866"/>
    <w:rsid w:val="00DB14A4"/>
    <w:rsid w:val="00DB1699"/>
    <w:rsid w:val="00DB1B57"/>
    <w:rsid w:val="00DB1D52"/>
    <w:rsid w:val="00DB2F79"/>
    <w:rsid w:val="00DB3075"/>
    <w:rsid w:val="00DB582E"/>
    <w:rsid w:val="00DB6F82"/>
    <w:rsid w:val="00DC017E"/>
    <w:rsid w:val="00DC054E"/>
    <w:rsid w:val="00DC109B"/>
    <w:rsid w:val="00DC1433"/>
    <w:rsid w:val="00DC1B52"/>
    <w:rsid w:val="00DC209F"/>
    <w:rsid w:val="00DC2AA2"/>
    <w:rsid w:val="00DC3D52"/>
    <w:rsid w:val="00DC4A81"/>
    <w:rsid w:val="00DC54D8"/>
    <w:rsid w:val="00DC64EE"/>
    <w:rsid w:val="00DC6C01"/>
    <w:rsid w:val="00DC7278"/>
    <w:rsid w:val="00DD09B6"/>
    <w:rsid w:val="00DD2B43"/>
    <w:rsid w:val="00DD37AF"/>
    <w:rsid w:val="00DD4813"/>
    <w:rsid w:val="00DD4E5F"/>
    <w:rsid w:val="00DD514F"/>
    <w:rsid w:val="00DD524B"/>
    <w:rsid w:val="00DD59C4"/>
    <w:rsid w:val="00DD5EBD"/>
    <w:rsid w:val="00DD7580"/>
    <w:rsid w:val="00DE0492"/>
    <w:rsid w:val="00DE1932"/>
    <w:rsid w:val="00DE3414"/>
    <w:rsid w:val="00DE3BFB"/>
    <w:rsid w:val="00DE3D55"/>
    <w:rsid w:val="00DE4367"/>
    <w:rsid w:val="00DE5F02"/>
    <w:rsid w:val="00DE6626"/>
    <w:rsid w:val="00DE6E02"/>
    <w:rsid w:val="00DE71EC"/>
    <w:rsid w:val="00DE752C"/>
    <w:rsid w:val="00DE7846"/>
    <w:rsid w:val="00DF0AF9"/>
    <w:rsid w:val="00DF0DBF"/>
    <w:rsid w:val="00DF2035"/>
    <w:rsid w:val="00DF2DFA"/>
    <w:rsid w:val="00DF3E47"/>
    <w:rsid w:val="00DF4683"/>
    <w:rsid w:val="00DF4690"/>
    <w:rsid w:val="00DF4AB6"/>
    <w:rsid w:val="00DF53C1"/>
    <w:rsid w:val="00DF6642"/>
    <w:rsid w:val="00DF6A7D"/>
    <w:rsid w:val="00DF6D38"/>
    <w:rsid w:val="00DF6E7B"/>
    <w:rsid w:val="00DF77D0"/>
    <w:rsid w:val="00DF7F28"/>
    <w:rsid w:val="00E00118"/>
    <w:rsid w:val="00E00141"/>
    <w:rsid w:val="00E003A2"/>
    <w:rsid w:val="00E00C80"/>
    <w:rsid w:val="00E01CBD"/>
    <w:rsid w:val="00E02511"/>
    <w:rsid w:val="00E0252D"/>
    <w:rsid w:val="00E04765"/>
    <w:rsid w:val="00E05930"/>
    <w:rsid w:val="00E05B2C"/>
    <w:rsid w:val="00E06195"/>
    <w:rsid w:val="00E06B6A"/>
    <w:rsid w:val="00E102BB"/>
    <w:rsid w:val="00E10300"/>
    <w:rsid w:val="00E1083D"/>
    <w:rsid w:val="00E12835"/>
    <w:rsid w:val="00E1335D"/>
    <w:rsid w:val="00E13754"/>
    <w:rsid w:val="00E1377B"/>
    <w:rsid w:val="00E13AF1"/>
    <w:rsid w:val="00E13E51"/>
    <w:rsid w:val="00E141CC"/>
    <w:rsid w:val="00E14735"/>
    <w:rsid w:val="00E147C7"/>
    <w:rsid w:val="00E14919"/>
    <w:rsid w:val="00E14ADC"/>
    <w:rsid w:val="00E15341"/>
    <w:rsid w:val="00E1535F"/>
    <w:rsid w:val="00E169E7"/>
    <w:rsid w:val="00E16C76"/>
    <w:rsid w:val="00E20656"/>
    <w:rsid w:val="00E2071F"/>
    <w:rsid w:val="00E20AE9"/>
    <w:rsid w:val="00E20D62"/>
    <w:rsid w:val="00E20F8B"/>
    <w:rsid w:val="00E22FF1"/>
    <w:rsid w:val="00E24007"/>
    <w:rsid w:val="00E248D1"/>
    <w:rsid w:val="00E24F06"/>
    <w:rsid w:val="00E25F47"/>
    <w:rsid w:val="00E27732"/>
    <w:rsid w:val="00E27C3C"/>
    <w:rsid w:val="00E3017B"/>
    <w:rsid w:val="00E30726"/>
    <w:rsid w:val="00E31FBB"/>
    <w:rsid w:val="00E3205F"/>
    <w:rsid w:val="00E323A6"/>
    <w:rsid w:val="00E3388F"/>
    <w:rsid w:val="00E340D3"/>
    <w:rsid w:val="00E34136"/>
    <w:rsid w:val="00E3472B"/>
    <w:rsid w:val="00E34738"/>
    <w:rsid w:val="00E353B8"/>
    <w:rsid w:val="00E353F1"/>
    <w:rsid w:val="00E35832"/>
    <w:rsid w:val="00E35B37"/>
    <w:rsid w:val="00E35B47"/>
    <w:rsid w:val="00E36062"/>
    <w:rsid w:val="00E371E6"/>
    <w:rsid w:val="00E40D07"/>
    <w:rsid w:val="00E41A6A"/>
    <w:rsid w:val="00E41C27"/>
    <w:rsid w:val="00E42595"/>
    <w:rsid w:val="00E430DB"/>
    <w:rsid w:val="00E4316E"/>
    <w:rsid w:val="00E43B41"/>
    <w:rsid w:val="00E440C7"/>
    <w:rsid w:val="00E45AB2"/>
    <w:rsid w:val="00E461C2"/>
    <w:rsid w:val="00E46390"/>
    <w:rsid w:val="00E4712C"/>
    <w:rsid w:val="00E4782C"/>
    <w:rsid w:val="00E47F63"/>
    <w:rsid w:val="00E50133"/>
    <w:rsid w:val="00E50609"/>
    <w:rsid w:val="00E506B3"/>
    <w:rsid w:val="00E507DC"/>
    <w:rsid w:val="00E50EF9"/>
    <w:rsid w:val="00E51905"/>
    <w:rsid w:val="00E51F5F"/>
    <w:rsid w:val="00E54FE1"/>
    <w:rsid w:val="00E55092"/>
    <w:rsid w:val="00E56D4A"/>
    <w:rsid w:val="00E5706F"/>
    <w:rsid w:val="00E57920"/>
    <w:rsid w:val="00E57A47"/>
    <w:rsid w:val="00E57EE7"/>
    <w:rsid w:val="00E6017B"/>
    <w:rsid w:val="00E63845"/>
    <w:rsid w:val="00E63875"/>
    <w:rsid w:val="00E65647"/>
    <w:rsid w:val="00E6586E"/>
    <w:rsid w:val="00E65914"/>
    <w:rsid w:val="00E6693B"/>
    <w:rsid w:val="00E67010"/>
    <w:rsid w:val="00E71363"/>
    <w:rsid w:val="00E71460"/>
    <w:rsid w:val="00E733CF"/>
    <w:rsid w:val="00E73F44"/>
    <w:rsid w:val="00E74EF5"/>
    <w:rsid w:val="00E75230"/>
    <w:rsid w:val="00E75A84"/>
    <w:rsid w:val="00E75E73"/>
    <w:rsid w:val="00E77685"/>
    <w:rsid w:val="00E77A31"/>
    <w:rsid w:val="00E80F9B"/>
    <w:rsid w:val="00E81228"/>
    <w:rsid w:val="00E812BA"/>
    <w:rsid w:val="00E8139B"/>
    <w:rsid w:val="00E82CCE"/>
    <w:rsid w:val="00E831C3"/>
    <w:rsid w:val="00E836D3"/>
    <w:rsid w:val="00E83A07"/>
    <w:rsid w:val="00E83CCC"/>
    <w:rsid w:val="00E8407F"/>
    <w:rsid w:val="00E84393"/>
    <w:rsid w:val="00E84E08"/>
    <w:rsid w:val="00E84E0F"/>
    <w:rsid w:val="00E85719"/>
    <w:rsid w:val="00E85C2F"/>
    <w:rsid w:val="00E86DA0"/>
    <w:rsid w:val="00E86DD3"/>
    <w:rsid w:val="00E87046"/>
    <w:rsid w:val="00E87BAC"/>
    <w:rsid w:val="00E87F7A"/>
    <w:rsid w:val="00E915BB"/>
    <w:rsid w:val="00E925BA"/>
    <w:rsid w:val="00E93045"/>
    <w:rsid w:val="00E941CF"/>
    <w:rsid w:val="00E94C4E"/>
    <w:rsid w:val="00E94C65"/>
    <w:rsid w:val="00E9703B"/>
    <w:rsid w:val="00EA0F5A"/>
    <w:rsid w:val="00EA180A"/>
    <w:rsid w:val="00EA1B66"/>
    <w:rsid w:val="00EA28A5"/>
    <w:rsid w:val="00EA2D1F"/>
    <w:rsid w:val="00EA3C44"/>
    <w:rsid w:val="00EA4A63"/>
    <w:rsid w:val="00EA4C1C"/>
    <w:rsid w:val="00EA5EEB"/>
    <w:rsid w:val="00EA69A5"/>
    <w:rsid w:val="00EA79B4"/>
    <w:rsid w:val="00EB0B4F"/>
    <w:rsid w:val="00EB0E13"/>
    <w:rsid w:val="00EB16E4"/>
    <w:rsid w:val="00EB1AA0"/>
    <w:rsid w:val="00EB2541"/>
    <w:rsid w:val="00EB2DD5"/>
    <w:rsid w:val="00EB2EED"/>
    <w:rsid w:val="00EB3739"/>
    <w:rsid w:val="00EB38B4"/>
    <w:rsid w:val="00EB4707"/>
    <w:rsid w:val="00EB60E0"/>
    <w:rsid w:val="00EB7815"/>
    <w:rsid w:val="00EB7FC8"/>
    <w:rsid w:val="00EC0641"/>
    <w:rsid w:val="00EC0CF2"/>
    <w:rsid w:val="00EC129C"/>
    <w:rsid w:val="00EC264F"/>
    <w:rsid w:val="00EC4FC5"/>
    <w:rsid w:val="00EC67F3"/>
    <w:rsid w:val="00EC6E09"/>
    <w:rsid w:val="00EC76D8"/>
    <w:rsid w:val="00ED0CB4"/>
    <w:rsid w:val="00ED1425"/>
    <w:rsid w:val="00ED17AC"/>
    <w:rsid w:val="00ED28CB"/>
    <w:rsid w:val="00ED2CDD"/>
    <w:rsid w:val="00ED36AC"/>
    <w:rsid w:val="00ED4010"/>
    <w:rsid w:val="00ED420C"/>
    <w:rsid w:val="00ED4362"/>
    <w:rsid w:val="00ED50AB"/>
    <w:rsid w:val="00ED6246"/>
    <w:rsid w:val="00ED6582"/>
    <w:rsid w:val="00ED7263"/>
    <w:rsid w:val="00ED7403"/>
    <w:rsid w:val="00EE074F"/>
    <w:rsid w:val="00EE10CE"/>
    <w:rsid w:val="00EE236D"/>
    <w:rsid w:val="00EE266D"/>
    <w:rsid w:val="00EE2879"/>
    <w:rsid w:val="00EE2DFB"/>
    <w:rsid w:val="00EE4F15"/>
    <w:rsid w:val="00EE5861"/>
    <w:rsid w:val="00EE6892"/>
    <w:rsid w:val="00EE73BF"/>
    <w:rsid w:val="00EE791B"/>
    <w:rsid w:val="00EF069E"/>
    <w:rsid w:val="00EF0E15"/>
    <w:rsid w:val="00EF196B"/>
    <w:rsid w:val="00EF2887"/>
    <w:rsid w:val="00EF4411"/>
    <w:rsid w:val="00EF4467"/>
    <w:rsid w:val="00EF5A44"/>
    <w:rsid w:val="00EF5BE6"/>
    <w:rsid w:val="00EF62FD"/>
    <w:rsid w:val="00EF6C86"/>
    <w:rsid w:val="00EF794F"/>
    <w:rsid w:val="00F0176A"/>
    <w:rsid w:val="00F01A07"/>
    <w:rsid w:val="00F021E6"/>
    <w:rsid w:val="00F02274"/>
    <w:rsid w:val="00F02B2A"/>
    <w:rsid w:val="00F039DD"/>
    <w:rsid w:val="00F063F4"/>
    <w:rsid w:val="00F06966"/>
    <w:rsid w:val="00F06FFA"/>
    <w:rsid w:val="00F07A3C"/>
    <w:rsid w:val="00F10F5D"/>
    <w:rsid w:val="00F119F1"/>
    <w:rsid w:val="00F13409"/>
    <w:rsid w:val="00F1370B"/>
    <w:rsid w:val="00F16942"/>
    <w:rsid w:val="00F16DDA"/>
    <w:rsid w:val="00F172D5"/>
    <w:rsid w:val="00F176D1"/>
    <w:rsid w:val="00F17985"/>
    <w:rsid w:val="00F20083"/>
    <w:rsid w:val="00F20A8B"/>
    <w:rsid w:val="00F20B5E"/>
    <w:rsid w:val="00F215E4"/>
    <w:rsid w:val="00F2169C"/>
    <w:rsid w:val="00F2188D"/>
    <w:rsid w:val="00F21914"/>
    <w:rsid w:val="00F21BB0"/>
    <w:rsid w:val="00F21C41"/>
    <w:rsid w:val="00F22BDC"/>
    <w:rsid w:val="00F231A7"/>
    <w:rsid w:val="00F231AF"/>
    <w:rsid w:val="00F2439C"/>
    <w:rsid w:val="00F244C6"/>
    <w:rsid w:val="00F24557"/>
    <w:rsid w:val="00F2608B"/>
    <w:rsid w:val="00F2728E"/>
    <w:rsid w:val="00F273ED"/>
    <w:rsid w:val="00F302AA"/>
    <w:rsid w:val="00F30A55"/>
    <w:rsid w:val="00F31A06"/>
    <w:rsid w:val="00F3219A"/>
    <w:rsid w:val="00F32730"/>
    <w:rsid w:val="00F327AE"/>
    <w:rsid w:val="00F32882"/>
    <w:rsid w:val="00F3422E"/>
    <w:rsid w:val="00F34BD1"/>
    <w:rsid w:val="00F35C21"/>
    <w:rsid w:val="00F3663B"/>
    <w:rsid w:val="00F3674D"/>
    <w:rsid w:val="00F36A87"/>
    <w:rsid w:val="00F37510"/>
    <w:rsid w:val="00F40630"/>
    <w:rsid w:val="00F410DA"/>
    <w:rsid w:val="00F4120E"/>
    <w:rsid w:val="00F436A8"/>
    <w:rsid w:val="00F446FE"/>
    <w:rsid w:val="00F44837"/>
    <w:rsid w:val="00F44EDE"/>
    <w:rsid w:val="00F454D8"/>
    <w:rsid w:val="00F46724"/>
    <w:rsid w:val="00F46968"/>
    <w:rsid w:val="00F4747D"/>
    <w:rsid w:val="00F50F13"/>
    <w:rsid w:val="00F513CF"/>
    <w:rsid w:val="00F529E3"/>
    <w:rsid w:val="00F52EC2"/>
    <w:rsid w:val="00F533D4"/>
    <w:rsid w:val="00F55918"/>
    <w:rsid w:val="00F56A98"/>
    <w:rsid w:val="00F56AC8"/>
    <w:rsid w:val="00F56BC1"/>
    <w:rsid w:val="00F571FE"/>
    <w:rsid w:val="00F572FA"/>
    <w:rsid w:val="00F576E9"/>
    <w:rsid w:val="00F5784E"/>
    <w:rsid w:val="00F579B8"/>
    <w:rsid w:val="00F60737"/>
    <w:rsid w:val="00F6254C"/>
    <w:rsid w:val="00F62596"/>
    <w:rsid w:val="00F642DD"/>
    <w:rsid w:val="00F6610A"/>
    <w:rsid w:val="00F662DB"/>
    <w:rsid w:val="00F66419"/>
    <w:rsid w:val="00F66CAD"/>
    <w:rsid w:val="00F673C3"/>
    <w:rsid w:val="00F676CD"/>
    <w:rsid w:val="00F6786C"/>
    <w:rsid w:val="00F711B7"/>
    <w:rsid w:val="00F71E88"/>
    <w:rsid w:val="00F73F3D"/>
    <w:rsid w:val="00F752A4"/>
    <w:rsid w:val="00F75C1B"/>
    <w:rsid w:val="00F75E53"/>
    <w:rsid w:val="00F76430"/>
    <w:rsid w:val="00F7769F"/>
    <w:rsid w:val="00F777C4"/>
    <w:rsid w:val="00F77A39"/>
    <w:rsid w:val="00F77D7D"/>
    <w:rsid w:val="00F80538"/>
    <w:rsid w:val="00F80742"/>
    <w:rsid w:val="00F8105D"/>
    <w:rsid w:val="00F81EC0"/>
    <w:rsid w:val="00F82000"/>
    <w:rsid w:val="00F84A51"/>
    <w:rsid w:val="00F853F6"/>
    <w:rsid w:val="00F85980"/>
    <w:rsid w:val="00F87E44"/>
    <w:rsid w:val="00F90512"/>
    <w:rsid w:val="00F91F4A"/>
    <w:rsid w:val="00F91FB2"/>
    <w:rsid w:val="00F92C2F"/>
    <w:rsid w:val="00F93289"/>
    <w:rsid w:val="00F93F36"/>
    <w:rsid w:val="00F9481B"/>
    <w:rsid w:val="00F95B3F"/>
    <w:rsid w:val="00F95C5D"/>
    <w:rsid w:val="00F95CAC"/>
    <w:rsid w:val="00F96654"/>
    <w:rsid w:val="00F96CC8"/>
    <w:rsid w:val="00FA0105"/>
    <w:rsid w:val="00FA0BD5"/>
    <w:rsid w:val="00FA1449"/>
    <w:rsid w:val="00FA175F"/>
    <w:rsid w:val="00FA1EDE"/>
    <w:rsid w:val="00FA26C8"/>
    <w:rsid w:val="00FA2C15"/>
    <w:rsid w:val="00FA2C93"/>
    <w:rsid w:val="00FA3A0E"/>
    <w:rsid w:val="00FA3C94"/>
    <w:rsid w:val="00FA3D7B"/>
    <w:rsid w:val="00FA45DB"/>
    <w:rsid w:val="00FA48EF"/>
    <w:rsid w:val="00FA5B15"/>
    <w:rsid w:val="00FB043A"/>
    <w:rsid w:val="00FB24A7"/>
    <w:rsid w:val="00FB27DE"/>
    <w:rsid w:val="00FB2944"/>
    <w:rsid w:val="00FB299F"/>
    <w:rsid w:val="00FB364F"/>
    <w:rsid w:val="00FB416E"/>
    <w:rsid w:val="00FB45C8"/>
    <w:rsid w:val="00FB5272"/>
    <w:rsid w:val="00FB5ACE"/>
    <w:rsid w:val="00FB706C"/>
    <w:rsid w:val="00FB7908"/>
    <w:rsid w:val="00FC0511"/>
    <w:rsid w:val="00FC0919"/>
    <w:rsid w:val="00FC1322"/>
    <w:rsid w:val="00FC307F"/>
    <w:rsid w:val="00FC490F"/>
    <w:rsid w:val="00FC4C90"/>
    <w:rsid w:val="00FC506D"/>
    <w:rsid w:val="00FC5972"/>
    <w:rsid w:val="00FC670B"/>
    <w:rsid w:val="00FC6A68"/>
    <w:rsid w:val="00FC7C0A"/>
    <w:rsid w:val="00FD17A4"/>
    <w:rsid w:val="00FD20A1"/>
    <w:rsid w:val="00FD33D1"/>
    <w:rsid w:val="00FD4142"/>
    <w:rsid w:val="00FD4832"/>
    <w:rsid w:val="00FD6734"/>
    <w:rsid w:val="00FD6DE6"/>
    <w:rsid w:val="00FD6FC1"/>
    <w:rsid w:val="00FD752B"/>
    <w:rsid w:val="00FD7943"/>
    <w:rsid w:val="00FE0A39"/>
    <w:rsid w:val="00FE0BF9"/>
    <w:rsid w:val="00FE0E89"/>
    <w:rsid w:val="00FE2277"/>
    <w:rsid w:val="00FE27C7"/>
    <w:rsid w:val="00FE2B82"/>
    <w:rsid w:val="00FE344D"/>
    <w:rsid w:val="00FE3550"/>
    <w:rsid w:val="00FE3C9A"/>
    <w:rsid w:val="00FE3EEE"/>
    <w:rsid w:val="00FE46CE"/>
    <w:rsid w:val="00FE603C"/>
    <w:rsid w:val="00FE618D"/>
    <w:rsid w:val="00FE6763"/>
    <w:rsid w:val="00FF06B0"/>
    <w:rsid w:val="00FF0776"/>
    <w:rsid w:val="00FF2102"/>
    <w:rsid w:val="00FF2A5C"/>
    <w:rsid w:val="00FF35C1"/>
    <w:rsid w:val="00FF40C7"/>
    <w:rsid w:val="00FF55EB"/>
    <w:rsid w:val="00FF6F37"/>
    <w:rsid w:val="00FF7624"/>
    <w:rsid w:val="00FF7D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50479"/>
  <w15:chartTrackingRefBased/>
  <w15:docId w15:val="{5FF8CD18-ECB5-469C-B469-5CB1EF8AA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43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C442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B0866"/>
    <w:pPr>
      <w:spacing w:after="0" w:line="240" w:lineRule="auto"/>
    </w:pPr>
    <w:rPr>
      <w:sz w:val="20"/>
      <w:szCs w:val="20"/>
    </w:rPr>
  </w:style>
  <w:style w:type="character" w:customStyle="1" w:styleId="FootnoteTextChar">
    <w:name w:val="Footnote Text Char"/>
    <w:basedOn w:val="DefaultParagraphFont"/>
    <w:link w:val="FootnoteText"/>
    <w:uiPriority w:val="99"/>
    <w:rsid w:val="00DB0866"/>
    <w:rPr>
      <w:sz w:val="20"/>
      <w:szCs w:val="20"/>
    </w:rPr>
  </w:style>
  <w:style w:type="character" w:styleId="FootnoteReference">
    <w:name w:val="footnote reference"/>
    <w:basedOn w:val="DefaultParagraphFont"/>
    <w:uiPriority w:val="99"/>
    <w:semiHidden/>
    <w:unhideWhenUsed/>
    <w:rsid w:val="00DB0866"/>
    <w:rPr>
      <w:vertAlign w:val="superscript"/>
    </w:rPr>
  </w:style>
  <w:style w:type="paragraph" w:styleId="NoSpacing">
    <w:name w:val="No Spacing"/>
    <w:uiPriority w:val="1"/>
    <w:qFormat/>
    <w:rsid w:val="001F6FBF"/>
    <w:pPr>
      <w:spacing w:after="0" w:line="240" w:lineRule="auto"/>
    </w:pPr>
  </w:style>
  <w:style w:type="paragraph" w:styleId="EndnoteText">
    <w:name w:val="endnote text"/>
    <w:basedOn w:val="Normal"/>
    <w:link w:val="EndnoteTextChar"/>
    <w:uiPriority w:val="99"/>
    <w:unhideWhenUsed/>
    <w:rsid w:val="00BD4481"/>
    <w:pPr>
      <w:spacing w:after="0" w:line="240" w:lineRule="auto"/>
    </w:pPr>
    <w:rPr>
      <w:sz w:val="20"/>
      <w:szCs w:val="20"/>
    </w:rPr>
  </w:style>
  <w:style w:type="character" w:customStyle="1" w:styleId="EndnoteTextChar">
    <w:name w:val="Endnote Text Char"/>
    <w:basedOn w:val="DefaultParagraphFont"/>
    <w:link w:val="EndnoteText"/>
    <w:uiPriority w:val="99"/>
    <w:rsid w:val="00BD4481"/>
    <w:rPr>
      <w:sz w:val="20"/>
      <w:szCs w:val="20"/>
    </w:rPr>
  </w:style>
  <w:style w:type="character" w:styleId="EndnoteReference">
    <w:name w:val="endnote reference"/>
    <w:basedOn w:val="DefaultParagraphFont"/>
    <w:uiPriority w:val="99"/>
    <w:semiHidden/>
    <w:unhideWhenUsed/>
    <w:rsid w:val="00BD4481"/>
    <w:rPr>
      <w:vertAlign w:val="superscript"/>
    </w:rPr>
  </w:style>
  <w:style w:type="character" w:styleId="Hyperlink">
    <w:name w:val="Hyperlink"/>
    <w:basedOn w:val="DefaultParagraphFont"/>
    <w:uiPriority w:val="99"/>
    <w:unhideWhenUsed/>
    <w:rsid w:val="00BC5F4D"/>
    <w:rPr>
      <w:color w:val="0563C1" w:themeColor="hyperlink"/>
      <w:u w:val="single"/>
    </w:rPr>
  </w:style>
  <w:style w:type="character" w:styleId="UnresolvedMention">
    <w:name w:val="Unresolved Mention"/>
    <w:basedOn w:val="DefaultParagraphFont"/>
    <w:uiPriority w:val="99"/>
    <w:semiHidden/>
    <w:unhideWhenUsed/>
    <w:rsid w:val="00BC5F4D"/>
    <w:rPr>
      <w:color w:val="605E5C"/>
      <w:shd w:val="clear" w:color="auto" w:fill="E1DFDD"/>
    </w:rPr>
  </w:style>
  <w:style w:type="character" w:styleId="Emphasis">
    <w:name w:val="Emphasis"/>
    <w:basedOn w:val="DefaultParagraphFont"/>
    <w:uiPriority w:val="20"/>
    <w:qFormat/>
    <w:rsid w:val="00444486"/>
    <w:rPr>
      <w:i/>
      <w:iCs/>
    </w:rPr>
  </w:style>
  <w:style w:type="paragraph" w:styleId="NormalWeb">
    <w:name w:val="Normal (Web)"/>
    <w:basedOn w:val="Normal"/>
    <w:uiPriority w:val="99"/>
    <w:unhideWhenUsed/>
    <w:rsid w:val="009C597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918E2"/>
    <w:rPr>
      <w:b/>
      <w:bCs/>
    </w:rPr>
  </w:style>
  <w:style w:type="character" w:styleId="HTMLCite">
    <w:name w:val="HTML Cite"/>
    <w:basedOn w:val="DefaultParagraphFont"/>
    <w:uiPriority w:val="99"/>
    <w:semiHidden/>
    <w:unhideWhenUsed/>
    <w:rsid w:val="00A918E2"/>
    <w:rPr>
      <w:i/>
      <w:iCs/>
    </w:rPr>
  </w:style>
  <w:style w:type="character" w:styleId="FollowedHyperlink">
    <w:name w:val="FollowedHyperlink"/>
    <w:basedOn w:val="DefaultParagraphFont"/>
    <w:uiPriority w:val="99"/>
    <w:semiHidden/>
    <w:unhideWhenUsed/>
    <w:rsid w:val="00E1535F"/>
    <w:rPr>
      <w:color w:val="954F72" w:themeColor="followedHyperlink"/>
      <w:u w:val="single"/>
    </w:rPr>
  </w:style>
  <w:style w:type="paragraph" w:styleId="Header">
    <w:name w:val="header"/>
    <w:basedOn w:val="Normal"/>
    <w:link w:val="HeaderChar"/>
    <w:uiPriority w:val="99"/>
    <w:unhideWhenUsed/>
    <w:rsid w:val="00A66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6723"/>
  </w:style>
  <w:style w:type="paragraph" w:styleId="Footer">
    <w:name w:val="footer"/>
    <w:basedOn w:val="Normal"/>
    <w:link w:val="FooterChar"/>
    <w:uiPriority w:val="99"/>
    <w:unhideWhenUsed/>
    <w:rsid w:val="00A66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6723"/>
  </w:style>
  <w:style w:type="character" w:customStyle="1" w:styleId="Heading3Char">
    <w:name w:val="Heading 3 Char"/>
    <w:basedOn w:val="DefaultParagraphFont"/>
    <w:link w:val="Heading3"/>
    <w:uiPriority w:val="9"/>
    <w:rsid w:val="00CC442A"/>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C17D32"/>
    <w:pPr>
      <w:ind w:left="720"/>
      <w:contextualSpacing/>
    </w:pPr>
  </w:style>
  <w:style w:type="character" w:customStyle="1" w:styleId="coitalic">
    <w:name w:val="co_italic"/>
    <w:basedOn w:val="DefaultParagraphFont"/>
    <w:rsid w:val="00987CE8"/>
  </w:style>
  <w:style w:type="character" w:customStyle="1" w:styleId="Heading2Char">
    <w:name w:val="Heading 2 Char"/>
    <w:basedOn w:val="DefaultParagraphFont"/>
    <w:link w:val="Heading2"/>
    <w:uiPriority w:val="9"/>
    <w:rsid w:val="00543B66"/>
    <w:rPr>
      <w:rFonts w:asciiTheme="majorHAnsi" w:eastAsiaTheme="majorEastAsia" w:hAnsiTheme="majorHAnsi" w:cstheme="majorBidi"/>
      <w:color w:val="2F5496" w:themeColor="accent1" w:themeShade="BF"/>
      <w:sz w:val="26"/>
      <w:szCs w:val="26"/>
    </w:rPr>
  </w:style>
  <w:style w:type="paragraph" w:customStyle="1" w:styleId="legrhs">
    <w:name w:val="legrhs"/>
    <w:basedOn w:val="Normal"/>
    <w:rsid w:val="00C92D0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egterm">
    <w:name w:val="legterm"/>
    <w:basedOn w:val="DefaultParagraphFont"/>
    <w:rsid w:val="00C92D0B"/>
  </w:style>
  <w:style w:type="paragraph" w:styleId="Subtitle">
    <w:name w:val="Subtitle"/>
    <w:basedOn w:val="Normal"/>
    <w:next w:val="Normal"/>
    <w:link w:val="SubtitleChar"/>
    <w:uiPriority w:val="11"/>
    <w:qFormat/>
    <w:rsid w:val="0076431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6431E"/>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202329">
      <w:bodyDiv w:val="1"/>
      <w:marLeft w:val="0"/>
      <w:marRight w:val="0"/>
      <w:marTop w:val="0"/>
      <w:marBottom w:val="0"/>
      <w:divBdr>
        <w:top w:val="none" w:sz="0" w:space="0" w:color="auto"/>
        <w:left w:val="none" w:sz="0" w:space="0" w:color="auto"/>
        <w:bottom w:val="none" w:sz="0" w:space="0" w:color="auto"/>
        <w:right w:val="none" w:sz="0" w:space="0" w:color="auto"/>
      </w:divBdr>
    </w:div>
    <w:div w:id="311643621">
      <w:bodyDiv w:val="1"/>
      <w:marLeft w:val="0"/>
      <w:marRight w:val="0"/>
      <w:marTop w:val="0"/>
      <w:marBottom w:val="0"/>
      <w:divBdr>
        <w:top w:val="none" w:sz="0" w:space="0" w:color="auto"/>
        <w:left w:val="none" w:sz="0" w:space="0" w:color="auto"/>
        <w:bottom w:val="none" w:sz="0" w:space="0" w:color="auto"/>
        <w:right w:val="none" w:sz="0" w:space="0" w:color="auto"/>
      </w:divBdr>
    </w:div>
    <w:div w:id="520238968">
      <w:bodyDiv w:val="1"/>
      <w:marLeft w:val="0"/>
      <w:marRight w:val="0"/>
      <w:marTop w:val="0"/>
      <w:marBottom w:val="0"/>
      <w:divBdr>
        <w:top w:val="none" w:sz="0" w:space="0" w:color="auto"/>
        <w:left w:val="none" w:sz="0" w:space="0" w:color="auto"/>
        <w:bottom w:val="none" w:sz="0" w:space="0" w:color="auto"/>
        <w:right w:val="none" w:sz="0" w:space="0" w:color="auto"/>
      </w:divBdr>
    </w:div>
    <w:div w:id="637034112">
      <w:bodyDiv w:val="1"/>
      <w:marLeft w:val="0"/>
      <w:marRight w:val="0"/>
      <w:marTop w:val="0"/>
      <w:marBottom w:val="0"/>
      <w:divBdr>
        <w:top w:val="none" w:sz="0" w:space="0" w:color="auto"/>
        <w:left w:val="none" w:sz="0" w:space="0" w:color="auto"/>
        <w:bottom w:val="none" w:sz="0" w:space="0" w:color="auto"/>
        <w:right w:val="none" w:sz="0" w:space="0" w:color="auto"/>
      </w:divBdr>
    </w:div>
    <w:div w:id="940842115">
      <w:bodyDiv w:val="1"/>
      <w:marLeft w:val="0"/>
      <w:marRight w:val="0"/>
      <w:marTop w:val="0"/>
      <w:marBottom w:val="0"/>
      <w:divBdr>
        <w:top w:val="none" w:sz="0" w:space="0" w:color="auto"/>
        <w:left w:val="none" w:sz="0" w:space="0" w:color="auto"/>
        <w:bottom w:val="none" w:sz="0" w:space="0" w:color="auto"/>
        <w:right w:val="none" w:sz="0" w:space="0" w:color="auto"/>
      </w:divBdr>
      <w:divsChild>
        <w:div w:id="1504470535">
          <w:blockQuote w:val="1"/>
          <w:marLeft w:val="0"/>
          <w:marRight w:val="0"/>
          <w:marTop w:val="0"/>
          <w:marBottom w:val="0"/>
          <w:divBdr>
            <w:top w:val="none" w:sz="0" w:space="0" w:color="auto"/>
            <w:left w:val="none" w:sz="0" w:space="0" w:color="auto"/>
            <w:bottom w:val="none" w:sz="0" w:space="0" w:color="auto"/>
            <w:right w:val="none" w:sz="0" w:space="0" w:color="auto"/>
          </w:divBdr>
          <w:divsChild>
            <w:div w:id="55143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151601">
      <w:bodyDiv w:val="1"/>
      <w:marLeft w:val="0"/>
      <w:marRight w:val="0"/>
      <w:marTop w:val="0"/>
      <w:marBottom w:val="0"/>
      <w:divBdr>
        <w:top w:val="none" w:sz="0" w:space="0" w:color="auto"/>
        <w:left w:val="none" w:sz="0" w:space="0" w:color="auto"/>
        <w:bottom w:val="none" w:sz="0" w:space="0" w:color="auto"/>
        <w:right w:val="none" w:sz="0" w:space="0" w:color="auto"/>
      </w:divBdr>
    </w:div>
    <w:div w:id="1380938978">
      <w:bodyDiv w:val="1"/>
      <w:marLeft w:val="0"/>
      <w:marRight w:val="0"/>
      <w:marTop w:val="0"/>
      <w:marBottom w:val="0"/>
      <w:divBdr>
        <w:top w:val="none" w:sz="0" w:space="0" w:color="auto"/>
        <w:left w:val="none" w:sz="0" w:space="0" w:color="auto"/>
        <w:bottom w:val="none" w:sz="0" w:space="0" w:color="auto"/>
        <w:right w:val="none" w:sz="0" w:space="0" w:color="auto"/>
      </w:divBdr>
    </w:div>
    <w:div w:id="1609503596">
      <w:bodyDiv w:val="1"/>
      <w:marLeft w:val="0"/>
      <w:marRight w:val="0"/>
      <w:marTop w:val="0"/>
      <w:marBottom w:val="0"/>
      <w:divBdr>
        <w:top w:val="none" w:sz="0" w:space="0" w:color="auto"/>
        <w:left w:val="none" w:sz="0" w:space="0" w:color="auto"/>
        <w:bottom w:val="none" w:sz="0" w:space="0" w:color="auto"/>
        <w:right w:val="none" w:sz="0" w:space="0" w:color="auto"/>
      </w:divBdr>
    </w:div>
    <w:div w:id="1694108775">
      <w:bodyDiv w:val="1"/>
      <w:marLeft w:val="0"/>
      <w:marRight w:val="0"/>
      <w:marTop w:val="0"/>
      <w:marBottom w:val="0"/>
      <w:divBdr>
        <w:top w:val="none" w:sz="0" w:space="0" w:color="auto"/>
        <w:left w:val="none" w:sz="0" w:space="0" w:color="auto"/>
        <w:bottom w:val="none" w:sz="0" w:space="0" w:color="auto"/>
        <w:right w:val="none" w:sz="0" w:space="0" w:color="auto"/>
      </w:divBdr>
    </w:div>
    <w:div w:id="178900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il.ouplaw.com/search?sfam=&amp;q=%22Vienna+Convention+on+the+Law+of+Treaties%22&amp;prd=ORIL&amp;searchBtn=Search"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lexsoft-desk.de/lexsoft/default/transportr.html?at=QNA+On471WOcPpQC5kyQ4g==" TargetMode="External"/><Relationship Id="rId7" Type="http://schemas.openxmlformats.org/officeDocument/2006/relationships/hyperlink" Target="https://daglass.uk/author/cmrman" TargetMode="External"/><Relationship Id="rId2" Type="http://schemas.openxmlformats.org/officeDocument/2006/relationships/hyperlink" Target="https://www.icj-cij.org/en/decisions" TargetMode="External"/><Relationship Id="rId1" Type="http://schemas.openxmlformats.org/officeDocument/2006/relationships/hyperlink" Target="https://legal.un.org/avl/ha/vclt/vclt.html" TargetMode="External"/><Relationship Id="rId6" Type="http://schemas.openxmlformats.org/officeDocument/2006/relationships/hyperlink" Target="http://www.maritimelawlibrary.se" TargetMode="External"/><Relationship Id="rId5" Type="http://schemas.openxmlformats.org/officeDocument/2006/relationships/hyperlink" Target="https://www.lexsoft-desk.de/lexsoft/default/transportr.html?at=QNA+On471WOcPpQC5kyQ4g==" TargetMode="External"/><Relationship Id="rId4" Type="http://schemas.openxmlformats.org/officeDocument/2006/relationships/hyperlink" Target="https://www.lexsoft-desk.de/lexsoft/default/transportr.html?at=QNA+On471WOcPpQC5kyQ4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47D54-8275-4918-8FE5-C53853D59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15824</TotalTime>
  <Pages>1</Pages>
  <Words>17857</Words>
  <Characters>101791</Characters>
  <Application>Microsoft Office Word</Application>
  <DocSecurity>0</DocSecurity>
  <Lines>848</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Glass</dc:creator>
  <cp:keywords/>
  <dc:description/>
  <cp:lastModifiedBy>David Glass</cp:lastModifiedBy>
  <cp:revision>251</cp:revision>
  <dcterms:created xsi:type="dcterms:W3CDTF">2022-07-13T23:21:00Z</dcterms:created>
  <dcterms:modified xsi:type="dcterms:W3CDTF">2022-12-11T22:24:00Z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e843dca0649bdf0177152908d23e5417bf66fb3ef70d46f1fc495be7a4714635</vt:lpwstr>
  </property>
</Properties>
</file>