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6F515A6" w14:textId="3A08BE15" w:rsidR="008200E8" w:rsidRPr="006F3A0C" w:rsidRDefault="00565B72">
      <w:pPr>
        <w:rPr>
          <w:b/>
          <w:sz w:val="28"/>
          <w:szCs w:val="28"/>
        </w:rPr>
      </w:pPr>
      <w:r w:rsidRPr="006F3A0C">
        <w:rPr>
          <w:b/>
          <w:sz w:val="28"/>
          <w:szCs w:val="28"/>
        </w:rPr>
        <w:t xml:space="preserve">Review of the law of carriage of goods by road, </w:t>
      </w:r>
      <w:proofErr w:type="gramStart"/>
      <w:r w:rsidRPr="006F3A0C">
        <w:rPr>
          <w:b/>
          <w:sz w:val="28"/>
          <w:szCs w:val="28"/>
        </w:rPr>
        <w:t>rail</w:t>
      </w:r>
      <w:proofErr w:type="gramEnd"/>
      <w:r w:rsidRPr="006F3A0C">
        <w:rPr>
          <w:b/>
          <w:sz w:val="28"/>
          <w:szCs w:val="28"/>
        </w:rPr>
        <w:t xml:space="preserve"> and multimodal transport </w:t>
      </w:r>
      <w:r w:rsidR="006F3A0C" w:rsidRPr="006F3A0C">
        <w:rPr>
          <w:b/>
          <w:sz w:val="28"/>
          <w:szCs w:val="28"/>
        </w:rPr>
        <w:t>from a UK perspective</w:t>
      </w:r>
    </w:p>
    <w:p w14:paraId="5803399D" w14:textId="649B5ABE" w:rsidR="00FE3C46" w:rsidRPr="00114C85" w:rsidRDefault="00AF1556">
      <w:pPr>
        <w:rPr>
          <w:b/>
          <w:sz w:val="28"/>
          <w:szCs w:val="28"/>
        </w:rPr>
      </w:pPr>
      <w:r w:rsidRPr="009C69FE">
        <w:rPr>
          <w:b/>
          <w:sz w:val="24"/>
          <w:szCs w:val="24"/>
        </w:rPr>
        <w:br/>
      </w:r>
      <w:r w:rsidR="00FE3C46" w:rsidRPr="00114C85">
        <w:rPr>
          <w:b/>
          <w:sz w:val="28"/>
          <w:szCs w:val="28"/>
        </w:rPr>
        <w:t xml:space="preserve">1. </w:t>
      </w:r>
      <w:r w:rsidR="003D12F0" w:rsidRPr="00114C85">
        <w:rPr>
          <w:b/>
          <w:sz w:val="28"/>
          <w:szCs w:val="28"/>
        </w:rPr>
        <w:t>Introduction: t</w:t>
      </w:r>
      <w:r w:rsidR="00FE3C46" w:rsidRPr="00114C85">
        <w:rPr>
          <w:b/>
          <w:sz w:val="28"/>
          <w:szCs w:val="28"/>
        </w:rPr>
        <w:t xml:space="preserve">he context of </w:t>
      </w:r>
      <w:r w:rsidR="00AE03C6" w:rsidRPr="00114C85">
        <w:rPr>
          <w:b/>
          <w:sz w:val="28"/>
          <w:szCs w:val="28"/>
        </w:rPr>
        <w:t xml:space="preserve">road and rail </w:t>
      </w:r>
      <w:r w:rsidR="00FE3C46" w:rsidRPr="00114C85">
        <w:rPr>
          <w:b/>
          <w:sz w:val="28"/>
          <w:szCs w:val="28"/>
        </w:rPr>
        <w:t>carriage and multimodal transport.</w:t>
      </w:r>
    </w:p>
    <w:p w14:paraId="0EC624DD" w14:textId="77777777" w:rsidR="00E86627" w:rsidRPr="009C69FE" w:rsidRDefault="00D70758" w:rsidP="00E72DB7">
      <w:pPr>
        <w:rPr>
          <w:sz w:val="24"/>
          <w:szCs w:val="24"/>
        </w:rPr>
      </w:pPr>
      <w:r w:rsidRPr="009C69FE">
        <w:rPr>
          <w:b/>
          <w:sz w:val="24"/>
          <w:szCs w:val="24"/>
        </w:rPr>
        <w:t>1.1</w:t>
      </w:r>
      <w:r w:rsidRPr="009C69FE">
        <w:rPr>
          <w:sz w:val="24"/>
          <w:szCs w:val="24"/>
        </w:rPr>
        <w:t xml:space="preserve"> </w:t>
      </w:r>
      <w:r w:rsidR="00FE3C46" w:rsidRPr="009C69FE">
        <w:rPr>
          <w:sz w:val="24"/>
          <w:szCs w:val="24"/>
        </w:rPr>
        <w:t>Road and rail transport have several roles in the carriage of freight.  Road is perhaps the most flexibl</w:t>
      </w:r>
      <w:r w:rsidR="00992920" w:rsidRPr="009C69FE">
        <w:rPr>
          <w:sz w:val="24"/>
          <w:szCs w:val="24"/>
        </w:rPr>
        <w:t xml:space="preserve">e in that it is the mode of </w:t>
      </w:r>
      <w:r w:rsidR="00254C4A" w:rsidRPr="009C69FE">
        <w:rPr>
          <w:sz w:val="24"/>
          <w:szCs w:val="24"/>
        </w:rPr>
        <w:t xml:space="preserve">transport that most </w:t>
      </w:r>
      <w:r w:rsidR="00FE3C46" w:rsidRPr="009C69FE">
        <w:rPr>
          <w:sz w:val="24"/>
          <w:szCs w:val="24"/>
        </w:rPr>
        <w:t>provide</w:t>
      </w:r>
      <w:r w:rsidR="00254C4A" w:rsidRPr="009C69FE">
        <w:rPr>
          <w:sz w:val="24"/>
          <w:szCs w:val="24"/>
        </w:rPr>
        <w:t>s</w:t>
      </w:r>
      <w:r w:rsidR="00FE3C46" w:rsidRPr="009C69FE">
        <w:rPr>
          <w:sz w:val="24"/>
          <w:szCs w:val="24"/>
        </w:rPr>
        <w:t xml:space="preserve"> or enable</w:t>
      </w:r>
      <w:r w:rsidR="00254C4A" w:rsidRPr="009C69FE">
        <w:rPr>
          <w:sz w:val="24"/>
          <w:szCs w:val="24"/>
        </w:rPr>
        <w:t>s</w:t>
      </w:r>
      <w:r w:rsidR="00FE3C46" w:rsidRPr="009C69FE">
        <w:rPr>
          <w:sz w:val="24"/>
          <w:szCs w:val="24"/>
        </w:rPr>
        <w:t xml:space="preserve"> a complete door to door service</w:t>
      </w:r>
      <w:r w:rsidR="00E86627" w:rsidRPr="009C69FE">
        <w:rPr>
          <w:sz w:val="24"/>
          <w:szCs w:val="24"/>
        </w:rPr>
        <w:t xml:space="preserve"> (at least currently – </w:t>
      </w:r>
      <w:r w:rsidR="00E72DB7">
        <w:rPr>
          <w:sz w:val="24"/>
          <w:szCs w:val="24"/>
        </w:rPr>
        <w:t>d</w:t>
      </w:r>
      <w:r w:rsidR="00E86627" w:rsidRPr="009C69FE">
        <w:rPr>
          <w:sz w:val="24"/>
          <w:szCs w:val="24"/>
        </w:rPr>
        <w:t>rones?</w:t>
      </w:r>
      <w:r w:rsidR="00E72DB7">
        <w:rPr>
          <w:sz w:val="24"/>
          <w:szCs w:val="24"/>
        </w:rPr>
        <w:t xml:space="preserve"> (see </w:t>
      </w:r>
      <w:hyperlink r:id="rId7" w:history="1">
        <w:r w:rsidR="00E72DB7" w:rsidRPr="00554C9A">
          <w:rPr>
            <w:rStyle w:val="Hyperlink"/>
            <w:sz w:val="24"/>
            <w:szCs w:val="24"/>
          </w:rPr>
          <w:t>https://mydroneauthority.com/industry/drone-delivery/</w:t>
        </w:r>
      </w:hyperlink>
      <w:r w:rsidR="00E72DB7">
        <w:rPr>
          <w:sz w:val="24"/>
          <w:szCs w:val="24"/>
        </w:rPr>
        <w:t xml:space="preserve"> )</w:t>
      </w:r>
      <w:r w:rsidR="00E72DB7">
        <w:rPr>
          <w:sz w:val="24"/>
          <w:szCs w:val="24"/>
        </w:rPr>
        <w:br/>
        <w:t xml:space="preserve"> </w:t>
      </w:r>
      <w:r w:rsidR="003A07EE" w:rsidRPr="009C69FE">
        <w:rPr>
          <w:sz w:val="24"/>
          <w:szCs w:val="24"/>
        </w:rPr>
        <w:t>– rail transport can</w:t>
      </w:r>
      <w:r w:rsidR="00022BE9" w:rsidRPr="009C69FE">
        <w:rPr>
          <w:sz w:val="24"/>
          <w:szCs w:val="24"/>
        </w:rPr>
        <w:t xml:space="preserve"> do so where there is a </w:t>
      </w:r>
      <w:r w:rsidR="003A07EE" w:rsidRPr="009C69FE">
        <w:rPr>
          <w:sz w:val="24"/>
          <w:szCs w:val="24"/>
        </w:rPr>
        <w:t>siding</w:t>
      </w:r>
      <w:r w:rsidR="00AE03C6" w:rsidRPr="009C69FE">
        <w:rPr>
          <w:sz w:val="24"/>
          <w:szCs w:val="24"/>
        </w:rPr>
        <w:t xml:space="preserve"> o</w:t>
      </w:r>
      <w:r w:rsidR="00022BE9" w:rsidRPr="009C69FE">
        <w:rPr>
          <w:sz w:val="24"/>
          <w:szCs w:val="24"/>
        </w:rPr>
        <w:t>n</w:t>
      </w:r>
      <w:r w:rsidRPr="009C69FE">
        <w:rPr>
          <w:sz w:val="24"/>
          <w:szCs w:val="24"/>
        </w:rPr>
        <w:t>to a customer’s premises</w:t>
      </w:r>
      <w:r w:rsidR="00E86627" w:rsidRPr="009C69FE">
        <w:rPr>
          <w:sz w:val="24"/>
          <w:szCs w:val="24"/>
        </w:rPr>
        <w:t>).</w:t>
      </w:r>
      <w:r w:rsidR="00E72DB7">
        <w:rPr>
          <w:sz w:val="24"/>
          <w:szCs w:val="24"/>
        </w:rPr>
        <w:br/>
      </w:r>
      <w:r w:rsidR="00E86627" w:rsidRPr="009C69FE">
        <w:rPr>
          <w:sz w:val="24"/>
          <w:szCs w:val="24"/>
        </w:rPr>
        <w:t xml:space="preserve"> </w:t>
      </w:r>
      <w:r w:rsidR="00E72DB7">
        <w:rPr>
          <w:sz w:val="24"/>
          <w:szCs w:val="24"/>
        </w:rPr>
        <w:br/>
      </w:r>
      <w:r w:rsidR="00E86627" w:rsidRPr="009C69FE">
        <w:rPr>
          <w:sz w:val="24"/>
          <w:szCs w:val="24"/>
        </w:rPr>
        <w:t xml:space="preserve">Road transport can either be the only mode for a particular transport or link with other modes e.g. collection for delivery to a port or railway terminal or airport.  Rail is more like sea and air in that carriage </w:t>
      </w:r>
      <w:r w:rsidR="00022BE9" w:rsidRPr="009C69FE">
        <w:rPr>
          <w:sz w:val="24"/>
          <w:szCs w:val="24"/>
        </w:rPr>
        <w:t xml:space="preserve">normally </w:t>
      </w:r>
      <w:r w:rsidR="00E86627" w:rsidRPr="009C69FE">
        <w:rPr>
          <w:sz w:val="24"/>
          <w:szCs w:val="24"/>
        </w:rPr>
        <w:t>takes place between fixed points and like them can either take on the lion</w:t>
      </w:r>
      <w:r w:rsidR="009225CB" w:rsidRPr="009C69FE">
        <w:rPr>
          <w:sz w:val="24"/>
          <w:szCs w:val="24"/>
        </w:rPr>
        <w:t>’</w:t>
      </w:r>
      <w:r w:rsidR="00E86627" w:rsidRPr="009C69FE">
        <w:rPr>
          <w:sz w:val="24"/>
          <w:szCs w:val="24"/>
        </w:rPr>
        <w:t>s share of a movement or be one of the links in a chain.</w:t>
      </w:r>
    </w:p>
    <w:p w14:paraId="6280EA2E" w14:textId="77777777" w:rsidR="000760F8" w:rsidRPr="009C69FE" w:rsidRDefault="00E86627">
      <w:pPr>
        <w:rPr>
          <w:sz w:val="24"/>
          <w:szCs w:val="24"/>
        </w:rPr>
      </w:pPr>
      <w:r w:rsidRPr="009C69FE">
        <w:rPr>
          <w:sz w:val="24"/>
          <w:szCs w:val="24"/>
        </w:rPr>
        <w:t>Both</w:t>
      </w:r>
      <w:r w:rsidR="002917FD" w:rsidRPr="009C69FE">
        <w:rPr>
          <w:sz w:val="24"/>
          <w:szCs w:val="24"/>
        </w:rPr>
        <w:t xml:space="preserve"> types of transport accommodate</w:t>
      </w:r>
      <w:r w:rsidR="009225CB" w:rsidRPr="009C69FE">
        <w:rPr>
          <w:sz w:val="24"/>
          <w:szCs w:val="24"/>
        </w:rPr>
        <w:t xml:space="preserve"> consi</w:t>
      </w:r>
      <w:r w:rsidR="002917FD" w:rsidRPr="009C69FE">
        <w:rPr>
          <w:sz w:val="24"/>
          <w:szCs w:val="24"/>
        </w:rPr>
        <w:t>gnments sent by one customer as well as</w:t>
      </w:r>
      <w:r w:rsidR="009225CB" w:rsidRPr="009C69FE">
        <w:rPr>
          <w:sz w:val="24"/>
          <w:szCs w:val="24"/>
        </w:rPr>
        <w:t xml:space="preserve"> consolidated consignments sent by several </w:t>
      </w:r>
      <w:proofErr w:type="gramStart"/>
      <w:r w:rsidR="00721C31" w:rsidRPr="009C69FE">
        <w:rPr>
          <w:sz w:val="24"/>
          <w:szCs w:val="24"/>
        </w:rPr>
        <w:t>e.g.</w:t>
      </w:r>
      <w:proofErr w:type="gramEnd"/>
      <w:r w:rsidR="00721C31" w:rsidRPr="009C69FE">
        <w:rPr>
          <w:sz w:val="24"/>
          <w:szCs w:val="24"/>
        </w:rPr>
        <w:t xml:space="preserve"> parcel carriers.  A freight</w:t>
      </w:r>
      <w:r w:rsidR="009225CB" w:rsidRPr="009C69FE">
        <w:rPr>
          <w:sz w:val="24"/>
          <w:szCs w:val="24"/>
        </w:rPr>
        <w:t xml:space="preserve"> ‘groupage’ arrangement in road carriage</w:t>
      </w:r>
      <w:r w:rsidR="00721C31" w:rsidRPr="009C69FE">
        <w:rPr>
          <w:sz w:val="24"/>
          <w:szCs w:val="24"/>
        </w:rPr>
        <w:t xml:space="preserve"> can either involve collection or delivery to a depot or the </w:t>
      </w:r>
      <w:r w:rsidR="009225CB" w:rsidRPr="009C69FE">
        <w:rPr>
          <w:sz w:val="24"/>
          <w:szCs w:val="24"/>
        </w:rPr>
        <w:t xml:space="preserve">road vehicle collecting goods from different customers for </w:t>
      </w:r>
      <w:r w:rsidR="00721C31" w:rsidRPr="009C69FE">
        <w:rPr>
          <w:sz w:val="24"/>
          <w:szCs w:val="24"/>
        </w:rPr>
        <w:t xml:space="preserve">direct </w:t>
      </w:r>
      <w:r w:rsidR="009225CB" w:rsidRPr="009C69FE">
        <w:rPr>
          <w:sz w:val="24"/>
          <w:szCs w:val="24"/>
        </w:rPr>
        <w:t xml:space="preserve">delivery to several receivers.  Groupage in rail transport will take place at a terminal with collection and delivery involving road carriage either arranged by the customer or the customer’s freight forwarder or provided as a service by the railway company. Both types of transport also accommodate the carriage of containers and other forms or unit load </w:t>
      </w:r>
      <w:r w:rsidR="000760F8" w:rsidRPr="009C69FE">
        <w:rPr>
          <w:sz w:val="24"/>
          <w:szCs w:val="24"/>
        </w:rPr>
        <w:t xml:space="preserve">devices and so can link easily with movements focussed on a container moving across </w:t>
      </w:r>
      <w:proofErr w:type="gramStart"/>
      <w:r w:rsidR="000760F8" w:rsidRPr="009C69FE">
        <w:rPr>
          <w:sz w:val="24"/>
          <w:szCs w:val="24"/>
        </w:rPr>
        <w:t>e.g.</w:t>
      </w:r>
      <w:proofErr w:type="gramEnd"/>
      <w:r w:rsidR="000760F8" w:rsidRPr="009C69FE">
        <w:rPr>
          <w:sz w:val="24"/>
          <w:szCs w:val="24"/>
        </w:rPr>
        <w:t xml:space="preserve"> road, rail and sea.  See the story of the BBC Box:  </w:t>
      </w:r>
      <w:hyperlink r:id="rId8" w:history="1">
        <w:r w:rsidR="000760F8" w:rsidRPr="009C69FE">
          <w:rPr>
            <w:rStyle w:val="Hyperlink"/>
            <w:sz w:val="24"/>
            <w:szCs w:val="24"/>
          </w:rPr>
          <w:t>http://news.bbc.co.uk/1/hi/in_depth/business/2008/the_box/default.stm</w:t>
        </w:r>
      </w:hyperlink>
      <w:r w:rsidR="00AE03C6" w:rsidRPr="009C69FE">
        <w:rPr>
          <w:sz w:val="24"/>
          <w:szCs w:val="24"/>
        </w:rPr>
        <w:t xml:space="preserve"> </w:t>
      </w:r>
      <w:r w:rsidR="00AE03C6" w:rsidRPr="009C69FE">
        <w:rPr>
          <w:sz w:val="24"/>
          <w:szCs w:val="24"/>
        </w:rPr>
        <w:br/>
      </w:r>
      <w:r w:rsidR="000760F8" w:rsidRPr="009C69FE">
        <w:rPr>
          <w:sz w:val="24"/>
          <w:szCs w:val="24"/>
        </w:rPr>
        <w:t>and pictures of the box on different modes:</w:t>
      </w:r>
      <w:r w:rsidR="000760F8" w:rsidRPr="009C69FE">
        <w:rPr>
          <w:sz w:val="24"/>
          <w:szCs w:val="24"/>
        </w:rPr>
        <w:br/>
      </w:r>
      <w:hyperlink r:id="rId9" w:history="1">
        <w:r w:rsidR="000760F8" w:rsidRPr="009C69FE">
          <w:rPr>
            <w:rStyle w:val="Hyperlink"/>
            <w:sz w:val="24"/>
            <w:szCs w:val="24"/>
          </w:rPr>
          <w:t>http://news.bbc.co.uk/1/hi/in_pictures/7620233.stm</w:t>
        </w:r>
      </w:hyperlink>
    </w:p>
    <w:p w14:paraId="06A4D3E3" w14:textId="704FCC4D" w:rsidR="001307B8" w:rsidRPr="009C69FE" w:rsidRDefault="00D70758" w:rsidP="009225CB">
      <w:pPr>
        <w:rPr>
          <w:rFonts w:cs="Arial"/>
          <w:sz w:val="24"/>
          <w:szCs w:val="24"/>
        </w:rPr>
      </w:pPr>
      <w:r w:rsidRPr="009C69FE">
        <w:rPr>
          <w:rFonts w:cs="Arial"/>
          <w:b/>
          <w:sz w:val="24"/>
          <w:szCs w:val="24"/>
        </w:rPr>
        <w:t>1.2</w:t>
      </w:r>
      <w:r w:rsidRPr="009C69FE">
        <w:rPr>
          <w:rFonts w:cs="Arial"/>
          <w:sz w:val="24"/>
          <w:szCs w:val="24"/>
        </w:rPr>
        <w:t xml:space="preserve"> </w:t>
      </w:r>
      <w:r w:rsidR="009225CB" w:rsidRPr="009C69FE">
        <w:rPr>
          <w:rFonts w:cs="Arial"/>
          <w:sz w:val="24"/>
          <w:szCs w:val="24"/>
        </w:rPr>
        <w:t xml:space="preserve">Since the container revolution </w:t>
      </w:r>
      <w:r w:rsidR="001307B8" w:rsidRPr="009C69FE">
        <w:rPr>
          <w:rFonts w:cs="Arial"/>
          <w:sz w:val="24"/>
          <w:szCs w:val="24"/>
        </w:rPr>
        <w:t>the technology of cargo movement continues to develop but it is largely through t</w:t>
      </w:r>
      <w:r w:rsidR="009225CB" w:rsidRPr="009C69FE">
        <w:rPr>
          <w:rFonts w:cs="Arial"/>
          <w:sz w:val="24"/>
          <w:szCs w:val="24"/>
        </w:rPr>
        <w:t xml:space="preserve">he maritime container </w:t>
      </w:r>
      <w:r w:rsidR="001307B8" w:rsidRPr="009C69FE">
        <w:rPr>
          <w:rFonts w:cs="Arial"/>
          <w:sz w:val="24"/>
          <w:szCs w:val="24"/>
        </w:rPr>
        <w:t xml:space="preserve">that the biggest proportion of global multimodal </w:t>
      </w:r>
      <w:r w:rsidR="00CB4423" w:rsidRPr="009C69FE">
        <w:rPr>
          <w:rFonts w:cs="Arial"/>
          <w:sz w:val="24"/>
          <w:szCs w:val="24"/>
        </w:rPr>
        <w:t xml:space="preserve">transport is enabled.  </w:t>
      </w:r>
      <w:r w:rsidR="001307B8" w:rsidRPr="009C69FE">
        <w:rPr>
          <w:rFonts w:cs="Arial"/>
          <w:sz w:val="24"/>
          <w:szCs w:val="24"/>
        </w:rPr>
        <w:t xml:space="preserve">It </w:t>
      </w:r>
      <w:r w:rsidR="009225CB" w:rsidRPr="009C69FE">
        <w:rPr>
          <w:rFonts w:cs="Arial"/>
          <w:sz w:val="24"/>
          <w:szCs w:val="24"/>
        </w:rPr>
        <w:t>allows for the ease of combining different modes of trans</w:t>
      </w:r>
      <w:r w:rsidR="00CB4423" w:rsidRPr="009C69FE">
        <w:rPr>
          <w:rFonts w:cs="Arial"/>
          <w:sz w:val="24"/>
          <w:szCs w:val="24"/>
        </w:rPr>
        <w:t xml:space="preserve">port, mainly sea and surface.  </w:t>
      </w:r>
      <w:r w:rsidR="009225CB" w:rsidRPr="009C69FE">
        <w:rPr>
          <w:rFonts w:cs="Arial"/>
          <w:sz w:val="24"/>
          <w:szCs w:val="24"/>
        </w:rPr>
        <w:t>Specialised air containers (ULD</w:t>
      </w:r>
      <w:r w:rsidR="00FB742F">
        <w:rPr>
          <w:rFonts w:cs="Arial"/>
          <w:sz w:val="24"/>
          <w:szCs w:val="24"/>
        </w:rPr>
        <w:t xml:space="preserve"> – see </w:t>
      </w:r>
      <w:hyperlink r:id="rId10" w:history="1">
        <w:r w:rsidR="00FA6152" w:rsidRPr="00F264ED">
          <w:rPr>
            <w:color w:val="0000FF"/>
            <w:u w:val="single"/>
          </w:rPr>
          <w:t>IATA - Unit Load Devices</w:t>
        </w:r>
      </w:hyperlink>
      <w:r w:rsidR="00FA6152">
        <w:t xml:space="preserve"> and </w:t>
      </w:r>
      <w:hyperlink r:id="rId11" w:history="1">
        <w:r w:rsidR="00FB742F" w:rsidRPr="00554C9A">
          <w:rPr>
            <w:rStyle w:val="Hyperlink"/>
            <w:rFonts w:cs="Arial"/>
            <w:sz w:val="24"/>
            <w:szCs w:val="24"/>
          </w:rPr>
          <w:t>https://www.searates.com/reference/uld/</w:t>
        </w:r>
      </w:hyperlink>
      <w:r w:rsidR="009225CB" w:rsidRPr="009C69FE">
        <w:rPr>
          <w:rFonts w:cs="Arial"/>
          <w:sz w:val="24"/>
          <w:szCs w:val="24"/>
        </w:rPr>
        <w:t>)</w:t>
      </w:r>
      <w:r w:rsidR="00C76825">
        <w:rPr>
          <w:rFonts w:cs="Arial"/>
          <w:sz w:val="24"/>
          <w:szCs w:val="24"/>
        </w:rPr>
        <w:t xml:space="preserve"> </w:t>
      </w:r>
      <w:r w:rsidR="009225CB" w:rsidRPr="009C69FE">
        <w:rPr>
          <w:rFonts w:cs="Arial"/>
          <w:sz w:val="24"/>
          <w:szCs w:val="24"/>
        </w:rPr>
        <w:t xml:space="preserve"> enable road and air to be easily combined.  Other systems include the use of pallets and swap bodies </w:t>
      </w:r>
      <w:r w:rsidR="0016364A" w:rsidRPr="009C69FE">
        <w:rPr>
          <w:rFonts w:cs="Arial"/>
          <w:sz w:val="24"/>
          <w:szCs w:val="24"/>
        </w:rPr>
        <w:t>(see further below</w:t>
      </w:r>
      <w:r w:rsidR="001307B8" w:rsidRPr="009C69FE">
        <w:rPr>
          <w:rFonts w:cs="Arial"/>
          <w:sz w:val="24"/>
          <w:szCs w:val="24"/>
        </w:rPr>
        <w:t xml:space="preserve">) </w:t>
      </w:r>
      <w:r w:rsidR="009225CB" w:rsidRPr="009C69FE">
        <w:rPr>
          <w:rFonts w:cs="Arial"/>
          <w:sz w:val="24"/>
          <w:szCs w:val="24"/>
        </w:rPr>
        <w:t>as well as the techni</w:t>
      </w:r>
      <w:r w:rsidR="001307B8" w:rsidRPr="009C69FE">
        <w:rPr>
          <w:rFonts w:cs="Arial"/>
          <w:sz w:val="24"/>
          <w:szCs w:val="24"/>
        </w:rPr>
        <w:t>ques involved in</w:t>
      </w:r>
      <w:r w:rsidR="009225CB" w:rsidRPr="009C69FE">
        <w:rPr>
          <w:rFonts w:cs="Arial"/>
          <w:sz w:val="24"/>
          <w:szCs w:val="24"/>
        </w:rPr>
        <w:t xml:space="preserve"> enabling one means to be carried on another (roll on-roll off, piggyback).  </w:t>
      </w:r>
    </w:p>
    <w:p w14:paraId="7C615186" w14:textId="77777777" w:rsidR="001307B8" w:rsidRPr="009C69FE" w:rsidRDefault="009225CB" w:rsidP="009225CB">
      <w:pPr>
        <w:rPr>
          <w:rFonts w:cs="Arial"/>
          <w:sz w:val="24"/>
          <w:szCs w:val="24"/>
        </w:rPr>
      </w:pPr>
      <w:r w:rsidRPr="009C69FE">
        <w:rPr>
          <w:rFonts w:cs="Arial"/>
          <w:sz w:val="24"/>
          <w:szCs w:val="24"/>
        </w:rPr>
        <w:t>This last example illu</w:t>
      </w:r>
      <w:r w:rsidR="001307B8" w:rsidRPr="009C69FE">
        <w:rPr>
          <w:rFonts w:cs="Arial"/>
          <w:sz w:val="24"/>
          <w:szCs w:val="24"/>
        </w:rPr>
        <w:t>strates the distinction that is made</w:t>
      </w:r>
      <w:r w:rsidRPr="009C69FE">
        <w:rPr>
          <w:rFonts w:cs="Arial"/>
          <w:sz w:val="24"/>
          <w:szCs w:val="24"/>
        </w:rPr>
        <w:t xml:space="preserve"> between mode on mode and mode to mode techniques.  </w:t>
      </w:r>
      <w:r w:rsidR="001307B8" w:rsidRPr="009C69FE">
        <w:rPr>
          <w:rFonts w:cs="Arial"/>
          <w:sz w:val="24"/>
          <w:szCs w:val="24"/>
        </w:rPr>
        <w:t>Ro</w:t>
      </w:r>
      <w:r w:rsidR="002F1974" w:rsidRPr="009C69FE">
        <w:rPr>
          <w:rFonts w:cs="Arial"/>
          <w:sz w:val="24"/>
          <w:szCs w:val="24"/>
        </w:rPr>
        <w:t>ll on</w:t>
      </w:r>
      <w:r w:rsidR="001307B8" w:rsidRPr="009C69FE">
        <w:rPr>
          <w:rFonts w:cs="Arial"/>
          <w:sz w:val="24"/>
          <w:szCs w:val="24"/>
        </w:rPr>
        <w:t>-ro</w:t>
      </w:r>
      <w:r w:rsidR="002F1974" w:rsidRPr="009C69FE">
        <w:rPr>
          <w:rFonts w:cs="Arial"/>
          <w:sz w:val="24"/>
          <w:szCs w:val="24"/>
        </w:rPr>
        <w:t>ll off (ro-ro)</w:t>
      </w:r>
      <w:r w:rsidR="001307B8" w:rsidRPr="009C69FE">
        <w:rPr>
          <w:rFonts w:cs="Arial"/>
          <w:sz w:val="24"/>
          <w:szCs w:val="24"/>
        </w:rPr>
        <w:t xml:space="preserve"> </w:t>
      </w:r>
      <w:r w:rsidR="00177D5F" w:rsidRPr="009C69FE">
        <w:rPr>
          <w:rFonts w:cs="Arial"/>
          <w:sz w:val="24"/>
          <w:szCs w:val="24"/>
        </w:rPr>
        <w:t xml:space="preserve">is an example of the former. </w:t>
      </w:r>
      <w:r w:rsidR="00CB4423" w:rsidRPr="009C69FE">
        <w:rPr>
          <w:rFonts w:cs="Arial"/>
          <w:sz w:val="24"/>
          <w:szCs w:val="24"/>
        </w:rPr>
        <w:t xml:space="preserve"> </w:t>
      </w:r>
      <w:r w:rsidR="00177D5F" w:rsidRPr="009C69FE">
        <w:rPr>
          <w:rFonts w:cs="Arial"/>
          <w:sz w:val="24"/>
          <w:szCs w:val="24"/>
        </w:rPr>
        <w:t>Lo</w:t>
      </w:r>
      <w:r w:rsidR="002F1974" w:rsidRPr="009C69FE">
        <w:rPr>
          <w:rFonts w:cs="Arial"/>
          <w:sz w:val="24"/>
          <w:szCs w:val="24"/>
        </w:rPr>
        <w:t>ad on</w:t>
      </w:r>
      <w:r w:rsidR="00177D5F" w:rsidRPr="009C69FE">
        <w:rPr>
          <w:rFonts w:cs="Arial"/>
          <w:sz w:val="24"/>
          <w:szCs w:val="24"/>
        </w:rPr>
        <w:t>-lo</w:t>
      </w:r>
      <w:r w:rsidR="002F1974" w:rsidRPr="009C69FE">
        <w:rPr>
          <w:rFonts w:cs="Arial"/>
          <w:sz w:val="24"/>
          <w:szCs w:val="24"/>
        </w:rPr>
        <w:t>ad off (lo-lo)</w:t>
      </w:r>
      <w:r w:rsidR="00177D5F" w:rsidRPr="009C69FE">
        <w:rPr>
          <w:rFonts w:cs="Arial"/>
          <w:sz w:val="24"/>
          <w:szCs w:val="24"/>
        </w:rPr>
        <w:t xml:space="preserve"> - </w:t>
      </w:r>
      <w:r w:rsidR="00CB4423" w:rsidRPr="009C69FE">
        <w:rPr>
          <w:rFonts w:cs="Arial"/>
          <w:sz w:val="24"/>
          <w:szCs w:val="24"/>
        </w:rPr>
        <w:t>delivery to a port of a container which is then lifted off the road vehicle and then lifted on to a ship is an example of the latter.</w:t>
      </w:r>
    </w:p>
    <w:p w14:paraId="3C818C5F" w14:textId="77777777" w:rsidR="00CB4423" w:rsidRPr="009C69FE" w:rsidRDefault="00CB4423" w:rsidP="009225CB">
      <w:pPr>
        <w:rPr>
          <w:rFonts w:cs="Arial"/>
          <w:b/>
          <w:sz w:val="24"/>
          <w:szCs w:val="24"/>
        </w:rPr>
      </w:pPr>
      <w:r w:rsidRPr="009C69FE">
        <w:rPr>
          <w:rFonts w:cs="Arial"/>
          <w:b/>
          <w:sz w:val="24"/>
          <w:szCs w:val="24"/>
        </w:rPr>
        <w:t>Q</w:t>
      </w:r>
      <w:r w:rsidR="0016364A" w:rsidRPr="009C69FE">
        <w:rPr>
          <w:rFonts w:cs="Arial"/>
          <w:b/>
          <w:sz w:val="24"/>
          <w:szCs w:val="24"/>
        </w:rPr>
        <w:t xml:space="preserve"> 1</w:t>
      </w:r>
      <w:r w:rsidRPr="009C69FE">
        <w:rPr>
          <w:rFonts w:cs="Arial"/>
          <w:b/>
          <w:sz w:val="24"/>
          <w:szCs w:val="24"/>
        </w:rPr>
        <w:t xml:space="preserve"> – What </w:t>
      </w:r>
      <w:r w:rsidR="00FB19EC" w:rsidRPr="009C69FE">
        <w:rPr>
          <w:rFonts w:cs="Arial"/>
          <w:b/>
          <w:sz w:val="24"/>
          <w:szCs w:val="24"/>
        </w:rPr>
        <w:t xml:space="preserve">do you think </w:t>
      </w:r>
      <w:r w:rsidRPr="009C69FE">
        <w:rPr>
          <w:rFonts w:cs="Arial"/>
          <w:b/>
          <w:sz w:val="24"/>
          <w:szCs w:val="24"/>
        </w:rPr>
        <w:t>is the meaning of a ‘mode’ of transport?  Is mode on mode</w:t>
      </w:r>
      <w:r w:rsidR="002D1B76" w:rsidRPr="009C69FE">
        <w:rPr>
          <w:rFonts w:cs="Arial"/>
          <w:b/>
          <w:sz w:val="24"/>
          <w:szCs w:val="24"/>
        </w:rPr>
        <w:t xml:space="preserve"> </w:t>
      </w:r>
      <w:r w:rsidR="003A07EE" w:rsidRPr="009C69FE">
        <w:rPr>
          <w:rFonts w:cs="Arial"/>
          <w:b/>
          <w:sz w:val="24"/>
          <w:szCs w:val="24"/>
        </w:rPr>
        <w:t>a correct wa</w:t>
      </w:r>
      <w:r w:rsidR="00177D5F" w:rsidRPr="009C69FE">
        <w:rPr>
          <w:rFonts w:cs="Arial"/>
          <w:b/>
          <w:sz w:val="24"/>
          <w:szCs w:val="24"/>
        </w:rPr>
        <w:t>y of describing a ro-ro or pigg</w:t>
      </w:r>
      <w:r w:rsidR="003A07EE" w:rsidRPr="009C69FE">
        <w:rPr>
          <w:rFonts w:cs="Arial"/>
          <w:b/>
          <w:sz w:val="24"/>
          <w:szCs w:val="24"/>
        </w:rPr>
        <w:t xml:space="preserve">yback </w:t>
      </w:r>
      <w:r w:rsidRPr="009C69FE">
        <w:rPr>
          <w:rFonts w:cs="Arial"/>
          <w:b/>
          <w:sz w:val="24"/>
          <w:szCs w:val="24"/>
        </w:rPr>
        <w:t>technique?</w:t>
      </w:r>
    </w:p>
    <w:p w14:paraId="50F2FABE" w14:textId="77777777" w:rsidR="009225CB" w:rsidRPr="009C69FE" w:rsidRDefault="00CB4423" w:rsidP="009225CB">
      <w:pPr>
        <w:rPr>
          <w:sz w:val="24"/>
          <w:szCs w:val="24"/>
        </w:rPr>
      </w:pPr>
      <w:r w:rsidRPr="009C69FE">
        <w:rPr>
          <w:rFonts w:cs="Arial"/>
          <w:sz w:val="24"/>
          <w:szCs w:val="24"/>
        </w:rPr>
        <w:lastRenderedPageBreak/>
        <w:t xml:space="preserve">These </w:t>
      </w:r>
      <w:r w:rsidR="009225CB" w:rsidRPr="009C69FE">
        <w:rPr>
          <w:rFonts w:cs="Arial"/>
          <w:sz w:val="24"/>
          <w:szCs w:val="24"/>
        </w:rPr>
        <w:t xml:space="preserve">practical </w:t>
      </w:r>
      <w:r w:rsidRPr="009C69FE">
        <w:rPr>
          <w:rFonts w:cs="Arial"/>
          <w:sz w:val="24"/>
          <w:szCs w:val="24"/>
        </w:rPr>
        <w:t xml:space="preserve">means for combining modes </w:t>
      </w:r>
      <w:r w:rsidR="009225CB" w:rsidRPr="009C69FE">
        <w:rPr>
          <w:rFonts w:cs="Arial"/>
          <w:sz w:val="24"/>
          <w:szCs w:val="24"/>
        </w:rPr>
        <w:t xml:space="preserve">must be brought together for a particular movement.  The combination may be based on a contract which can involve simply arranging the movement among several operators as might typically be done by a forwarder </w:t>
      </w:r>
      <w:r w:rsidR="00FB742F">
        <w:rPr>
          <w:rFonts w:cs="Arial"/>
          <w:sz w:val="24"/>
          <w:szCs w:val="24"/>
        </w:rPr>
        <w:t xml:space="preserve">(as an agent) </w:t>
      </w:r>
      <w:r w:rsidR="009225CB" w:rsidRPr="009C69FE">
        <w:rPr>
          <w:rFonts w:cs="Arial"/>
          <w:sz w:val="24"/>
          <w:szCs w:val="24"/>
        </w:rPr>
        <w:t xml:space="preserve">on behalf of the shipper.  A further possibility is for several carriers to </w:t>
      </w:r>
      <w:proofErr w:type="gramStart"/>
      <w:r w:rsidR="009225CB" w:rsidRPr="009C69FE">
        <w:rPr>
          <w:rFonts w:cs="Arial"/>
          <w:sz w:val="24"/>
          <w:szCs w:val="24"/>
        </w:rPr>
        <w:t>join together</w:t>
      </w:r>
      <w:proofErr w:type="gramEnd"/>
      <w:r w:rsidR="009225CB" w:rsidRPr="009C69FE">
        <w:rPr>
          <w:rFonts w:cs="Arial"/>
          <w:sz w:val="24"/>
          <w:szCs w:val="24"/>
        </w:rPr>
        <w:t xml:space="preserve"> to provide a service under a form of through contract.  This was common in the 19</w:t>
      </w:r>
      <w:r w:rsidR="009225CB" w:rsidRPr="009C69FE">
        <w:rPr>
          <w:rFonts w:cs="Arial"/>
          <w:sz w:val="24"/>
          <w:szCs w:val="24"/>
          <w:vertAlign w:val="superscript"/>
        </w:rPr>
        <w:t>th</w:t>
      </w:r>
      <w:r w:rsidR="009225CB" w:rsidRPr="009C69FE">
        <w:rPr>
          <w:rFonts w:cs="Arial"/>
          <w:sz w:val="24"/>
          <w:szCs w:val="24"/>
        </w:rPr>
        <w:t xml:space="preserve"> century when railroads and shipowners would combine to provide services from mid-USA to the UK.  The contract involved each carrier taking responsibility only for his own segment (</w:t>
      </w:r>
      <w:proofErr w:type="gramStart"/>
      <w:r w:rsidR="009225CB" w:rsidRPr="009C69FE">
        <w:rPr>
          <w:rFonts w:cs="Arial"/>
          <w:sz w:val="24"/>
          <w:szCs w:val="24"/>
        </w:rPr>
        <w:t>i.e.</w:t>
      </w:r>
      <w:proofErr w:type="gramEnd"/>
      <w:r w:rsidR="009225CB" w:rsidRPr="009C69FE">
        <w:rPr>
          <w:rFonts w:cs="Arial"/>
          <w:sz w:val="24"/>
          <w:szCs w:val="24"/>
        </w:rPr>
        <w:t xml:space="preserve"> segmented responsibility).  Similar contracts were often made in the early days of containerisation to adjust to the need to penetrate inland.  A different type of through contract involved one carrier taking the lead role in organising the transport, being liable for the section performed by him (usually the main section) and then acting as forwarder for further sections of the transport. </w:t>
      </w:r>
    </w:p>
    <w:p w14:paraId="148A29E3" w14:textId="77777777" w:rsidR="002917FD" w:rsidRPr="009C69FE" w:rsidRDefault="00E365B7" w:rsidP="009225CB">
      <w:pPr>
        <w:rPr>
          <w:rFonts w:cs="Arial"/>
          <w:sz w:val="24"/>
          <w:szCs w:val="24"/>
        </w:rPr>
      </w:pPr>
      <w:r w:rsidRPr="009C69FE">
        <w:rPr>
          <w:rFonts w:cs="Arial"/>
          <w:sz w:val="24"/>
          <w:szCs w:val="24"/>
        </w:rPr>
        <w:t>The term m</w:t>
      </w:r>
      <w:r w:rsidR="009225CB" w:rsidRPr="009C69FE">
        <w:rPr>
          <w:rFonts w:cs="Arial"/>
          <w:sz w:val="24"/>
          <w:szCs w:val="24"/>
        </w:rPr>
        <w:t xml:space="preserve">ultimodal transport </w:t>
      </w:r>
      <w:r w:rsidR="00721C31" w:rsidRPr="009C69FE">
        <w:rPr>
          <w:rFonts w:cs="Arial"/>
          <w:sz w:val="24"/>
          <w:szCs w:val="24"/>
        </w:rPr>
        <w:t xml:space="preserve">today </w:t>
      </w:r>
      <w:r w:rsidR="009225CB" w:rsidRPr="009C69FE">
        <w:rPr>
          <w:rFonts w:cs="Arial"/>
          <w:sz w:val="24"/>
          <w:szCs w:val="24"/>
        </w:rPr>
        <w:t>tends to be used to refer to a contract where one pers</w:t>
      </w:r>
      <w:r w:rsidR="002D1B76" w:rsidRPr="009C69FE">
        <w:rPr>
          <w:rFonts w:cs="Arial"/>
          <w:sz w:val="24"/>
          <w:szCs w:val="24"/>
        </w:rPr>
        <w:t xml:space="preserve">on takes on responsibility as a carrier for a </w:t>
      </w:r>
      <w:r w:rsidR="009225CB" w:rsidRPr="009C69FE">
        <w:rPr>
          <w:rFonts w:cs="Arial"/>
          <w:sz w:val="24"/>
          <w:szCs w:val="24"/>
        </w:rPr>
        <w:t>whole movement</w:t>
      </w:r>
      <w:r w:rsidR="002D1B76" w:rsidRPr="009C69FE">
        <w:rPr>
          <w:rFonts w:cs="Arial"/>
          <w:sz w:val="24"/>
          <w:szCs w:val="24"/>
        </w:rPr>
        <w:t xml:space="preserve"> connecting different modes</w:t>
      </w:r>
      <w:r w:rsidR="009225CB" w:rsidRPr="009C69FE">
        <w:rPr>
          <w:rFonts w:cs="Arial"/>
          <w:sz w:val="24"/>
          <w:szCs w:val="24"/>
        </w:rPr>
        <w:t xml:space="preserve">.  This may be either a carrier performing one (usually the main) part of the carriage and taking responsibility for the performance of the rest by other operators or a freight forwarder </w:t>
      </w:r>
      <w:r w:rsidR="00177D5F" w:rsidRPr="009C69FE">
        <w:rPr>
          <w:rFonts w:cs="Arial"/>
          <w:sz w:val="24"/>
          <w:szCs w:val="24"/>
        </w:rPr>
        <w:t xml:space="preserve">or logistics operator </w:t>
      </w:r>
      <w:r w:rsidR="009225CB" w:rsidRPr="009C69FE">
        <w:rPr>
          <w:rFonts w:cs="Arial"/>
          <w:sz w:val="24"/>
          <w:szCs w:val="24"/>
        </w:rPr>
        <w:t>procuring the whole transport by third party performing operators.  Operators fro</w:t>
      </w:r>
      <w:r w:rsidR="00EF3494" w:rsidRPr="009C69FE">
        <w:rPr>
          <w:rFonts w:cs="Arial"/>
          <w:sz w:val="24"/>
          <w:szCs w:val="24"/>
        </w:rPr>
        <w:t xml:space="preserve">m a variety of backgrounds </w:t>
      </w:r>
      <w:r w:rsidR="009225CB" w:rsidRPr="009C69FE">
        <w:rPr>
          <w:rFonts w:cs="Arial"/>
          <w:sz w:val="24"/>
          <w:szCs w:val="24"/>
        </w:rPr>
        <w:t>moved into the provision of multimodal services</w:t>
      </w:r>
      <w:r w:rsidR="00177D5F" w:rsidRPr="009C69FE">
        <w:rPr>
          <w:rFonts w:cs="Arial"/>
          <w:sz w:val="24"/>
          <w:szCs w:val="24"/>
        </w:rPr>
        <w:t xml:space="preserve"> but the main involvement originally was</w:t>
      </w:r>
      <w:r w:rsidR="009225CB" w:rsidRPr="009C69FE">
        <w:rPr>
          <w:rFonts w:cs="Arial"/>
          <w:sz w:val="24"/>
          <w:szCs w:val="24"/>
        </w:rPr>
        <w:t xml:space="preserve"> by shipowners/ship operators on the one hand and forwarders on the other.  </w:t>
      </w:r>
    </w:p>
    <w:p w14:paraId="13759B4C" w14:textId="701CCC13" w:rsidR="009225CB" w:rsidRPr="009C69FE" w:rsidRDefault="009225CB" w:rsidP="009225CB">
      <w:pPr>
        <w:rPr>
          <w:rFonts w:cs="Arial"/>
          <w:sz w:val="24"/>
          <w:szCs w:val="24"/>
        </w:rPr>
      </w:pPr>
      <w:r w:rsidRPr="009C69FE">
        <w:rPr>
          <w:rFonts w:cs="Arial"/>
          <w:sz w:val="24"/>
          <w:szCs w:val="24"/>
        </w:rPr>
        <w:t>This reflects further the fact that there tends to be a rough division at a global level between</w:t>
      </w:r>
      <w:r w:rsidR="00BB468A" w:rsidRPr="009C69FE">
        <w:rPr>
          <w:rFonts w:cs="Arial"/>
          <w:sz w:val="24"/>
          <w:szCs w:val="24"/>
        </w:rPr>
        <w:t xml:space="preserve"> multimodal </w:t>
      </w:r>
      <w:r w:rsidRPr="009C69FE">
        <w:rPr>
          <w:rFonts w:cs="Arial"/>
          <w:sz w:val="24"/>
          <w:szCs w:val="24"/>
        </w:rPr>
        <w:t xml:space="preserve">movements built around carriage by sea and those built around carriage by air.  Movements involving air frequently involve the combination of air and road and have been developed mostly by forwarders, the airlines having </w:t>
      </w:r>
      <w:proofErr w:type="gramStart"/>
      <w:r w:rsidRPr="009C69FE">
        <w:rPr>
          <w:rFonts w:cs="Arial"/>
          <w:sz w:val="24"/>
          <w:szCs w:val="24"/>
        </w:rPr>
        <w:t>had a tendency to</w:t>
      </w:r>
      <w:proofErr w:type="gramEnd"/>
      <w:r w:rsidRPr="009C69FE">
        <w:rPr>
          <w:rFonts w:cs="Arial"/>
          <w:sz w:val="24"/>
          <w:szCs w:val="24"/>
        </w:rPr>
        <w:t xml:space="preserve"> leave distribution of consolidated cargoes largely to them. </w:t>
      </w:r>
      <w:r w:rsidR="00607C6F" w:rsidRPr="009C69FE">
        <w:rPr>
          <w:rFonts w:cs="Arial"/>
          <w:sz w:val="24"/>
          <w:szCs w:val="24"/>
        </w:rPr>
        <w:t xml:space="preserve">In this context forwarders and logistics operators </w:t>
      </w:r>
      <w:r w:rsidR="00794016" w:rsidRPr="009C69FE">
        <w:rPr>
          <w:rFonts w:cs="Arial"/>
          <w:sz w:val="24"/>
          <w:szCs w:val="24"/>
        </w:rPr>
        <w:t>may also</w:t>
      </w:r>
      <w:r w:rsidR="00EF3494" w:rsidRPr="009C69FE">
        <w:rPr>
          <w:rFonts w:cs="Arial"/>
          <w:sz w:val="24"/>
          <w:szCs w:val="24"/>
        </w:rPr>
        <w:t xml:space="preserve"> provide</w:t>
      </w:r>
      <w:r w:rsidR="00607C6F" w:rsidRPr="009C69FE">
        <w:rPr>
          <w:rFonts w:cs="Arial"/>
          <w:sz w:val="24"/>
          <w:szCs w:val="24"/>
        </w:rPr>
        <w:t xml:space="preserve"> combine</w:t>
      </w:r>
      <w:r w:rsidR="00EF3494" w:rsidRPr="009C69FE">
        <w:rPr>
          <w:rFonts w:cs="Arial"/>
          <w:sz w:val="24"/>
          <w:szCs w:val="24"/>
        </w:rPr>
        <w:t>d</w:t>
      </w:r>
      <w:r w:rsidR="00607C6F" w:rsidRPr="009C69FE">
        <w:rPr>
          <w:rFonts w:cs="Arial"/>
          <w:sz w:val="24"/>
          <w:szCs w:val="24"/>
        </w:rPr>
        <w:t xml:space="preserve"> </w:t>
      </w:r>
      <w:r w:rsidR="00EF3494" w:rsidRPr="009C69FE">
        <w:rPr>
          <w:rFonts w:cs="Arial"/>
          <w:sz w:val="24"/>
          <w:szCs w:val="24"/>
        </w:rPr>
        <w:t>air and sea on an ad hoc or sometimes regular service basis</w:t>
      </w:r>
      <w:r w:rsidR="00EC4A74">
        <w:rPr>
          <w:rFonts w:cs="Arial"/>
          <w:sz w:val="24"/>
          <w:szCs w:val="24"/>
        </w:rPr>
        <w:t xml:space="preserve"> (see e.g. </w:t>
      </w:r>
      <w:hyperlink r:id="rId12" w:history="1">
        <w:r w:rsidR="00EC4A74" w:rsidRPr="007973C5">
          <w:rPr>
            <w:rStyle w:val="Hyperlink"/>
            <w:rFonts w:cs="Arial"/>
            <w:sz w:val="24"/>
            <w:szCs w:val="24"/>
          </w:rPr>
          <w:t>https://www.dsv.com/en/our-solutions/modes-of-transport/air-freight/sea-air-freight</w:t>
        </w:r>
      </w:hyperlink>
      <w:r w:rsidR="00EC4A74">
        <w:rPr>
          <w:rFonts w:cs="Arial"/>
          <w:sz w:val="24"/>
          <w:szCs w:val="24"/>
        </w:rPr>
        <w:t>)</w:t>
      </w:r>
      <w:r w:rsidR="00EC4A74" w:rsidRPr="009C69FE">
        <w:rPr>
          <w:rFonts w:cs="Arial"/>
          <w:sz w:val="24"/>
          <w:szCs w:val="24"/>
        </w:rPr>
        <w:t xml:space="preserve">. </w:t>
      </w:r>
      <w:r w:rsidR="00EF3494" w:rsidRPr="009C69FE">
        <w:rPr>
          <w:rFonts w:cs="Arial"/>
          <w:sz w:val="24"/>
          <w:szCs w:val="24"/>
        </w:rPr>
        <w:t xml:space="preserve"> </w:t>
      </w:r>
      <w:r w:rsidR="00794016" w:rsidRPr="009C69FE">
        <w:rPr>
          <w:rFonts w:cs="Arial"/>
          <w:sz w:val="24"/>
          <w:szCs w:val="24"/>
        </w:rPr>
        <w:t xml:space="preserve"> </w:t>
      </w:r>
      <w:proofErr w:type="gramStart"/>
      <w:r w:rsidR="00794016" w:rsidRPr="009C69FE">
        <w:rPr>
          <w:rFonts w:cs="Arial"/>
          <w:sz w:val="24"/>
          <w:szCs w:val="24"/>
        </w:rPr>
        <w:t>Note also</w:t>
      </w:r>
      <w:proofErr w:type="gramEnd"/>
      <w:r w:rsidR="00794016" w:rsidRPr="009C69FE">
        <w:rPr>
          <w:rFonts w:cs="Arial"/>
          <w:sz w:val="24"/>
          <w:szCs w:val="24"/>
        </w:rPr>
        <w:t xml:space="preserve"> the existence of </w:t>
      </w:r>
      <w:r w:rsidRPr="009C69FE">
        <w:rPr>
          <w:rFonts w:cs="Arial"/>
          <w:sz w:val="24"/>
          <w:szCs w:val="24"/>
        </w:rPr>
        <w:t xml:space="preserve">freight integrators common in courier or parcel services (DHL, UPS) </w:t>
      </w:r>
      <w:r w:rsidR="00794016" w:rsidRPr="009C69FE">
        <w:rPr>
          <w:rFonts w:cs="Arial"/>
          <w:sz w:val="24"/>
          <w:szCs w:val="24"/>
        </w:rPr>
        <w:t>who build these services largely</w:t>
      </w:r>
      <w:r w:rsidRPr="009C69FE">
        <w:rPr>
          <w:rFonts w:cs="Arial"/>
          <w:sz w:val="24"/>
          <w:szCs w:val="24"/>
        </w:rPr>
        <w:t xml:space="preserve"> around ownership or control of </w:t>
      </w:r>
      <w:r w:rsidR="00BB468A" w:rsidRPr="009C69FE">
        <w:rPr>
          <w:rFonts w:cs="Arial"/>
          <w:sz w:val="24"/>
          <w:szCs w:val="24"/>
        </w:rPr>
        <w:t>the means of transport</w:t>
      </w:r>
      <w:r w:rsidRPr="009C69FE">
        <w:rPr>
          <w:rFonts w:cs="Arial"/>
          <w:sz w:val="24"/>
          <w:szCs w:val="24"/>
        </w:rPr>
        <w:t>.</w:t>
      </w:r>
      <w:r w:rsidR="00204D87" w:rsidRPr="009C69FE">
        <w:rPr>
          <w:rFonts w:cs="Arial"/>
          <w:sz w:val="24"/>
          <w:szCs w:val="24"/>
        </w:rPr>
        <w:t xml:space="preserve">  </w:t>
      </w:r>
      <w:r w:rsidR="00BB468A" w:rsidRPr="009C69FE">
        <w:rPr>
          <w:rFonts w:cs="Arial"/>
          <w:sz w:val="24"/>
          <w:szCs w:val="24"/>
        </w:rPr>
        <w:t>At the more regional</w:t>
      </w:r>
      <w:r w:rsidR="00E365B7" w:rsidRPr="009C69FE">
        <w:rPr>
          <w:rFonts w:cs="Arial"/>
          <w:sz w:val="24"/>
          <w:szCs w:val="24"/>
        </w:rPr>
        <w:t xml:space="preserve"> </w:t>
      </w:r>
      <w:r w:rsidR="000926B5" w:rsidRPr="009C69FE">
        <w:rPr>
          <w:rFonts w:cs="Arial"/>
          <w:sz w:val="24"/>
          <w:szCs w:val="24"/>
        </w:rPr>
        <w:t xml:space="preserve">or continental </w:t>
      </w:r>
      <w:r w:rsidR="00E365B7" w:rsidRPr="009C69FE">
        <w:rPr>
          <w:rFonts w:cs="Arial"/>
          <w:sz w:val="24"/>
          <w:szCs w:val="24"/>
        </w:rPr>
        <w:t xml:space="preserve">level </w:t>
      </w:r>
      <w:r w:rsidR="00F123A1">
        <w:rPr>
          <w:rFonts w:cs="Arial"/>
          <w:sz w:val="24"/>
          <w:szCs w:val="24"/>
        </w:rPr>
        <w:t>movements often</w:t>
      </w:r>
      <w:r w:rsidR="000926B5" w:rsidRPr="009C69FE">
        <w:rPr>
          <w:rFonts w:cs="Arial"/>
          <w:sz w:val="24"/>
          <w:szCs w:val="24"/>
        </w:rPr>
        <w:t xml:space="preserve"> </w:t>
      </w:r>
      <w:r w:rsidR="00BB468A" w:rsidRPr="009C69FE">
        <w:rPr>
          <w:rFonts w:cs="Arial"/>
          <w:sz w:val="24"/>
          <w:szCs w:val="24"/>
        </w:rPr>
        <w:t xml:space="preserve">road carriage </w:t>
      </w:r>
      <w:r w:rsidR="00F32A6E">
        <w:rPr>
          <w:rFonts w:cs="Arial"/>
          <w:sz w:val="24"/>
          <w:szCs w:val="24"/>
        </w:rPr>
        <w:t xml:space="preserve">is </w:t>
      </w:r>
      <w:r w:rsidR="00BB468A" w:rsidRPr="009C69FE">
        <w:rPr>
          <w:rFonts w:cs="Arial"/>
          <w:sz w:val="24"/>
          <w:szCs w:val="24"/>
        </w:rPr>
        <w:t xml:space="preserve">built around rail or inland </w:t>
      </w:r>
      <w:r w:rsidR="00D32A10" w:rsidRPr="009C69FE">
        <w:rPr>
          <w:rFonts w:cs="Arial"/>
          <w:sz w:val="24"/>
          <w:szCs w:val="24"/>
        </w:rPr>
        <w:t>waterways as well as short sea or short haul air carriage</w:t>
      </w:r>
      <w:r w:rsidR="00E365B7" w:rsidRPr="009C69FE">
        <w:rPr>
          <w:rFonts w:cs="Arial"/>
          <w:sz w:val="24"/>
          <w:szCs w:val="24"/>
        </w:rPr>
        <w:t>.</w:t>
      </w:r>
      <w:r w:rsidR="000926B5" w:rsidRPr="009C69FE">
        <w:rPr>
          <w:rFonts w:cs="Arial"/>
          <w:sz w:val="24"/>
          <w:szCs w:val="24"/>
        </w:rPr>
        <w:t xml:space="preserve"> A road vehicle may be simply used for the movement to and/or from the terminal or carried on the other mode or even lifted on to it (a po</w:t>
      </w:r>
      <w:r w:rsidR="00F123A1">
        <w:rPr>
          <w:rFonts w:cs="Arial"/>
          <w:sz w:val="24"/>
          <w:szCs w:val="24"/>
        </w:rPr>
        <w:t>ssibility also for railway wagons carried on ships)</w:t>
      </w:r>
      <w:r w:rsidR="000926B5" w:rsidRPr="009C69FE">
        <w:rPr>
          <w:rFonts w:cs="Arial"/>
          <w:sz w:val="24"/>
          <w:szCs w:val="24"/>
        </w:rPr>
        <w:t>.</w:t>
      </w:r>
      <w:r w:rsidR="00F32A6E">
        <w:rPr>
          <w:rFonts w:cs="Arial"/>
          <w:sz w:val="24"/>
          <w:szCs w:val="24"/>
        </w:rPr>
        <w:t xml:space="preserve">  See e.g. UIRR services - </w:t>
      </w:r>
      <w:hyperlink r:id="rId13" w:history="1">
        <w:r w:rsidR="00F32A6E" w:rsidRPr="00554C9A">
          <w:rPr>
            <w:rStyle w:val="Hyperlink"/>
            <w:rFonts w:cs="Arial"/>
            <w:sz w:val="24"/>
            <w:szCs w:val="24"/>
          </w:rPr>
          <w:t>http://www.uirr.com/</w:t>
        </w:r>
      </w:hyperlink>
      <w:r w:rsidR="00F32A6E">
        <w:rPr>
          <w:rFonts w:cs="Arial"/>
          <w:sz w:val="24"/>
          <w:szCs w:val="24"/>
        </w:rPr>
        <w:t xml:space="preserve"> </w:t>
      </w:r>
      <w:r w:rsidRPr="009C69FE">
        <w:rPr>
          <w:rFonts w:cs="Arial"/>
          <w:sz w:val="24"/>
          <w:szCs w:val="24"/>
        </w:rPr>
        <w:br/>
      </w:r>
      <w:r w:rsidRPr="009C69FE">
        <w:rPr>
          <w:rFonts w:cs="Arial"/>
          <w:sz w:val="24"/>
          <w:szCs w:val="24"/>
        </w:rPr>
        <w:br/>
        <w:t>In the specific context of container transport different services are built around whether a full container load is to be carried (FCL) or involves a partial load (LCL) and whether transport is door to door, depot to depot or port to</w:t>
      </w:r>
      <w:r w:rsidR="00D70758" w:rsidRPr="009C69FE">
        <w:rPr>
          <w:rFonts w:cs="Arial"/>
          <w:sz w:val="24"/>
          <w:szCs w:val="24"/>
        </w:rPr>
        <w:t xml:space="preserve"> port or some combination.  </w:t>
      </w:r>
    </w:p>
    <w:p w14:paraId="21D35E12" w14:textId="77777777" w:rsidR="009225CB" w:rsidRPr="009C69FE" w:rsidRDefault="00D70758">
      <w:pPr>
        <w:rPr>
          <w:sz w:val="24"/>
          <w:szCs w:val="24"/>
        </w:rPr>
      </w:pPr>
      <w:r w:rsidRPr="009C69FE">
        <w:rPr>
          <w:b/>
          <w:sz w:val="24"/>
          <w:szCs w:val="24"/>
        </w:rPr>
        <w:t>1.3</w:t>
      </w:r>
      <w:r w:rsidRPr="009C69FE">
        <w:rPr>
          <w:sz w:val="24"/>
          <w:szCs w:val="24"/>
        </w:rPr>
        <w:t xml:space="preserve"> </w:t>
      </w:r>
      <w:r w:rsidR="00794016" w:rsidRPr="009C69FE">
        <w:rPr>
          <w:b/>
          <w:sz w:val="24"/>
          <w:szCs w:val="24"/>
        </w:rPr>
        <w:t>Combined transport or multimodal transport? -</w:t>
      </w:r>
      <w:r w:rsidR="00DC1EFA">
        <w:rPr>
          <w:b/>
          <w:sz w:val="24"/>
          <w:szCs w:val="24"/>
        </w:rPr>
        <w:t xml:space="preserve"> A</w:t>
      </w:r>
      <w:r w:rsidR="00C436E2" w:rsidRPr="009C69FE">
        <w:rPr>
          <w:b/>
          <w:sz w:val="24"/>
          <w:szCs w:val="24"/>
        </w:rPr>
        <w:t xml:space="preserve"> quick word on terminology</w:t>
      </w:r>
      <w:r w:rsidR="002D1B76" w:rsidRPr="009C69FE">
        <w:rPr>
          <w:b/>
          <w:sz w:val="24"/>
          <w:szCs w:val="24"/>
        </w:rPr>
        <w:t xml:space="preserve"> </w:t>
      </w:r>
    </w:p>
    <w:p w14:paraId="44CC9980" w14:textId="38864CF7" w:rsidR="002D1B76" w:rsidRPr="009C69FE" w:rsidRDefault="002D1B76" w:rsidP="00111656">
      <w:pPr>
        <w:pStyle w:val="Default"/>
        <w:rPr>
          <w:rFonts w:asciiTheme="minorHAnsi" w:hAnsiTheme="minorHAnsi" w:cs="Arial"/>
        </w:rPr>
      </w:pPr>
      <w:r w:rsidRPr="009C69FE">
        <w:rPr>
          <w:rFonts w:asciiTheme="minorHAnsi" w:hAnsiTheme="minorHAnsi" w:cs="Arial"/>
        </w:rPr>
        <w:t xml:space="preserve">Mode on mode transport is often referred to as combined transport as is also the situation where </w:t>
      </w:r>
      <w:proofErr w:type="gramStart"/>
      <w:r w:rsidRPr="009C69FE">
        <w:rPr>
          <w:rFonts w:asciiTheme="minorHAnsi" w:hAnsiTheme="minorHAnsi" w:cs="Arial"/>
        </w:rPr>
        <w:t>the</w:t>
      </w:r>
      <w:proofErr w:type="gramEnd"/>
      <w:r w:rsidRPr="009C69FE">
        <w:rPr>
          <w:rFonts w:asciiTheme="minorHAnsi" w:hAnsiTheme="minorHAnsi" w:cs="Arial"/>
        </w:rPr>
        <w:t xml:space="preserve"> major part of the transport is by a </w:t>
      </w:r>
      <w:proofErr w:type="spellStart"/>
      <w:r w:rsidRPr="009C69FE">
        <w:rPr>
          <w:rFonts w:asciiTheme="minorHAnsi" w:hAnsiTheme="minorHAnsi" w:cs="Arial"/>
        </w:rPr>
        <w:t>non road</w:t>
      </w:r>
      <w:proofErr w:type="spellEnd"/>
      <w:r w:rsidRPr="009C69FE">
        <w:rPr>
          <w:rFonts w:asciiTheme="minorHAnsi" w:hAnsiTheme="minorHAnsi" w:cs="Arial"/>
        </w:rPr>
        <w:t xml:space="preserve"> mode but involves collection and delivery by road</w:t>
      </w:r>
      <w:r w:rsidR="00735667" w:rsidRPr="009C69FE">
        <w:rPr>
          <w:rFonts w:asciiTheme="minorHAnsi" w:hAnsiTheme="minorHAnsi" w:cs="Arial"/>
        </w:rPr>
        <w:t xml:space="preserve">.  </w:t>
      </w:r>
      <w:r w:rsidR="00EF3494" w:rsidRPr="009C69FE">
        <w:rPr>
          <w:rFonts w:asciiTheme="minorHAnsi" w:hAnsiTheme="minorHAnsi" w:cs="Arial"/>
        </w:rPr>
        <w:t xml:space="preserve">The EU uses this terminology </w:t>
      </w:r>
      <w:r w:rsidR="005D413D" w:rsidRPr="009C69FE">
        <w:rPr>
          <w:rFonts w:asciiTheme="minorHAnsi" w:hAnsiTheme="minorHAnsi" w:cs="Arial"/>
        </w:rPr>
        <w:t xml:space="preserve">in this context </w:t>
      </w:r>
      <w:r w:rsidR="00794016" w:rsidRPr="009C69FE">
        <w:rPr>
          <w:rFonts w:asciiTheme="minorHAnsi" w:hAnsiTheme="minorHAnsi" w:cs="Arial"/>
        </w:rPr>
        <w:t xml:space="preserve">(see e.g. </w:t>
      </w:r>
      <w:r w:rsidR="00111656" w:rsidRPr="009C69FE">
        <w:rPr>
          <w:rFonts w:asciiTheme="minorHAnsi" w:hAnsiTheme="minorHAnsi" w:cs="Arial"/>
        </w:rPr>
        <w:t xml:space="preserve">the Directive on Combined Transport </w:t>
      </w:r>
      <w:r w:rsidR="00111656" w:rsidRPr="009C69FE">
        <w:rPr>
          <w:rFonts w:asciiTheme="minorHAnsi" w:hAnsiTheme="minorHAnsi"/>
        </w:rPr>
        <w:t>92/106/EEC (</w:t>
      </w:r>
      <w:hyperlink r:id="rId14" w:history="1">
        <w:r w:rsidR="00111656" w:rsidRPr="009C69FE">
          <w:rPr>
            <w:rStyle w:val="Hyperlink"/>
            <w:rFonts w:asciiTheme="minorHAnsi" w:hAnsiTheme="minorHAnsi"/>
          </w:rPr>
          <w:t>https://eur-lex.europa.eu/legal-content/EN/TXT/?uri=CELEX:31992L0106</w:t>
        </w:r>
      </w:hyperlink>
      <w:r w:rsidR="00F123A1">
        <w:rPr>
          <w:rFonts w:asciiTheme="minorHAnsi" w:hAnsiTheme="minorHAnsi"/>
        </w:rPr>
        <w:t xml:space="preserve"> - </w:t>
      </w:r>
      <w:r w:rsidR="001E6B06" w:rsidRPr="009C69FE">
        <w:rPr>
          <w:rFonts w:asciiTheme="minorHAnsi" w:hAnsiTheme="minorHAnsi" w:cs="Arial"/>
        </w:rPr>
        <w:t xml:space="preserve">see also </w:t>
      </w:r>
      <w:r w:rsidR="00111656" w:rsidRPr="009C69FE">
        <w:rPr>
          <w:rFonts w:asciiTheme="minorHAnsi" w:hAnsiTheme="minorHAnsi" w:cs="Arial"/>
        </w:rPr>
        <w:t xml:space="preserve"> </w:t>
      </w:r>
      <w:r w:rsidR="00794016" w:rsidRPr="009C69FE">
        <w:rPr>
          <w:rFonts w:asciiTheme="minorHAnsi" w:hAnsiTheme="minorHAnsi" w:cs="Arial"/>
        </w:rPr>
        <w:t xml:space="preserve">Analysis of EU Combined Transport – </w:t>
      </w:r>
      <w:r w:rsidR="00794016" w:rsidRPr="009C69FE">
        <w:rPr>
          <w:rFonts w:asciiTheme="minorHAnsi" w:hAnsiTheme="minorHAnsi" w:cs="Arial"/>
        </w:rPr>
        <w:lastRenderedPageBreak/>
        <w:t xml:space="preserve">Final Report - </w:t>
      </w:r>
      <w:r w:rsidR="00111656" w:rsidRPr="009C69FE">
        <w:rPr>
          <w:rFonts w:asciiTheme="minorHAnsi" w:hAnsiTheme="minorHAnsi" w:cs="Arial"/>
        </w:rPr>
        <w:t>2015</w:t>
      </w:r>
      <w:r w:rsidR="00794016" w:rsidRPr="009C69FE">
        <w:rPr>
          <w:rFonts w:asciiTheme="minorHAnsi" w:hAnsiTheme="minorHAnsi" w:cs="Arial"/>
        </w:rPr>
        <w:t xml:space="preserve"> Study contract No FV355/2012/MOVE/D1/ET</w:t>
      </w:r>
      <w:r w:rsidR="004F5C9E">
        <w:rPr>
          <w:rFonts w:asciiTheme="minorHAnsi" w:hAnsiTheme="minorHAnsi" w:cs="Arial"/>
        </w:rPr>
        <w:t xml:space="preserve">U </w:t>
      </w:r>
      <w:hyperlink r:id="rId15" w:history="1">
        <w:r w:rsidR="00D06E26" w:rsidRPr="007973C5">
          <w:rPr>
            <w:rStyle w:val="Hyperlink"/>
            <w:rFonts w:asciiTheme="minorHAnsi" w:hAnsiTheme="minorHAnsi" w:cs="Arial"/>
          </w:rPr>
          <w:t>https://transport.ec.europa.eu/system/files/2016-09/2015-01-freight-logistics-lot2-combined-transport.pdf</w:t>
        </w:r>
      </w:hyperlink>
      <w:r w:rsidR="00D06E26" w:rsidRPr="009C69FE">
        <w:rPr>
          <w:rFonts w:asciiTheme="minorHAnsi" w:hAnsiTheme="minorHAnsi" w:cs="Arial"/>
        </w:rPr>
        <w:t>)</w:t>
      </w:r>
      <w:r w:rsidR="00766EEB">
        <w:rPr>
          <w:rFonts w:asciiTheme="minorHAnsi" w:hAnsiTheme="minorHAnsi" w:cs="Arial"/>
        </w:rPr>
        <w:t xml:space="preserve"> </w:t>
      </w:r>
      <w:r w:rsidR="001E6B06" w:rsidRPr="009C69FE">
        <w:rPr>
          <w:rFonts w:asciiTheme="minorHAnsi" w:hAnsiTheme="minorHAnsi" w:cs="Arial"/>
        </w:rPr>
        <w:t xml:space="preserve">in regulating and </w:t>
      </w:r>
      <w:r w:rsidR="00EF7A77" w:rsidRPr="009C69FE">
        <w:rPr>
          <w:rFonts w:asciiTheme="minorHAnsi" w:hAnsiTheme="minorHAnsi" w:cs="Arial"/>
        </w:rPr>
        <w:t>promoting CT operations in Europe</w:t>
      </w:r>
      <w:r w:rsidR="00F123A1">
        <w:rPr>
          <w:rFonts w:asciiTheme="minorHAnsi" w:hAnsiTheme="minorHAnsi" w:cs="Arial"/>
        </w:rPr>
        <w:t>.</w:t>
      </w:r>
      <w:r w:rsidR="00EF7A77" w:rsidRPr="009C69FE">
        <w:rPr>
          <w:rFonts w:asciiTheme="minorHAnsi" w:hAnsiTheme="minorHAnsi" w:cs="Arial"/>
        </w:rPr>
        <w:t xml:space="preserve"> </w:t>
      </w:r>
      <w:r w:rsidR="00794016" w:rsidRPr="009C69FE">
        <w:rPr>
          <w:rFonts w:asciiTheme="minorHAnsi" w:hAnsiTheme="minorHAnsi" w:cs="Arial"/>
        </w:rPr>
        <w:t xml:space="preserve"> </w:t>
      </w:r>
      <w:r w:rsidR="005D413D" w:rsidRPr="009C69FE">
        <w:rPr>
          <w:rFonts w:asciiTheme="minorHAnsi" w:hAnsiTheme="minorHAnsi" w:cs="Arial"/>
        </w:rPr>
        <w:t>Consequently</w:t>
      </w:r>
      <w:r w:rsidR="00766EEB">
        <w:rPr>
          <w:rFonts w:asciiTheme="minorHAnsi" w:hAnsiTheme="minorHAnsi" w:cs="Arial"/>
        </w:rPr>
        <w:t>,</w:t>
      </w:r>
      <w:r w:rsidR="005D413D" w:rsidRPr="009C69FE">
        <w:rPr>
          <w:rFonts w:asciiTheme="minorHAnsi" w:hAnsiTheme="minorHAnsi" w:cs="Arial"/>
        </w:rPr>
        <w:t xml:space="preserve"> European </w:t>
      </w:r>
      <w:r w:rsidR="000926B5" w:rsidRPr="009C69FE">
        <w:rPr>
          <w:rFonts w:asciiTheme="minorHAnsi" w:hAnsiTheme="minorHAnsi" w:cs="Arial"/>
        </w:rPr>
        <w:t>road/</w:t>
      </w:r>
      <w:r w:rsidR="005D413D" w:rsidRPr="009C69FE">
        <w:rPr>
          <w:rFonts w:asciiTheme="minorHAnsi" w:hAnsiTheme="minorHAnsi" w:cs="Arial"/>
        </w:rPr>
        <w:t>short-sea move</w:t>
      </w:r>
      <w:r w:rsidR="000926B5" w:rsidRPr="009C69FE">
        <w:rPr>
          <w:rFonts w:asciiTheme="minorHAnsi" w:hAnsiTheme="minorHAnsi" w:cs="Arial"/>
        </w:rPr>
        <w:t>ments and other road combination a</w:t>
      </w:r>
      <w:r w:rsidR="005D413D" w:rsidRPr="009C69FE">
        <w:rPr>
          <w:rFonts w:asciiTheme="minorHAnsi" w:hAnsiTheme="minorHAnsi" w:cs="Arial"/>
        </w:rPr>
        <w:t>re referred to a</w:t>
      </w:r>
      <w:r w:rsidR="00F123A1">
        <w:rPr>
          <w:rFonts w:asciiTheme="minorHAnsi" w:hAnsiTheme="minorHAnsi" w:cs="Arial"/>
        </w:rPr>
        <w:t>s</w:t>
      </w:r>
      <w:r w:rsidR="005D413D" w:rsidRPr="009C69FE">
        <w:rPr>
          <w:rFonts w:asciiTheme="minorHAnsi" w:hAnsiTheme="minorHAnsi" w:cs="Arial"/>
        </w:rPr>
        <w:t xml:space="preserve"> combined transport.</w:t>
      </w:r>
      <w:r w:rsidR="00766EEB">
        <w:rPr>
          <w:rFonts w:asciiTheme="minorHAnsi" w:hAnsiTheme="minorHAnsi" w:cs="Arial"/>
        </w:rPr>
        <w:t xml:space="preserve"> </w:t>
      </w:r>
      <w:r w:rsidR="005D413D" w:rsidRPr="009C69FE">
        <w:rPr>
          <w:rFonts w:asciiTheme="minorHAnsi" w:hAnsiTheme="minorHAnsi" w:cs="Arial"/>
        </w:rPr>
        <w:t xml:space="preserve"> </w:t>
      </w:r>
      <w:proofErr w:type="gramStart"/>
      <w:r w:rsidR="005D413D" w:rsidRPr="009C69FE">
        <w:rPr>
          <w:rFonts w:asciiTheme="minorHAnsi" w:hAnsiTheme="minorHAnsi" w:cs="Arial"/>
        </w:rPr>
        <w:t>However</w:t>
      </w:r>
      <w:proofErr w:type="gramEnd"/>
      <w:r w:rsidR="005D413D" w:rsidRPr="009C69FE">
        <w:rPr>
          <w:rFonts w:asciiTheme="minorHAnsi" w:hAnsiTheme="minorHAnsi" w:cs="Arial"/>
        </w:rPr>
        <w:t xml:space="preserve"> t</w:t>
      </w:r>
      <w:r w:rsidRPr="009C69FE">
        <w:rPr>
          <w:rFonts w:asciiTheme="minorHAnsi" w:hAnsiTheme="minorHAnsi" w:cs="Arial"/>
        </w:rPr>
        <w:t>he term combined transport was also used in the past to refer to what today would usually be referred to as multimodal transport</w:t>
      </w:r>
      <w:r w:rsidR="005D413D" w:rsidRPr="009C69FE">
        <w:rPr>
          <w:rFonts w:asciiTheme="minorHAnsi" w:hAnsiTheme="minorHAnsi" w:cs="Arial"/>
        </w:rPr>
        <w:t>. T</w:t>
      </w:r>
      <w:r w:rsidRPr="009C69FE">
        <w:rPr>
          <w:rFonts w:asciiTheme="minorHAnsi" w:hAnsiTheme="minorHAnsi" w:cs="Arial"/>
        </w:rPr>
        <w:t xml:space="preserve">he change is due to international developments in the attempt to create a global liability regime </w:t>
      </w:r>
      <w:r w:rsidR="002F1974" w:rsidRPr="009C69FE">
        <w:rPr>
          <w:rFonts w:asciiTheme="minorHAnsi" w:hAnsiTheme="minorHAnsi" w:cs="Arial"/>
        </w:rPr>
        <w:t>to be</w:t>
      </w:r>
      <w:r w:rsidR="00735667" w:rsidRPr="009C69FE">
        <w:rPr>
          <w:rFonts w:asciiTheme="minorHAnsi" w:hAnsiTheme="minorHAnsi" w:cs="Arial"/>
        </w:rPr>
        <w:t xml:space="preserve"> </w:t>
      </w:r>
      <w:r w:rsidRPr="009C69FE">
        <w:rPr>
          <w:rFonts w:asciiTheme="minorHAnsi" w:hAnsiTheme="minorHAnsi" w:cs="Arial"/>
        </w:rPr>
        <w:t>considered later.</w:t>
      </w:r>
      <w:r w:rsidR="005D413D" w:rsidRPr="009C69FE">
        <w:rPr>
          <w:rFonts w:asciiTheme="minorHAnsi" w:hAnsiTheme="minorHAnsi" w:cs="Arial"/>
        </w:rPr>
        <w:t xml:space="preserve">  Similar types of service might be called either combined transport or multimodal transport and the documents issued might use either of these terms and be referred to as bill of lading, waybills, consignment note or document (combined transport document/multimodal transport document</w:t>
      </w:r>
      <w:r w:rsidR="00EB05EF" w:rsidRPr="009C69FE">
        <w:rPr>
          <w:rFonts w:asciiTheme="minorHAnsi" w:hAnsiTheme="minorHAnsi" w:cs="Arial"/>
        </w:rPr>
        <w:t>)</w:t>
      </w:r>
      <w:r w:rsidR="005D413D" w:rsidRPr="009C69FE">
        <w:rPr>
          <w:rFonts w:asciiTheme="minorHAnsi" w:hAnsiTheme="minorHAnsi" w:cs="Arial"/>
        </w:rPr>
        <w:t>.  Note finally</w:t>
      </w:r>
      <w:r w:rsidR="00EB05EF" w:rsidRPr="009C69FE">
        <w:rPr>
          <w:rFonts w:asciiTheme="minorHAnsi" w:hAnsiTheme="minorHAnsi" w:cs="Arial"/>
        </w:rPr>
        <w:t xml:space="preserve"> that the term ‘</w:t>
      </w:r>
      <w:r w:rsidR="0058138C" w:rsidRPr="009C69FE">
        <w:rPr>
          <w:rFonts w:asciiTheme="minorHAnsi" w:hAnsiTheme="minorHAnsi" w:cs="Arial"/>
        </w:rPr>
        <w:t>intermodal transport</w:t>
      </w:r>
      <w:r w:rsidR="00EB05EF" w:rsidRPr="009C69FE">
        <w:rPr>
          <w:rFonts w:asciiTheme="minorHAnsi" w:hAnsiTheme="minorHAnsi" w:cs="Arial"/>
        </w:rPr>
        <w:t xml:space="preserve">’ is often </w:t>
      </w:r>
      <w:r w:rsidR="000926B5" w:rsidRPr="009C69FE">
        <w:rPr>
          <w:rFonts w:asciiTheme="minorHAnsi" w:hAnsiTheme="minorHAnsi" w:cs="Arial"/>
        </w:rPr>
        <w:t>used as a further reference to combined/multimodal transport but commonly</w:t>
      </w:r>
      <w:r w:rsidR="00EB05EF" w:rsidRPr="009C69FE">
        <w:rPr>
          <w:rFonts w:asciiTheme="minorHAnsi" w:hAnsiTheme="minorHAnsi" w:cs="Arial"/>
        </w:rPr>
        <w:t xml:space="preserve"> as a reference to the technique of carrying goods in containers or other transport ‘units’</w:t>
      </w:r>
      <w:r w:rsidR="005D413D" w:rsidRPr="009C69FE">
        <w:rPr>
          <w:rFonts w:asciiTheme="minorHAnsi" w:hAnsiTheme="minorHAnsi" w:cs="Arial"/>
        </w:rPr>
        <w:t xml:space="preserve"> </w:t>
      </w:r>
      <w:r w:rsidR="00EB05EF" w:rsidRPr="009C69FE">
        <w:rPr>
          <w:rFonts w:asciiTheme="minorHAnsi" w:hAnsiTheme="minorHAnsi" w:cs="Arial"/>
        </w:rPr>
        <w:t>where there is no handling of the freight itself across modes.</w:t>
      </w:r>
    </w:p>
    <w:p w14:paraId="7829AFD8" w14:textId="77777777" w:rsidR="00AE03C6" w:rsidRPr="009C69FE" w:rsidRDefault="00C54712">
      <w:pPr>
        <w:rPr>
          <w:rFonts w:cs="Arial"/>
          <w:sz w:val="24"/>
          <w:szCs w:val="24"/>
        </w:rPr>
      </w:pPr>
      <w:r w:rsidRPr="009C69FE">
        <w:rPr>
          <w:rFonts w:cs="Arial"/>
          <w:b/>
          <w:sz w:val="24"/>
          <w:szCs w:val="24"/>
        </w:rPr>
        <w:br/>
      </w:r>
      <w:r w:rsidR="00AE03C6" w:rsidRPr="009C69FE">
        <w:rPr>
          <w:rFonts w:cs="Arial"/>
          <w:b/>
          <w:sz w:val="24"/>
          <w:szCs w:val="24"/>
        </w:rPr>
        <w:t>1.4</w:t>
      </w:r>
      <w:r w:rsidR="00AE03C6" w:rsidRPr="009C69FE">
        <w:rPr>
          <w:rFonts w:cs="Arial"/>
          <w:sz w:val="24"/>
          <w:szCs w:val="24"/>
        </w:rPr>
        <w:t xml:space="preserve"> </w:t>
      </w:r>
      <w:r w:rsidR="00AE03C6" w:rsidRPr="009C69FE">
        <w:rPr>
          <w:rFonts w:cs="Arial"/>
          <w:b/>
          <w:sz w:val="24"/>
          <w:szCs w:val="24"/>
        </w:rPr>
        <w:t>The Legal Context</w:t>
      </w:r>
      <w:r w:rsidR="007F609B" w:rsidRPr="009C69FE">
        <w:rPr>
          <w:rFonts w:cs="Arial"/>
          <w:sz w:val="24"/>
          <w:szCs w:val="24"/>
        </w:rPr>
        <w:br/>
      </w:r>
      <w:r w:rsidRPr="009C69FE">
        <w:rPr>
          <w:rFonts w:cs="Arial"/>
          <w:sz w:val="24"/>
          <w:szCs w:val="24"/>
        </w:rPr>
        <w:br/>
      </w:r>
      <w:r w:rsidR="007F609B" w:rsidRPr="009C69FE">
        <w:rPr>
          <w:rFonts w:cs="Arial"/>
          <w:sz w:val="24"/>
          <w:szCs w:val="24"/>
        </w:rPr>
        <w:t xml:space="preserve">Focussing </w:t>
      </w:r>
      <w:r w:rsidR="009B3060" w:rsidRPr="009C69FE">
        <w:rPr>
          <w:rFonts w:cs="Arial"/>
          <w:sz w:val="24"/>
          <w:szCs w:val="24"/>
        </w:rPr>
        <w:t xml:space="preserve">mainly </w:t>
      </w:r>
      <w:r w:rsidR="007F609B" w:rsidRPr="009C69FE">
        <w:rPr>
          <w:rFonts w:cs="Arial"/>
          <w:sz w:val="24"/>
          <w:szCs w:val="24"/>
        </w:rPr>
        <w:t xml:space="preserve">on liability for loss of or damage or delay to goods carried under a contract of carriage </w:t>
      </w:r>
      <w:r w:rsidR="009B3060" w:rsidRPr="009C69FE">
        <w:rPr>
          <w:rFonts w:cs="Arial"/>
          <w:sz w:val="24"/>
          <w:szCs w:val="24"/>
        </w:rPr>
        <w:t xml:space="preserve">(and to a lesser extent </w:t>
      </w:r>
      <w:r w:rsidR="007F609B" w:rsidRPr="009C69FE">
        <w:rPr>
          <w:rFonts w:cs="Arial"/>
          <w:sz w:val="24"/>
          <w:szCs w:val="24"/>
        </w:rPr>
        <w:t>damage caused to the means of transport used for the carriage</w:t>
      </w:r>
      <w:r w:rsidR="009B3060" w:rsidRPr="009C69FE">
        <w:rPr>
          <w:rFonts w:cs="Arial"/>
          <w:sz w:val="24"/>
          <w:szCs w:val="24"/>
        </w:rPr>
        <w:t>)</w:t>
      </w:r>
      <w:r w:rsidR="007F609B" w:rsidRPr="009C69FE">
        <w:rPr>
          <w:rFonts w:cs="Arial"/>
          <w:sz w:val="24"/>
          <w:szCs w:val="24"/>
        </w:rPr>
        <w:t xml:space="preserve"> </w:t>
      </w:r>
      <w:r w:rsidR="00AE03C6" w:rsidRPr="009C69FE">
        <w:rPr>
          <w:rFonts w:cs="Arial"/>
          <w:sz w:val="24"/>
          <w:szCs w:val="24"/>
        </w:rPr>
        <w:t>involves consideratio</w:t>
      </w:r>
      <w:r w:rsidR="007F609B" w:rsidRPr="009C69FE">
        <w:rPr>
          <w:rFonts w:cs="Arial"/>
          <w:sz w:val="24"/>
          <w:szCs w:val="24"/>
        </w:rPr>
        <w:t>n of four</w:t>
      </w:r>
      <w:r w:rsidR="007754C5" w:rsidRPr="009C69FE">
        <w:rPr>
          <w:rFonts w:cs="Arial"/>
          <w:sz w:val="24"/>
          <w:szCs w:val="24"/>
        </w:rPr>
        <w:t xml:space="preserve"> main questions</w:t>
      </w:r>
      <w:r w:rsidR="007F609B" w:rsidRPr="009C69FE">
        <w:rPr>
          <w:rFonts w:cs="Arial"/>
          <w:sz w:val="24"/>
          <w:szCs w:val="24"/>
        </w:rPr>
        <w:t>:</w:t>
      </w:r>
      <w:r w:rsidR="00DC1EFA">
        <w:rPr>
          <w:rFonts w:cs="Arial"/>
          <w:sz w:val="24"/>
          <w:szCs w:val="24"/>
        </w:rPr>
        <w:br/>
      </w:r>
      <w:r w:rsidR="007F609B" w:rsidRPr="009C69FE">
        <w:rPr>
          <w:rFonts w:cs="Arial"/>
          <w:sz w:val="24"/>
          <w:szCs w:val="24"/>
        </w:rPr>
        <w:t>1) What default rules</w:t>
      </w:r>
      <w:r w:rsidR="00AE03C6" w:rsidRPr="009C69FE">
        <w:rPr>
          <w:rFonts w:cs="Arial"/>
          <w:sz w:val="24"/>
          <w:szCs w:val="24"/>
        </w:rPr>
        <w:t xml:space="preserve"> </w:t>
      </w:r>
      <w:r w:rsidR="007F609B" w:rsidRPr="009C69FE">
        <w:rPr>
          <w:rFonts w:cs="Arial"/>
          <w:sz w:val="24"/>
          <w:szCs w:val="24"/>
        </w:rPr>
        <w:t xml:space="preserve">are applicable when suing </w:t>
      </w:r>
      <w:r w:rsidR="007754C5" w:rsidRPr="009C69FE">
        <w:rPr>
          <w:rFonts w:cs="Arial"/>
          <w:sz w:val="24"/>
          <w:szCs w:val="24"/>
        </w:rPr>
        <w:t>a carrier or goods owner in</w:t>
      </w:r>
      <w:r w:rsidR="007F609B" w:rsidRPr="009C69FE">
        <w:rPr>
          <w:rFonts w:cs="Arial"/>
          <w:sz w:val="24"/>
          <w:szCs w:val="24"/>
        </w:rPr>
        <w:t xml:space="preserve"> contract or tort</w:t>
      </w:r>
      <w:r w:rsidR="00E365B7" w:rsidRPr="009C69FE">
        <w:rPr>
          <w:rFonts w:cs="Arial"/>
          <w:sz w:val="24"/>
          <w:szCs w:val="24"/>
        </w:rPr>
        <w:t>/delict</w:t>
      </w:r>
      <w:r w:rsidR="007F609B" w:rsidRPr="009C69FE">
        <w:rPr>
          <w:rFonts w:cs="Arial"/>
          <w:sz w:val="24"/>
          <w:szCs w:val="24"/>
        </w:rPr>
        <w:t xml:space="preserve">? </w:t>
      </w:r>
      <w:r w:rsidR="00E365B7" w:rsidRPr="009C69FE">
        <w:rPr>
          <w:rFonts w:cs="Arial"/>
          <w:sz w:val="24"/>
          <w:szCs w:val="24"/>
        </w:rPr>
        <w:t>This will depend on the national law applicable</w:t>
      </w:r>
      <w:r w:rsidR="00DC1EFA">
        <w:rPr>
          <w:rFonts w:cs="Arial"/>
          <w:sz w:val="24"/>
          <w:szCs w:val="24"/>
        </w:rPr>
        <w:t>;</w:t>
      </w:r>
      <w:r w:rsidR="00DC1EFA">
        <w:rPr>
          <w:rFonts w:cs="Arial"/>
          <w:sz w:val="24"/>
          <w:szCs w:val="24"/>
        </w:rPr>
        <w:br/>
      </w:r>
      <w:r w:rsidR="007F609B" w:rsidRPr="009C69FE">
        <w:rPr>
          <w:rFonts w:cs="Arial"/>
          <w:sz w:val="24"/>
          <w:szCs w:val="24"/>
        </w:rPr>
        <w:t>2)</w:t>
      </w:r>
      <w:r w:rsidR="007754C5" w:rsidRPr="009C69FE">
        <w:rPr>
          <w:rFonts w:cs="Arial"/>
          <w:sz w:val="24"/>
          <w:szCs w:val="24"/>
        </w:rPr>
        <w:t xml:space="preserve"> A</w:t>
      </w:r>
      <w:r w:rsidR="007F609B" w:rsidRPr="009C69FE">
        <w:rPr>
          <w:rFonts w:cs="Arial"/>
          <w:sz w:val="24"/>
          <w:szCs w:val="24"/>
        </w:rPr>
        <w:t xml:space="preserve">re any express terms incorporated into </w:t>
      </w:r>
      <w:r w:rsidR="007754C5" w:rsidRPr="009C69FE">
        <w:rPr>
          <w:rFonts w:cs="Arial"/>
          <w:sz w:val="24"/>
          <w:szCs w:val="24"/>
        </w:rPr>
        <w:t>a</w:t>
      </w:r>
      <w:r w:rsidR="007F609B" w:rsidRPr="009C69FE">
        <w:rPr>
          <w:rFonts w:cs="Arial"/>
          <w:sz w:val="24"/>
          <w:szCs w:val="24"/>
        </w:rPr>
        <w:t xml:space="preserve"> contract</w:t>
      </w:r>
      <w:r w:rsidR="009A6B89" w:rsidRPr="009C69FE">
        <w:rPr>
          <w:rFonts w:cs="Arial"/>
          <w:sz w:val="24"/>
          <w:szCs w:val="24"/>
        </w:rPr>
        <w:t xml:space="preserve"> applicable</w:t>
      </w:r>
      <w:r w:rsidR="007754C5" w:rsidRPr="009C69FE">
        <w:rPr>
          <w:rFonts w:cs="Arial"/>
          <w:sz w:val="24"/>
          <w:szCs w:val="24"/>
        </w:rPr>
        <w:t xml:space="preserve"> to the carrier or goods owner </w:t>
      </w:r>
      <w:r w:rsidR="007F609B" w:rsidRPr="009C69FE">
        <w:rPr>
          <w:rFonts w:cs="Arial"/>
          <w:sz w:val="24"/>
          <w:szCs w:val="24"/>
        </w:rPr>
        <w:t xml:space="preserve">altering or displacing the default </w:t>
      </w:r>
      <w:proofErr w:type="gramStart"/>
      <w:r w:rsidR="007F609B" w:rsidRPr="009C69FE">
        <w:rPr>
          <w:rFonts w:cs="Arial"/>
          <w:sz w:val="24"/>
          <w:szCs w:val="24"/>
        </w:rPr>
        <w:t>rules</w:t>
      </w:r>
      <w:r w:rsidR="007754C5" w:rsidRPr="009C69FE">
        <w:rPr>
          <w:rFonts w:cs="Arial"/>
          <w:sz w:val="24"/>
          <w:szCs w:val="24"/>
        </w:rPr>
        <w:t>?</w:t>
      </w:r>
      <w:r w:rsidR="00DC1EFA">
        <w:rPr>
          <w:rFonts w:cs="Arial"/>
          <w:sz w:val="24"/>
          <w:szCs w:val="24"/>
        </w:rPr>
        <w:t>;</w:t>
      </w:r>
      <w:proofErr w:type="gramEnd"/>
      <w:r w:rsidR="00DC1EFA">
        <w:rPr>
          <w:rFonts w:cs="Arial"/>
          <w:sz w:val="24"/>
          <w:szCs w:val="24"/>
        </w:rPr>
        <w:br/>
      </w:r>
      <w:r w:rsidR="007F609B" w:rsidRPr="009C69FE">
        <w:rPr>
          <w:rFonts w:cs="Arial"/>
          <w:sz w:val="24"/>
          <w:szCs w:val="24"/>
        </w:rPr>
        <w:t xml:space="preserve">3) </w:t>
      </w:r>
      <w:r w:rsidR="007754C5" w:rsidRPr="009C69FE">
        <w:rPr>
          <w:rFonts w:cs="Arial"/>
          <w:sz w:val="24"/>
          <w:szCs w:val="24"/>
        </w:rPr>
        <w:t>Are</w:t>
      </w:r>
      <w:r w:rsidR="007F609B" w:rsidRPr="009C69FE">
        <w:rPr>
          <w:rFonts w:cs="Arial"/>
          <w:sz w:val="24"/>
          <w:szCs w:val="24"/>
        </w:rPr>
        <w:t xml:space="preserve"> there general </w:t>
      </w:r>
      <w:r w:rsidR="007754C5" w:rsidRPr="009C69FE">
        <w:rPr>
          <w:rFonts w:cs="Arial"/>
          <w:sz w:val="24"/>
          <w:szCs w:val="24"/>
        </w:rPr>
        <w:t xml:space="preserve">legal </w:t>
      </w:r>
      <w:r w:rsidR="007F609B" w:rsidRPr="009C69FE">
        <w:rPr>
          <w:rFonts w:cs="Arial"/>
          <w:sz w:val="24"/>
          <w:szCs w:val="24"/>
        </w:rPr>
        <w:t xml:space="preserve">controls </w:t>
      </w:r>
      <w:r w:rsidR="00E365B7" w:rsidRPr="009C69FE">
        <w:rPr>
          <w:rFonts w:cs="Arial"/>
          <w:sz w:val="24"/>
          <w:szCs w:val="24"/>
        </w:rPr>
        <w:t xml:space="preserve">in the national law </w:t>
      </w:r>
      <w:r w:rsidR="007F609B" w:rsidRPr="009C69FE">
        <w:rPr>
          <w:rFonts w:cs="Arial"/>
          <w:sz w:val="24"/>
          <w:szCs w:val="24"/>
        </w:rPr>
        <w:t>governing contract terms espec</w:t>
      </w:r>
      <w:r w:rsidR="007754C5" w:rsidRPr="009C69FE">
        <w:rPr>
          <w:rFonts w:cs="Arial"/>
          <w:sz w:val="24"/>
          <w:szCs w:val="24"/>
        </w:rPr>
        <w:t>ially excl</w:t>
      </w:r>
      <w:r w:rsidR="00DC1EFA">
        <w:rPr>
          <w:rFonts w:cs="Arial"/>
          <w:sz w:val="24"/>
          <w:szCs w:val="24"/>
        </w:rPr>
        <w:t>usion and limitation clauses;</w:t>
      </w:r>
      <w:r w:rsidR="00DC1EFA">
        <w:rPr>
          <w:rFonts w:cs="Arial"/>
          <w:sz w:val="24"/>
          <w:szCs w:val="24"/>
        </w:rPr>
        <w:br/>
      </w:r>
      <w:r w:rsidR="007754C5" w:rsidRPr="009C69FE">
        <w:rPr>
          <w:rFonts w:cs="Arial"/>
          <w:sz w:val="24"/>
          <w:szCs w:val="24"/>
        </w:rPr>
        <w:t>4)</w:t>
      </w:r>
      <w:r w:rsidR="007F609B" w:rsidRPr="009C69FE">
        <w:rPr>
          <w:rFonts w:cs="Arial"/>
          <w:sz w:val="24"/>
          <w:szCs w:val="24"/>
        </w:rPr>
        <w:t xml:space="preserve"> </w:t>
      </w:r>
      <w:r w:rsidR="007754C5" w:rsidRPr="009C69FE">
        <w:rPr>
          <w:rFonts w:cs="Arial"/>
          <w:sz w:val="24"/>
          <w:szCs w:val="24"/>
        </w:rPr>
        <w:t>Are there specific rules of law controlling contract terms relevant to the contract of carriage</w:t>
      </w:r>
      <w:r w:rsidR="000926B5" w:rsidRPr="009C69FE">
        <w:rPr>
          <w:rFonts w:cs="Arial"/>
          <w:sz w:val="24"/>
          <w:szCs w:val="24"/>
        </w:rPr>
        <w:t xml:space="preserve"> and what is their</w:t>
      </w:r>
      <w:r w:rsidR="003C2F80" w:rsidRPr="009C69FE">
        <w:rPr>
          <w:rFonts w:cs="Arial"/>
          <w:sz w:val="24"/>
          <w:szCs w:val="24"/>
        </w:rPr>
        <w:t xml:space="preserve"> nature</w:t>
      </w:r>
      <w:r w:rsidR="000926B5" w:rsidRPr="009C69FE">
        <w:rPr>
          <w:rFonts w:cs="Arial"/>
          <w:sz w:val="24"/>
          <w:szCs w:val="24"/>
        </w:rPr>
        <w:t xml:space="preserve">? - </w:t>
      </w:r>
      <w:r w:rsidR="003C2F80" w:rsidRPr="009C69FE">
        <w:rPr>
          <w:rFonts w:cs="Arial"/>
          <w:sz w:val="24"/>
          <w:szCs w:val="24"/>
        </w:rPr>
        <w:t>These may be rules of national law determined by ordinary rules of conflicts of law or they may be rules of the forum which can apply regardless of what law applies.</w:t>
      </w:r>
      <w:r w:rsidR="00E365B7" w:rsidRPr="009C69FE">
        <w:rPr>
          <w:rFonts w:cs="Arial"/>
          <w:sz w:val="24"/>
          <w:szCs w:val="24"/>
        </w:rPr>
        <w:t xml:space="preserve"> </w:t>
      </w:r>
    </w:p>
    <w:p w14:paraId="724BE455" w14:textId="77777777" w:rsidR="009A6B89" w:rsidRPr="009C69FE" w:rsidRDefault="003C2F80">
      <w:pPr>
        <w:rPr>
          <w:rFonts w:cs="Arial"/>
          <w:sz w:val="24"/>
          <w:szCs w:val="24"/>
        </w:rPr>
      </w:pPr>
      <w:r w:rsidRPr="009C69FE">
        <w:rPr>
          <w:rFonts w:cs="Arial"/>
          <w:sz w:val="24"/>
          <w:szCs w:val="24"/>
        </w:rPr>
        <w:t>Y</w:t>
      </w:r>
      <w:r w:rsidR="007754C5" w:rsidRPr="009C69FE">
        <w:rPr>
          <w:rFonts w:cs="Arial"/>
          <w:sz w:val="24"/>
          <w:szCs w:val="24"/>
        </w:rPr>
        <w:t xml:space="preserve">ou will already have seen with carriage by sea </w:t>
      </w:r>
      <w:r w:rsidRPr="009C69FE">
        <w:rPr>
          <w:rFonts w:cs="Arial"/>
          <w:sz w:val="24"/>
          <w:szCs w:val="24"/>
        </w:rPr>
        <w:t>how different rules apply depending on whether carriage is under a charterparty or bi</w:t>
      </w:r>
      <w:r w:rsidR="000926B5" w:rsidRPr="009C69FE">
        <w:rPr>
          <w:rFonts w:cs="Arial"/>
          <w:sz w:val="24"/>
          <w:szCs w:val="24"/>
        </w:rPr>
        <w:t xml:space="preserve">ll of lading or waybill which can mean that either </w:t>
      </w:r>
      <w:r w:rsidR="006C237B" w:rsidRPr="009C69FE">
        <w:rPr>
          <w:rFonts w:cs="Arial"/>
          <w:sz w:val="24"/>
          <w:szCs w:val="24"/>
        </w:rPr>
        <w:t xml:space="preserve">the common law </w:t>
      </w:r>
      <w:r w:rsidR="00BF7B2D" w:rsidRPr="009C69FE">
        <w:rPr>
          <w:rFonts w:cs="Arial"/>
          <w:sz w:val="24"/>
          <w:szCs w:val="24"/>
        </w:rPr>
        <w:t>applies,</w:t>
      </w:r>
      <w:r w:rsidR="006C237B" w:rsidRPr="009C69FE">
        <w:rPr>
          <w:rFonts w:cs="Arial"/>
          <w:sz w:val="24"/>
          <w:szCs w:val="24"/>
        </w:rPr>
        <w:t xml:space="preserve"> or the</w:t>
      </w:r>
      <w:r w:rsidRPr="009C69FE">
        <w:rPr>
          <w:rFonts w:cs="Arial"/>
          <w:sz w:val="24"/>
          <w:szCs w:val="24"/>
        </w:rPr>
        <w:t xml:space="preserve"> rules base</w:t>
      </w:r>
      <w:r w:rsidR="006C237B" w:rsidRPr="009C69FE">
        <w:rPr>
          <w:rFonts w:cs="Arial"/>
          <w:sz w:val="24"/>
          <w:szCs w:val="24"/>
        </w:rPr>
        <w:t>d on the Hague-Visby Rules</w:t>
      </w:r>
      <w:r w:rsidRPr="009C69FE">
        <w:rPr>
          <w:rFonts w:cs="Arial"/>
          <w:sz w:val="24"/>
          <w:szCs w:val="24"/>
        </w:rPr>
        <w:t xml:space="preserve">.  </w:t>
      </w:r>
      <w:r w:rsidR="000926B5" w:rsidRPr="009C69FE">
        <w:rPr>
          <w:rFonts w:cs="Arial"/>
          <w:sz w:val="24"/>
          <w:szCs w:val="24"/>
        </w:rPr>
        <w:t xml:space="preserve">A similar interaction of common law and </w:t>
      </w:r>
      <w:r w:rsidR="00AF1556" w:rsidRPr="009C69FE">
        <w:rPr>
          <w:rFonts w:cs="Arial"/>
          <w:sz w:val="24"/>
          <w:szCs w:val="24"/>
        </w:rPr>
        <w:t>international rules applies</w:t>
      </w:r>
      <w:r w:rsidR="009A6B89" w:rsidRPr="009C69FE">
        <w:rPr>
          <w:rFonts w:cs="Arial"/>
          <w:sz w:val="24"/>
          <w:szCs w:val="24"/>
        </w:rPr>
        <w:t xml:space="preserve"> equally to road, </w:t>
      </w:r>
      <w:proofErr w:type="gramStart"/>
      <w:r w:rsidR="009A6B89" w:rsidRPr="009C69FE">
        <w:rPr>
          <w:rFonts w:cs="Arial"/>
          <w:sz w:val="24"/>
          <w:szCs w:val="24"/>
        </w:rPr>
        <w:t>rail</w:t>
      </w:r>
      <w:proofErr w:type="gramEnd"/>
      <w:r w:rsidR="009A6B89" w:rsidRPr="009C69FE">
        <w:rPr>
          <w:rFonts w:cs="Arial"/>
          <w:sz w:val="24"/>
          <w:szCs w:val="24"/>
        </w:rPr>
        <w:t xml:space="preserve"> and multimodal carriage.  </w:t>
      </w:r>
      <w:proofErr w:type="gramStart"/>
      <w:r w:rsidR="009A6B89" w:rsidRPr="009C69FE">
        <w:rPr>
          <w:rFonts w:cs="Arial"/>
          <w:sz w:val="24"/>
          <w:szCs w:val="24"/>
        </w:rPr>
        <w:t>In order to</w:t>
      </w:r>
      <w:proofErr w:type="gramEnd"/>
      <w:r w:rsidR="009A6B89" w:rsidRPr="009C69FE">
        <w:rPr>
          <w:rFonts w:cs="Arial"/>
          <w:sz w:val="24"/>
          <w:szCs w:val="24"/>
        </w:rPr>
        <w:t xml:space="preserve"> draw them out fully a brief review of common law rul</w:t>
      </w:r>
      <w:r w:rsidRPr="009C69FE">
        <w:rPr>
          <w:rFonts w:cs="Arial"/>
          <w:sz w:val="24"/>
          <w:szCs w:val="24"/>
        </w:rPr>
        <w:t>es is needed to start with</w:t>
      </w:r>
      <w:r w:rsidR="009A6B89" w:rsidRPr="009C69FE">
        <w:rPr>
          <w:rFonts w:cs="Arial"/>
          <w:sz w:val="24"/>
          <w:szCs w:val="24"/>
        </w:rPr>
        <w:t>.</w:t>
      </w:r>
    </w:p>
    <w:p w14:paraId="64837C40" w14:textId="77777777" w:rsidR="002D1B76" w:rsidRPr="00114C85" w:rsidRDefault="002D1B76">
      <w:pPr>
        <w:rPr>
          <w:rFonts w:cs="Arial"/>
          <w:b/>
          <w:sz w:val="28"/>
          <w:szCs w:val="28"/>
        </w:rPr>
      </w:pPr>
      <w:r w:rsidRPr="00114C85">
        <w:rPr>
          <w:rFonts w:cs="Arial"/>
          <w:b/>
          <w:sz w:val="28"/>
          <w:szCs w:val="28"/>
        </w:rPr>
        <w:t>2</w:t>
      </w:r>
      <w:r w:rsidRPr="00114C85">
        <w:rPr>
          <w:rFonts w:cs="Arial"/>
          <w:sz w:val="28"/>
          <w:szCs w:val="28"/>
        </w:rPr>
        <w:t xml:space="preserve"> </w:t>
      </w:r>
      <w:r w:rsidR="009A6B89" w:rsidRPr="00114C85">
        <w:rPr>
          <w:rFonts w:cs="Arial"/>
          <w:b/>
          <w:sz w:val="28"/>
          <w:szCs w:val="28"/>
        </w:rPr>
        <w:t>Th</w:t>
      </w:r>
      <w:r w:rsidR="003D74DE" w:rsidRPr="00114C85">
        <w:rPr>
          <w:rFonts w:cs="Arial"/>
          <w:b/>
          <w:sz w:val="28"/>
          <w:szCs w:val="28"/>
        </w:rPr>
        <w:t>e C</w:t>
      </w:r>
      <w:r w:rsidR="009A6B89" w:rsidRPr="00114C85">
        <w:rPr>
          <w:rFonts w:cs="Arial"/>
          <w:b/>
          <w:sz w:val="28"/>
          <w:szCs w:val="28"/>
        </w:rPr>
        <w:t>ommon law</w:t>
      </w:r>
    </w:p>
    <w:p w14:paraId="23428855" w14:textId="77777777" w:rsidR="00B5552B" w:rsidRPr="009C69FE" w:rsidRDefault="001238CD">
      <w:pPr>
        <w:rPr>
          <w:rFonts w:cs="Arial"/>
          <w:sz w:val="24"/>
          <w:szCs w:val="24"/>
        </w:rPr>
      </w:pPr>
      <w:r w:rsidRPr="009C69FE">
        <w:rPr>
          <w:rFonts w:cs="Arial"/>
          <w:b/>
          <w:sz w:val="24"/>
          <w:szCs w:val="24"/>
        </w:rPr>
        <w:t>2.1</w:t>
      </w:r>
      <w:r w:rsidRPr="009C69FE">
        <w:rPr>
          <w:rFonts w:cs="Arial"/>
          <w:sz w:val="24"/>
          <w:szCs w:val="24"/>
        </w:rPr>
        <w:t xml:space="preserve"> It is easiest to start with purely </w:t>
      </w:r>
      <w:r w:rsidR="009B3060" w:rsidRPr="009C69FE">
        <w:rPr>
          <w:rFonts w:cs="Arial"/>
          <w:sz w:val="24"/>
          <w:szCs w:val="24"/>
        </w:rPr>
        <w:t xml:space="preserve">UK </w:t>
      </w:r>
      <w:r w:rsidRPr="009C69FE">
        <w:rPr>
          <w:rFonts w:cs="Arial"/>
          <w:sz w:val="24"/>
          <w:szCs w:val="24"/>
        </w:rPr>
        <w:t xml:space="preserve">domestic carriage where there is a </w:t>
      </w:r>
      <w:r w:rsidR="009B3060" w:rsidRPr="009C69FE">
        <w:rPr>
          <w:rFonts w:cs="Arial"/>
          <w:sz w:val="24"/>
          <w:szCs w:val="24"/>
        </w:rPr>
        <w:t xml:space="preserve">single </w:t>
      </w:r>
      <w:r w:rsidRPr="009C69FE">
        <w:rPr>
          <w:rFonts w:cs="Arial"/>
          <w:sz w:val="24"/>
          <w:szCs w:val="24"/>
        </w:rPr>
        <w:t xml:space="preserve">contract </w:t>
      </w:r>
      <w:r w:rsidR="009B3060" w:rsidRPr="009C69FE">
        <w:rPr>
          <w:rFonts w:cs="Arial"/>
          <w:sz w:val="24"/>
          <w:szCs w:val="24"/>
        </w:rPr>
        <w:t>for carriage by road or rail</w:t>
      </w:r>
      <w:r w:rsidR="003C2F80" w:rsidRPr="009C69FE">
        <w:rPr>
          <w:rFonts w:cs="Arial"/>
          <w:sz w:val="24"/>
          <w:szCs w:val="24"/>
        </w:rPr>
        <w:t xml:space="preserve"> involving UK parties</w:t>
      </w:r>
      <w:r w:rsidR="009B3060" w:rsidRPr="009C69FE">
        <w:rPr>
          <w:rFonts w:cs="Arial"/>
          <w:sz w:val="24"/>
          <w:szCs w:val="24"/>
        </w:rPr>
        <w:t xml:space="preserve">.  </w:t>
      </w:r>
      <w:r w:rsidR="002F385D" w:rsidRPr="009C69FE">
        <w:rPr>
          <w:rFonts w:cs="Arial"/>
          <w:sz w:val="24"/>
          <w:szCs w:val="24"/>
        </w:rPr>
        <w:t>Apart from some very minor legislation relevant to the liabili</w:t>
      </w:r>
      <w:r w:rsidR="00DC1EFA">
        <w:rPr>
          <w:rFonts w:cs="Arial"/>
          <w:sz w:val="24"/>
          <w:szCs w:val="24"/>
        </w:rPr>
        <w:t>ty of common carriers by land (</w:t>
      </w:r>
      <w:r w:rsidR="002F385D" w:rsidRPr="009C69FE">
        <w:rPr>
          <w:rFonts w:cs="Arial"/>
          <w:sz w:val="24"/>
          <w:szCs w:val="24"/>
        </w:rPr>
        <w:t xml:space="preserve">the </w:t>
      </w:r>
      <w:r w:rsidR="002F385D" w:rsidRPr="00A14FE9">
        <w:rPr>
          <w:rFonts w:cs="Arial"/>
          <w:b/>
          <w:bCs/>
          <w:sz w:val="24"/>
          <w:szCs w:val="24"/>
        </w:rPr>
        <w:t>Carriers Act 1830</w:t>
      </w:r>
      <w:r w:rsidR="00623DD9">
        <w:rPr>
          <w:rFonts w:cs="Arial"/>
          <w:sz w:val="24"/>
          <w:szCs w:val="24"/>
        </w:rPr>
        <w:t xml:space="preserve">) and provision in Scotland for carrier liability for accidental fire (s.17 of the </w:t>
      </w:r>
      <w:r w:rsidR="00623DD9" w:rsidRPr="00A14FE9">
        <w:rPr>
          <w:rFonts w:cs="Arial"/>
          <w:b/>
          <w:bCs/>
          <w:sz w:val="24"/>
          <w:szCs w:val="24"/>
        </w:rPr>
        <w:t>Mercantile Law (Scotland) Amendment Act 1856</w:t>
      </w:r>
      <w:r w:rsidR="002F385D" w:rsidRPr="00A14FE9">
        <w:rPr>
          <w:rFonts w:cs="Arial"/>
          <w:b/>
          <w:bCs/>
          <w:sz w:val="24"/>
          <w:szCs w:val="24"/>
        </w:rPr>
        <w:t>)</w:t>
      </w:r>
      <w:r w:rsidR="002F385D" w:rsidRPr="009C69FE">
        <w:rPr>
          <w:rFonts w:cs="Arial"/>
          <w:sz w:val="24"/>
          <w:szCs w:val="24"/>
        </w:rPr>
        <w:t xml:space="preserve"> there are no specific statutory rules governing </w:t>
      </w:r>
      <w:r w:rsidR="00766EEB">
        <w:rPr>
          <w:rFonts w:cs="Arial"/>
          <w:sz w:val="24"/>
          <w:szCs w:val="24"/>
        </w:rPr>
        <w:t xml:space="preserve">liability for loss, </w:t>
      </w:r>
      <w:proofErr w:type="gramStart"/>
      <w:r w:rsidR="00766EEB">
        <w:rPr>
          <w:rFonts w:cs="Arial"/>
          <w:sz w:val="24"/>
          <w:szCs w:val="24"/>
        </w:rPr>
        <w:t>damage</w:t>
      </w:r>
      <w:proofErr w:type="gramEnd"/>
      <w:r w:rsidR="00766EEB">
        <w:rPr>
          <w:rFonts w:cs="Arial"/>
          <w:sz w:val="24"/>
          <w:szCs w:val="24"/>
        </w:rPr>
        <w:t xml:space="preserve"> or delay to goods in </w:t>
      </w:r>
      <w:r w:rsidR="002F385D" w:rsidRPr="009C69FE">
        <w:rPr>
          <w:rFonts w:cs="Arial"/>
          <w:sz w:val="24"/>
          <w:szCs w:val="24"/>
        </w:rPr>
        <w:t xml:space="preserve">purely domestic carriage by road and rail.  </w:t>
      </w:r>
      <w:r w:rsidR="00280AEA" w:rsidRPr="009C69FE">
        <w:rPr>
          <w:rFonts w:cs="Arial"/>
          <w:sz w:val="24"/>
          <w:szCs w:val="24"/>
        </w:rPr>
        <w:t>Whil</w:t>
      </w:r>
      <w:r w:rsidR="008F31D2" w:rsidRPr="009C69FE">
        <w:rPr>
          <w:rFonts w:cs="Arial"/>
          <w:sz w:val="24"/>
          <w:szCs w:val="24"/>
        </w:rPr>
        <w:t>st there are d</w:t>
      </w:r>
      <w:r w:rsidR="009B3060" w:rsidRPr="009C69FE">
        <w:rPr>
          <w:rFonts w:cs="Arial"/>
          <w:sz w:val="24"/>
          <w:szCs w:val="24"/>
        </w:rPr>
        <w:t>ifferences between English and Scottish law</w:t>
      </w:r>
      <w:r w:rsidR="008F31D2" w:rsidRPr="009C69FE">
        <w:rPr>
          <w:rFonts w:cs="Arial"/>
          <w:sz w:val="24"/>
          <w:szCs w:val="24"/>
        </w:rPr>
        <w:t xml:space="preserve"> there is</w:t>
      </w:r>
      <w:r w:rsidR="00280AEA" w:rsidRPr="009C69FE">
        <w:rPr>
          <w:rFonts w:cs="Arial"/>
          <w:sz w:val="24"/>
          <w:szCs w:val="24"/>
        </w:rPr>
        <w:t xml:space="preserve"> a rough similarity in that </w:t>
      </w:r>
      <w:r w:rsidR="008F31D2" w:rsidRPr="009C69FE">
        <w:rPr>
          <w:rFonts w:cs="Arial"/>
          <w:sz w:val="24"/>
          <w:szCs w:val="24"/>
        </w:rPr>
        <w:t xml:space="preserve">in both </w:t>
      </w:r>
      <w:r w:rsidR="00280AEA" w:rsidRPr="009C69FE">
        <w:rPr>
          <w:rFonts w:cs="Arial"/>
          <w:sz w:val="24"/>
          <w:szCs w:val="24"/>
        </w:rPr>
        <w:t xml:space="preserve">some carriers take on a strict liability </w:t>
      </w:r>
      <w:r w:rsidR="00735667" w:rsidRPr="009C69FE">
        <w:rPr>
          <w:rFonts w:cs="Arial"/>
          <w:sz w:val="24"/>
          <w:szCs w:val="24"/>
        </w:rPr>
        <w:t xml:space="preserve">as common carriers based on the way they conduct business </w:t>
      </w:r>
      <w:r w:rsidR="00735667" w:rsidRPr="009C69FE">
        <w:rPr>
          <w:rFonts w:cs="Arial"/>
          <w:sz w:val="24"/>
          <w:szCs w:val="24"/>
        </w:rPr>
        <w:lastRenderedPageBreak/>
        <w:t>and others have simply a fault liability. Common carriers hold</w:t>
      </w:r>
      <w:r w:rsidR="00DC1EFA">
        <w:rPr>
          <w:rFonts w:cs="Arial"/>
          <w:sz w:val="24"/>
          <w:szCs w:val="24"/>
        </w:rPr>
        <w:t xml:space="preserve"> themselves out (either by words</w:t>
      </w:r>
      <w:r w:rsidR="00735667" w:rsidRPr="009C69FE">
        <w:rPr>
          <w:rFonts w:cs="Arial"/>
          <w:sz w:val="24"/>
          <w:szCs w:val="24"/>
        </w:rPr>
        <w:t xml:space="preserve"> or their course of business) as prepared to carry for anyone</w:t>
      </w:r>
      <w:r w:rsidR="00280AEA" w:rsidRPr="009C69FE">
        <w:rPr>
          <w:rFonts w:cs="Arial"/>
          <w:sz w:val="24"/>
          <w:szCs w:val="24"/>
        </w:rPr>
        <w:t xml:space="preserve"> </w:t>
      </w:r>
      <w:r w:rsidR="00735667" w:rsidRPr="009C69FE">
        <w:rPr>
          <w:rFonts w:cs="Arial"/>
          <w:sz w:val="24"/>
          <w:szCs w:val="24"/>
        </w:rPr>
        <w:t xml:space="preserve">for a reasonable reward within the parameters of their course of business or as they hold out their business to be.  They are liable for loss or damage to goods unless caused by: Act of God, Queen’s Enemies, Fault </w:t>
      </w:r>
      <w:r w:rsidR="008F31D2" w:rsidRPr="009C69FE">
        <w:rPr>
          <w:rFonts w:cs="Arial"/>
          <w:sz w:val="24"/>
          <w:szCs w:val="24"/>
        </w:rPr>
        <w:t>or</w:t>
      </w:r>
      <w:r w:rsidR="00735667" w:rsidRPr="009C69FE">
        <w:rPr>
          <w:rFonts w:cs="Arial"/>
          <w:sz w:val="24"/>
          <w:szCs w:val="24"/>
        </w:rPr>
        <w:t xml:space="preserve"> Fraud of the Consignor</w:t>
      </w:r>
      <w:r w:rsidR="008F31D2" w:rsidRPr="009C69FE">
        <w:rPr>
          <w:rFonts w:cs="Arial"/>
          <w:sz w:val="24"/>
          <w:szCs w:val="24"/>
        </w:rPr>
        <w:t xml:space="preserve"> and</w:t>
      </w:r>
      <w:r w:rsidR="00735667" w:rsidRPr="009C69FE">
        <w:rPr>
          <w:rFonts w:cs="Arial"/>
          <w:sz w:val="24"/>
          <w:szCs w:val="24"/>
        </w:rPr>
        <w:t xml:space="preserve"> Inherent Vice.  This is similar in carria</w:t>
      </w:r>
      <w:r w:rsidR="006C237B" w:rsidRPr="009C69FE">
        <w:rPr>
          <w:rFonts w:cs="Arial"/>
          <w:sz w:val="24"/>
          <w:szCs w:val="24"/>
        </w:rPr>
        <w:t xml:space="preserve">ge by sea but </w:t>
      </w:r>
      <w:r w:rsidR="008F31D2" w:rsidRPr="009C69FE">
        <w:rPr>
          <w:rFonts w:cs="Arial"/>
          <w:sz w:val="24"/>
          <w:szCs w:val="24"/>
        </w:rPr>
        <w:t xml:space="preserve">there is the possibility of a more extensive </w:t>
      </w:r>
      <w:r w:rsidR="00C93B9D" w:rsidRPr="009C69FE">
        <w:rPr>
          <w:rFonts w:cs="Arial"/>
          <w:sz w:val="24"/>
          <w:szCs w:val="24"/>
        </w:rPr>
        <w:t xml:space="preserve">common law </w:t>
      </w:r>
      <w:r w:rsidR="008F31D2" w:rsidRPr="009C69FE">
        <w:rPr>
          <w:rFonts w:cs="Arial"/>
          <w:sz w:val="24"/>
          <w:szCs w:val="24"/>
        </w:rPr>
        <w:t xml:space="preserve">strict liability in sea carriage </w:t>
      </w:r>
      <w:proofErr w:type="gramStart"/>
      <w:r w:rsidR="008F31D2" w:rsidRPr="009C69FE">
        <w:rPr>
          <w:rFonts w:cs="Arial"/>
          <w:sz w:val="24"/>
          <w:szCs w:val="24"/>
        </w:rPr>
        <w:t xml:space="preserve">due to </w:t>
      </w:r>
      <w:r w:rsidR="00C93B9D" w:rsidRPr="009C69FE">
        <w:rPr>
          <w:rFonts w:cs="Arial"/>
          <w:sz w:val="24"/>
          <w:szCs w:val="24"/>
        </w:rPr>
        <w:t>the fact that</w:t>
      </w:r>
      <w:proofErr w:type="gramEnd"/>
      <w:r w:rsidR="00C93B9D" w:rsidRPr="009C69FE">
        <w:rPr>
          <w:rFonts w:cs="Arial"/>
          <w:sz w:val="24"/>
          <w:szCs w:val="24"/>
        </w:rPr>
        <w:t xml:space="preserve"> </w:t>
      </w:r>
      <w:r w:rsidR="008F31D2" w:rsidRPr="009C69FE">
        <w:rPr>
          <w:rFonts w:cs="Arial"/>
          <w:sz w:val="24"/>
          <w:szCs w:val="24"/>
        </w:rPr>
        <w:t xml:space="preserve">a </w:t>
      </w:r>
      <w:r w:rsidR="00C93B9D" w:rsidRPr="009C69FE">
        <w:rPr>
          <w:rFonts w:cs="Arial"/>
          <w:sz w:val="24"/>
          <w:szCs w:val="24"/>
        </w:rPr>
        <w:t xml:space="preserve">separate </w:t>
      </w:r>
      <w:r w:rsidR="008F31D2" w:rsidRPr="009C69FE">
        <w:rPr>
          <w:rFonts w:cs="Arial"/>
          <w:sz w:val="24"/>
          <w:szCs w:val="24"/>
        </w:rPr>
        <w:t xml:space="preserve">concept of a public carrier </w:t>
      </w:r>
      <w:r w:rsidR="00C93B9D" w:rsidRPr="009C69FE">
        <w:rPr>
          <w:rFonts w:cs="Arial"/>
          <w:sz w:val="24"/>
          <w:szCs w:val="24"/>
        </w:rPr>
        <w:t xml:space="preserve">might exist which </w:t>
      </w:r>
      <w:r w:rsidR="008F31D2" w:rsidRPr="009C69FE">
        <w:rPr>
          <w:rFonts w:cs="Arial"/>
          <w:sz w:val="24"/>
          <w:szCs w:val="24"/>
        </w:rPr>
        <w:t>include</w:t>
      </w:r>
      <w:r w:rsidR="00C93B9D" w:rsidRPr="009C69FE">
        <w:rPr>
          <w:rFonts w:cs="Arial"/>
          <w:sz w:val="24"/>
          <w:szCs w:val="24"/>
        </w:rPr>
        <w:t xml:space="preserve">s </w:t>
      </w:r>
      <w:r w:rsidR="008F31D2" w:rsidRPr="009C69FE">
        <w:rPr>
          <w:rFonts w:cs="Arial"/>
          <w:sz w:val="24"/>
          <w:szCs w:val="24"/>
        </w:rPr>
        <w:t>shipowner</w:t>
      </w:r>
      <w:r w:rsidR="00C93B9D" w:rsidRPr="009C69FE">
        <w:rPr>
          <w:rFonts w:cs="Arial"/>
          <w:sz w:val="24"/>
          <w:szCs w:val="24"/>
        </w:rPr>
        <w:t>s</w:t>
      </w:r>
      <w:r w:rsidR="008F31D2" w:rsidRPr="009C69FE">
        <w:rPr>
          <w:rFonts w:cs="Arial"/>
          <w:sz w:val="24"/>
          <w:szCs w:val="24"/>
        </w:rPr>
        <w:t xml:space="preserve"> and involves a similar liability</w:t>
      </w:r>
      <w:r w:rsidR="006C237B" w:rsidRPr="009C69FE">
        <w:rPr>
          <w:rFonts w:cs="Arial"/>
          <w:sz w:val="24"/>
          <w:szCs w:val="24"/>
        </w:rPr>
        <w:t xml:space="preserve"> (not always acknowledged – see </w:t>
      </w:r>
      <w:proofErr w:type="spellStart"/>
      <w:r w:rsidR="006C237B" w:rsidRPr="009C69FE">
        <w:rPr>
          <w:rFonts w:cs="Arial"/>
          <w:b/>
          <w:sz w:val="24"/>
          <w:szCs w:val="24"/>
        </w:rPr>
        <w:t>Volcafe</w:t>
      </w:r>
      <w:proofErr w:type="spellEnd"/>
      <w:r w:rsidR="006C237B" w:rsidRPr="009C69FE">
        <w:rPr>
          <w:rFonts w:cs="Arial"/>
          <w:b/>
          <w:sz w:val="24"/>
          <w:szCs w:val="24"/>
        </w:rPr>
        <w:t xml:space="preserve"> Ltd v </w:t>
      </w:r>
      <w:proofErr w:type="spellStart"/>
      <w:r w:rsidR="006C237B" w:rsidRPr="009C69FE">
        <w:rPr>
          <w:rFonts w:cs="Arial"/>
          <w:b/>
          <w:sz w:val="24"/>
          <w:szCs w:val="24"/>
        </w:rPr>
        <w:t>Compania</w:t>
      </w:r>
      <w:proofErr w:type="spellEnd"/>
      <w:r w:rsidR="006C237B" w:rsidRPr="009C69FE">
        <w:rPr>
          <w:rFonts w:cs="Arial"/>
          <w:b/>
          <w:sz w:val="24"/>
          <w:szCs w:val="24"/>
        </w:rPr>
        <w:t xml:space="preserve"> Sud Americana de </w:t>
      </w:r>
      <w:proofErr w:type="spellStart"/>
      <w:r w:rsidR="006C237B" w:rsidRPr="009C69FE">
        <w:rPr>
          <w:rFonts w:cs="Arial"/>
          <w:b/>
          <w:sz w:val="24"/>
          <w:szCs w:val="24"/>
        </w:rPr>
        <w:t>Vapores</w:t>
      </w:r>
      <w:proofErr w:type="spellEnd"/>
      <w:r w:rsidR="006C237B" w:rsidRPr="009C69FE">
        <w:rPr>
          <w:rFonts w:cs="Arial"/>
          <w:b/>
          <w:sz w:val="24"/>
          <w:szCs w:val="24"/>
        </w:rPr>
        <w:t xml:space="preserve"> SA</w:t>
      </w:r>
      <w:r w:rsidR="006C237B" w:rsidRPr="009C69FE">
        <w:rPr>
          <w:rFonts w:cs="Arial"/>
          <w:sz w:val="24"/>
          <w:szCs w:val="24"/>
        </w:rPr>
        <w:t xml:space="preserve"> [2019] 1 Lloyd’s Rep. 21)</w:t>
      </w:r>
      <w:r w:rsidR="00AF1556" w:rsidRPr="009C69FE">
        <w:rPr>
          <w:rFonts w:cs="Arial"/>
          <w:sz w:val="24"/>
          <w:szCs w:val="24"/>
        </w:rPr>
        <w:t>.</w:t>
      </w:r>
      <w:r w:rsidR="008F31D2" w:rsidRPr="009C69FE">
        <w:rPr>
          <w:rFonts w:cs="Arial"/>
          <w:sz w:val="24"/>
          <w:szCs w:val="24"/>
        </w:rPr>
        <w:t xml:space="preserve">  This is not the case at least in the English law of land carriage</w:t>
      </w:r>
      <w:r w:rsidR="00B5552B" w:rsidRPr="009C69FE">
        <w:rPr>
          <w:rFonts w:cs="Arial"/>
          <w:sz w:val="24"/>
          <w:szCs w:val="24"/>
        </w:rPr>
        <w:t xml:space="preserve"> (</w:t>
      </w:r>
      <w:r w:rsidR="00B5552B" w:rsidRPr="009C69FE">
        <w:rPr>
          <w:rFonts w:cs="Arial"/>
          <w:b/>
          <w:sz w:val="24"/>
          <w:szCs w:val="24"/>
        </w:rPr>
        <w:t xml:space="preserve">Belfast Ropework </w:t>
      </w:r>
      <w:r w:rsidR="006C237B" w:rsidRPr="009C69FE">
        <w:rPr>
          <w:rFonts w:cs="Arial"/>
          <w:b/>
          <w:sz w:val="24"/>
          <w:szCs w:val="24"/>
        </w:rPr>
        <w:t xml:space="preserve">Co Ltd </w:t>
      </w:r>
      <w:r w:rsidR="00B5552B" w:rsidRPr="009C69FE">
        <w:rPr>
          <w:rFonts w:cs="Arial"/>
          <w:b/>
          <w:sz w:val="24"/>
          <w:szCs w:val="24"/>
        </w:rPr>
        <w:t>v Bushell</w:t>
      </w:r>
      <w:r w:rsidR="006C237B" w:rsidRPr="009C69FE">
        <w:rPr>
          <w:rFonts w:cs="Arial"/>
          <w:sz w:val="24"/>
          <w:szCs w:val="24"/>
        </w:rPr>
        <w:t xml:space="preserve"> [1918] 1 KB 210</w:t>
      </w:r>
      <w:r w:rsidR="00B5552B" w:rsidRPr="009C69FE">
        <w:rPr>
          <w:rFonts w:cs="Arial"/>
          <w:sz w:val="24"/>
          <w:szCs w:val="24"/>
        </w:rPr>
        <w:t>)</w:t>
      </w:r>
      <w:r w:rsidR="008F31D2" w:rsidRPr="009C69FE">
        <w:rPr>
          <w:rFonts w:cs="Arial"/>
          <w:sz w:val="24"/>
          <w:szCs w:val="24"/>
        </w:rPr>
        <w:t>. Carriers who are not common carriers are private carriers and have a liability only in negligence, the standard for which may vary depending upon whether c</w:t>
      </w:r>
      <w:r w:rsidR="00B5552B" w:rsidRPr="009C69FE">
        <w:rPr>
          <w:rFonts w:cs="Arial"/>
          <w:sz w:val="24"/>
          <w:szCs w:val="24"/>
        </w:rPr>
        <w:t>arriage is gratuitous or for re</w:t>
      </w:r>
      <w:r w:rsidR="008F31D2" w:rsidRPr="009C69FE">
        <w:rPr>
          <w:rFonts w:cs="Arial"/>
          <w:sz w:val="24"/>
          <w:szCs w:val="24"/>
        </w:rPr>
        <w:t xml:space="preserve">ward.  </w:t>
      </w:r>
      <w:r w:rsidR="00B5552B" w:rsidRPr="009C69FE">
        <w:rPr>
          <w:rFonts w:cs="Arial"/>
          <w:sz w:val="24"/>
          <w:szCs w:val="24"/>
        </w:rPr>
        <w:t xml:space="preserve">In English law the basis for fault liability is seen as being in bailment once the carrier has taken possession of the goods </w:t>
      </w:r>
      <w:r w:rsidR="006C237B" w:rsidRPr="009C69FE">
        <w:rPr>
          <w:rFonts w:cs="Arial"/>
          <w:sz w:val="24"/>
          <w:szCs w:val="24"/>
        </w:rPr>
        <w:t xml:space="preserve">and </w:t>
      </w:r>
      <w:r w:rsidR="00B5552B" w:rsidRPr="009C69FE">
        <w:rPr>
          <w:rFonts w:cs="Arial"/>
          <w:sz w:val="24"/>
          <w:szCs w:val="24"/>
        </w:rPr>
        <w:t xml:space="preserve">which applies </w:t>
      </w:r>
      <w:proofErr w:type="gramStart"/>
      <w:r w:rsidR="00B5552B" w:rsidRPr="009C69FE">
        <w:rPr>
          <w:rFonts w:cs="Arial"/>
          <w:sz w:val="24"/>
          <w:szCs w:val="24"/>
        </w:rPr>
        <w:t>whether or not</w:t>
      </w:r>
      <w:proofErr w:type="gramEnd"/>
      <w:r w:rsidR="00B5552B" w:rsidRPr="009C69FE">
        <w:rPr>
          <w:rFonts w:cs="Arial"/>
          <w:sz w:val="24"/>
          <w:szCs w:val="24"/>
        </w:rPr>
        <w:t xml:space="preserve"> there is a contract.</w:t>
      </w:r>
      <w:r w:rsidR="00664432" w:rsidRPr="009C69FE">
        <w:rPr>
          <w:rFonts w:cs="Arial"/>
          <w:sz w:val="24"/>
          <w:szCs w:val="24"/>
        </w:rPr>
        <w:t xml:space="preserve"> Unlike carriage by sea there</w:t>
      </w:r>
      <w:r w:rsidR="00452A0C" w:rsidRPr="009C69FE">
        <w:rPr>
          <w:rFonts w:cs="Arial"/>
          <w:sz w:val="24"/>
          <w:szCs w:val="24"/>
        </w:rPr>
        <w:t xml:space="preserve"> seems to be</w:t>
      </w:r>
      <w:r w:rsidR="00664432" w:rsidRPr="009C69FE">
        <w:rPr>
          <w:rFonts w:cs="Arial"/>
          <w:sz w:val="24"/>
          <w:szCs w:val="24"/>
        </w:rPr>
        <w:t xml:space="preserve"> no equivalent to the warranty of seaworthiness (</w:t>
      </w:r>
      <w:proofErr w:type="spellStart"/>
      <w:r w:rsidR="002F6C7E" w:rsidRPr="009C69FE">
        <w:rPr>
          <w:rFonts w:cs="Arial"/>
          <w:b/>
          <w:sz w:val="24"/>
          <w:szCs w:val="24"/>
        </w:rPr>
        <w:t>Readhead</w:t>
      </w:r>
      <w:proofErr w:type="spellEnd"/>
      <w:r w:rsidR="002F6C7E" w:rsidRPr="009C69FE">
        <w:rPr>
          <w:rFonts w:cs="Arial"/>
          <w:b/>
          <w:sz w:val="24"/>
          <w:szCs w:val="24"/>
        </w:rPr>
        <w:t xml:space="preserve"> v Midland Ry</w:t>
      </w:r>
      <w:r w:rsidR="002F6C7E" w:rsidRPr="009C69FE">
        <w:rPr>
          <w:rFonts w:cs="Arial"/>
          <w:sz w:val="24"/>
          <w:szCs w:val="24"/>
        </w:rPr>
        <w:t xml:space="preserve"> (1869) LR 4 QB 379) </w:t>
      </w:r>
      <w:r w:rsidR="00DC1EFA">
        <w:rPr>
          <w:rFonts w:cs="Arial"/>
          <w:sz w:val="24"/>
          <w:szCs w:val="24"/>
        </w:rPr>
        <w:t xml:space="preserve">in land </w:t>
      </w:r>
      <w:proofErr w:type="gramStart"/>
      <w:r w:rsidR="00DC1EFA">
        <w:rPr>
          <w:rFonts w:cs="Arial"/>
          <w:sz w:val="24"/>
          <w:szCs w:val="24"/>
        </w:rPr>
        <w:t>carriage</w:t>
      </w:r>
      <w:proofErr w:type="gramEnd"/>
      <w:r w:rsidR="00DC1EFA">
        <w:rPr>
          <w:rFonts w:cs="Arial"/>
          <w:sz w:val="24"/>
          <w:szCs w:val="24"/>
        </w:rPr>
        <w:t xml:space="preserve"> </w:t>
      </w:r>
      <w:r w:rsidR="00452A0C" w:rsidRPr="009C69FE">
        <w:rPr>
          <w:rFonts w:cs="Arial"/>
          <w:sz w:val="24"/>
          <w:szCs w:val="24"/>
        </w:rPr>
        <w:t>but it seems that the deviation rule may be relevant (</w:t>
      </w:r>
      <w:r w:rsidR="00452A0C" w:rsidRPr="009C69FE">
        <w:rPr>
          <w:rFonts w:cs="Arial"/>
          <w:b/>
          <w:sz w:val="24"/>
          <w:szCs w:val="24"/>
        </w:rPr>
        <w:t>London and North West Railway</w:t>
      </w:r>
      <w:r w:rsidR="00664432" w:rsidRPr="009C69FE">
        <w:rPr>
          <w:rFonts w:cs="Arial"/>
          <w:b/>
          <w:sz w:val="24"/>
          <w:szCs w:val="24"/>
        </w:rPr>
        <w:t xml:space="preserve"> </w:t>
      </w:r>
      <w:r w:rsidR="00452A0C" w:rsidRPr="009C69FE">
        <w:rPr>
          <w:rFonts w:cs="Arial"/>
          <w:b/>
          <w:sz w:val="24"/>
          <w:szCs w:val="24"/>
        </w:rPr>
        <w:t>Co v Neilson</w:t>
      </w:r>
      <w:r w:rsidR="00DC1EFA">
        <w:rPr>
          <w:rFonts w:cs="Arial"/>
          <w:sz w:val="24"/>
          <w:szCs w:val="24"/>
        </w:rPr>
        <w:t xml:space="preserve"> [1922]AC 263) although</w:t>
      </w:r>
      <w:r w:rsidR="00452A0C" w:rsidRPr="009C69FE">
        <w:rPr>
          <w:rFonts w:cs="Arial"/>
          <w:sz w:val="24"/>
          <w:szCs w:val="24"/>
        </w:rPr>
        <w:t xml:space="preserve"> relevant authority is much sparser than in carriage by sea.</w:t>
      </w:r>
    </w:p>
    <w:p w14:paraId="4A74D9A1" w14:textId="77777777" w:rsidR="00B5552B" w:rsidRPr="009C69FE" w:rsidRDefault="00C436E2">
      <w:pPr>
        <w:rPr>
          <w:rFonts w:cs="Arial"/>
          <w:sz w:val="24"/>
          <w:szCs w:val="24"/>
        </w:rPr>
      </w:pPr>
      <w:r w:rsidRPr="009C69FE">
        <w:rPr>
          <w:rFonts w:cs="Arial"/>
          <w:b/>
          <w:sz w:val="24"/>
          <w:szCs w:val="24"/>
        </w:rPr>
        <w:t>2.2</w:t>
      </w:r>
      <w:r w:rsidR="007B0946" w:rsidRPr="009C69FE">
        <w:rPr>
          <w:rFonts w:cs="Arial"/>
          <w:sz w:val="24"/>
          <w:szCs w:val="24"/>
        </w:rPr>
        <w:t xml:space="preserve"> </w:t>
      </w:r>
      <w:r w:rsidR="0023729C" w:rsidRPr="009C69FE">
        <w:rPr>
          <w:rFonts w:cs="Arial"/>
          <w:sz w:val="24"/>
          <w:szCs w:val="24"/>
        </w:rPr>
        <w:t>Due to</w:t>
      </w:r>
      <w:r w:rsidR="00B5552B" w:rsidRPr="009C69FE">
        <w:rPr>
          <w:rFonts w:cs="Arial"/>
          <w:sz w:val="24"/>
          <w:szCs w:val="24"/>
        </w:rPr>
        <w:t xml:space="preserve"> modern statutory exclusion</w:t>
      </w:r>
      <w:r w:rsidR="0023729C" w:rsidRPr="009C69FE">
        <w:rPr>
          <w:rFonts w:cs="Arial"/>
          <w:sz w:val="24"/>
          <w:szCs w:val="24"/>
        </w:rPr>
        <w:t xml:space="preserve">s </w:t>
      </w:r>
      <w:proofErr w:type="gramStart"/>
      <w:r w:rsidR="0023729C" w:rsidRPr="009C69FE">
        <w:rPr>
          <w:rFonts w:cs="Arial"/>
          <w:sz w:val="24"/>
          <w:szCs w:val="24"/>
        </w:rPr>
        <w:t>e.g.</w:t>
      </w:r>
      <w:proofErr w:type="gramEnd"/>
      <w:r w:rsidR="00EA7D7D" w:rsidRPr="009C69FE">
        <w:rPr>
          <w:rFonts w:cs="Arial"/>
          <w:sz w:val="24"/>
          <w:szCs w:val="24"/>
        </w:rPr>
        <w:t xml:space="preserve"> </w:t>
      </w:r>
      <w:r w:rsidR="00A14FE9">
        <w:rPr>
          <w:rFonts w:cs="Arial"/>
          <w:sz w:val="24"/>
          <w:szCs w:val="24"/>
        </w:rPr>
        <w:t>r</w:t>
      </w:r>
      <w:r w:rsidR="00B5552B" w:rsidRPr="009C69FE">
        <w:rPr>
          <w:rFonts w:cs="Arial"/>
          <w:sz w:val="24"/>
          <w:szCs w:val="24"/>
        </w:rPr>
        <w:t xml:space="preserve">ail carriage </w:t>
      </w:r>
      <w:r w:rsidR="00810242" w:rsidRPr="009C69FE">
        <w:rPr>
          <w:rFonts w:cs="Arial"/>
          <w:sz w:val="24"/>
          <w:szCs w:val="24"/>
        </w:rPr>
        <w:t>(</w:t>
      </w:r>
      <w:r w:rsidR="00810242" w:rsidRPr="00A14FE9">
        <w:rPr>
          <w:rFonts w:cs="Arial"/>
          <w:b/>
          <w:bCs/>
          <w:sz w:val="24"/>
          <w:szCs w:val="24"/>
        </w:rPr>
        <w:t>Railways Act</w:t>
      </w:r>
      <w:r w:rsidR="0027498E" w:rsidRPr="00A14FE9">
        <w:rPr>
          <w:rFonts w:cs="Arial"/>
          <w:b/>
          <w:bCs/>
          <w:sz w:val="24"/>
          <w:szCs w:val="24"/>
        </w:rPr>
        <w:t xml:space="preserve"> 1993</w:t>
      </w:r>
      <w:r w:rsidR="0027498E" w:rsidRPr="009C69FE">
        <w:rPr>
          <w:rFonts w:cs="Arial"/>
          <w:sz w:val="24"/>
          <w:szCs w:val="24"/>
        </w:rPr>
        <w:t xml:space="preserve"> s.123</w:t>
      </w:r>
      <w:r w:rsidR="00810242" w:rsidRPr="009C69FE">
        <w:rPr>
          <w:rFonts w:cs="Arial"/>
          <w:sz w:val="24"/>
          <w:szCs w:val="24"/>
        </w:rPr>
        <w:t xml:space="preserve">) </w:t>
      </w:r>
      <w:r w:rsidR="00B5552B" w:rsidRPr="009C69FE">
        <w:rPr>
          <w:rFonts w:cs="Arial"/>
          <w:sz w:val="24"/>
          <w:szCs w:val="24"/>
        </w:rPr>
        <w:t xml:space="preserve">and practical features of much modern road carriage there are few common carriers today so that strict liability is no longer the usual </w:t>
      </w:r>
      <w:r w:rsidR="00DC1EFA">
        <w:rPr>
          <w:rFonts w:cs="Arial"/>
          <w:sz w:val="24"/>
          <w:szCs w:val="24"/>
        </w:rPr>
        <w:t xml:space="preserve">default </w:t>
      </w:r>
      <w:r w:rsidR="00B5552B" w:rsidRPr="009C69FE">
        <w:rPr>
          <w:rFonts w:cs="Arial"/>
          <w:sz w:val="24"/>
          <w:szCs w:val="24"/>
        </w:rPr>
        <w:t>basis of liability.  Liability for fa</w:t>
      </w:r>
      <w:r w:rsidR="00DC1EFA">
        <w:rPr>
          <w:rFonts w:cs="Arial"/>
          <w:sz w:val="24"/>
          <w:szCs w:val="24"/>
        </w:rPr>
        <w:t xml:space="preserve">ult is the normal basis </w:t>
      </w:r>
      <w:r w:rsidR="00B5552B" w:rsidRPr="009C69FE">
        <w:rPr>
          <w:rFonts w:cs="Arial"/>
          <w:sz w:val="24"/>
          <w:szCs w:val="24"/>
        </w:rPr>
        <w:t xml:space="preserve">for loss </w:t>
      </w:r>
      <w:r w:rsidR="00DC1EFA">
        <w:rPr>
          <w:rFonts w:cs="Arial"/>
          <w:sz w:val="24"/>
          <w:szCs w:val="24"/>
        </w:rPr>
        <w:t xml:space="preserve">or </w:t>
      </w:r>
      <w:r w:rsidR="00B5552B" w:rsidRPr="009C69FE">
        <w:rPr>
          <w:rFonts w:cs="Arial"/>
          <w:sz w:val="24"/>
          <w:szCs w:val="24"/>
        </w:rPr>
        <w:t>da</w:t>
      </w:r>
      <w:r w:rsidR="00DC1EFA">
        <w:rPr>
          <w:rFonts w:cs="Arial"/>
          <w:sz w:val="24"/>
          <w:szCs w:val="24"/>
        </w:rPr>
        <w:t>mage</w:t>
      </w:r>
      <w:r w:rsidR="00B5552B" w:rsidRPr="009C69FE">
        <w:rPr>
          <w:rFonts w:cs="Arial"/>
          <w:sz w:val="24"/>
          <w:szCs w:val="24"/>
        </w:rPr>
        <w:t xml:space="preserve">.  As regards delay there is no difference anyway since all carriers only have a basic liability where the delay is due to fault although stricter liability may apply where the contract of carriage guarantees a time of delivery. </w:t>
      </w:r>
    </w:p>
    <w:p w14:paraId="7FCDCA87" w14:textId="17186A4C" w:rsidR="0023729C" w:rsidRPr="009C69FE" w:rsidRDefault="007B0946">
      <w:pPr>
        <w:rPr>
          <w:rFonts w:cs="Arial"/>
          <w:sz w:val="24"/>
          <w:szCs w:val="24"/>
        </w:rPr>
      </w:pPr>
      <w:r w:rsidRPr="009C69FE">
        <w:rPr>
          <w:rFonts w:cs="Arial"/>
          <w:b/>
          <w:sz w:val="24"/>
          <w:szCs w:val="24"/>
        </w:rPr>
        <w:t>2.3</w:t>
      </w:r>
      <w:r w:rsidRPr="009C69FE">
        <w:rPr>
          <w:rFonts w:cs="Arial"/>
          <w:sz w:val="24"/>
          <w:szCs w:val="24"/>
        </w:rPr>
        <w:t xml:space="preserve"> </w:t>
      </w:r>
      <w:r w:rsidR="00B5552B" w:rsidRPr="009C69FE">
        <w:rPr>
          <w:rFonts w:cs="Arial"/>
          <w:sz w:val="24"/>
          <w:szCs w:val="24"/>
        </w:rPr>
        <w:t xml:space="preserve">Most carriers contract on trading conditions </w:t>
      </w:r>
      <w:r w:rsidR="0023729C" w:rsidRPr="009C69FE">
        <w:rPr>
          <w:rFonts w:cs="Arial"/>
          <w:sz w:val="24"/>
          <w:szCs w:val="24"/>
        </w:rPr>
        <w:t xml:space="preserve">which alter the basis of liability and limit the amount </w:t>
      </w:r>
      <w:r w:rsidR="00C93B9D" w:rsidRPr="009C69FE">
        <w:rPr>
          <w:rFonts w:cs="Arial"/>
          <w:sz w:val="24"/>
          <w:szCs w:val="24"/>
        </w:rPr>
        <w:t xml:space="preserve">of </w:t>
      </w:r>
      <w:r w:rsidR="0023729C" w:rsidRPr="009C69FE">
        <w:rPr>
          <w:rFonts w:cs="Arial"/>
          <w:sz w:val="24"/>
          <w:szCs w:val="24"/>
        </w:rPr>
        <w:t>compensation</w:t>
      </w:r>
      <w:r w:rsidR="00C93B9D" w:rsidRPr="009C69FE">
        <w:rPr>
          <w:rFonts w:cs="Arial"/>
          <w:sz w:val="24"/>
          <w:szCs w:val="24"/>
        </w:rPr>
        <w:t xml:space="preserve"> (</w:t>
      </w:r>
      <w:proofErr w:type="gramStart"/>
      <w:r w:rsidR="00C93B9D" w:rsidRPr="009C69FE">
        <w:rPr>
          <w:rFonts w:cs="Arial"/>
          <w:sz w:val="24"/>
          <w:szCs w:val="24"/>
        </w:rPr>
        <w:t>e.g.</w:t>
      </w:r>
      <w:proofErr w:type="gramEnd"/>
      <w:r w:rsidR="00C93B9D" w:rsidRPr="009C69FE">
        <w:rPr>
          <w:rFonts w:cs="Arial"/>
          <w:sz w:val="24"/>
          <w:szCs w:val="24"/>
        </w:rPr>
        <w:t xml:space="preserve"> Road Haulage Association Conditions</w:t>
      </w:r>
      <w:r w:rsidR="00EA7D7D" w:rsidRPr="009C69FE">
        <w:rPr>
          <w:rFonts w:cs="Arial"/>
          <w:sz w:val="24"/>
          <w:szCs w:val="24"/>
        </w:rPr>
        <w:t xml:space="preserve"> 20</w:t>
      </w:r>
      <w:r w:rsidR="001D5F39">
        <w:rPr>
          <w:rFonts w:cs="Arial"/>
          <w:sz w:val="24"/>
          <w:szCs w:val="24"/>
        </w:rPr>
        <w:t>20</w:t>
      </w:r>
      <w:r w:rsidR="00C93B9D" w:rsidRPr="009C69FE">
        <w:rPr>
          <w:rFonts w:cs="Arial"/>
          <w:sz w:val="24"/>
          <w:szCs w:val="24"/>
        </w:rPr>
        <w:t>, DB Cargo UK</w:t>
      </w:r>
      <w:r w:rsidR="00C436E2" w:rsidRPr="009C69FE">
        <w:rPr>
          <w:rFonts w:cs="Arial"/>
          <w:sz w:val="24"/>
          <w:szCs w:val="24"/>
        </w:rPr>
        <w:t xml:space="preserve"> </w:t>
      </w:r>
      <w:r w:rsidR="00EA7D7D" w:rsidRPr="009C69FE">
        <w:rPr>
          <w:rFonts w:cs="Arial"/>
          <w:sz w:val="24"/>
          <w:szCs w:val="24"/>
        </w:rPr>
        <w:t>2018</w:t>
      </w:r>
      <w:r w:rsidR="00C93B9D" w:rsidRPr="009C69FE">
        <w:rPr>
          <w:rFonts w:cs="Arial"/>
          <w:sz w:val="24"/>
          <w:szCs w:val="24"/>
        </w:rPr>
        <w:t>)</w:t>
      </w:r>
      <w:r w:rsidR="0023729C" w:rsidRPr="009C69FE">
        <w:rPr>
          <w:rFonts w:cs="Arial"/>
          <w:sz w:val="24"/>
          <w:szCs w:val="24"/>
        </w:rPr>
        <w:t xml:space="preserve">. </w:t>
      </w:r>
      <w:r w:rsidR="009B3060" w:rsidRPr="009C69FE">
        <w:rPr>
          <w:rFonts w:cs="Arial"/>
          <w:sz w:val="24"/>
          <w:szCs w:val="24"/>
        </w:rPr>
        <w:t xml:space="preserve">It is these conditions which really differentiate the modes since the default rules are </w:t>
      </w:r>
      <w:r w:rsidR="00DC1EFA">
        <w:rPr>
          <w:rFonts w:cs="Arial"/>
          <w:sz w:val="24"/>
          <w:szCs w:val="24"/>
        </w:rPr>
        <w:t xml:space="preserve">fundamentally </w:t>
      </w:r>
      <w:r w:rsidR="009B3060" w:rsidRPr="009C69FE">
        <w:rPr>
          <w:rFonts w:cs="Arial"/>
          <w:sz w:val="24"/>
          <w:szCs w:val="24"/>
        </w:rPr>
        <w:t>the same regardless of mode (unlike</w:t>
      </w:r>
      <w:r w:rsidR="00F85C53" w:rsidRPr="009C69FE">
        <w:rPr>
          <w:rFonts w:cs="Arial"/>
          <w:sz w:val="24"/>
          <w:szCs w:val="24"/>
        </w:rPr>
        <w:t xml:space="preserve"> domestic </w:t>
      </w:r>
      <w:r w:rsidR="009B3060" w:rsidRPr="009C69FE">
        <w:rPr>
          <w:rFonts w:cs="Arial"/>
          <w:sz w:val="24"/>
          <w:szCs w:val="24"/>
        </w:rPr>
        <w:t xml:space="preserve">carriage by air </w:t>
      </w:r>
      <w:r w:rsidR="00F85C53" w:rsidRPr="009C69FE">
        <w:rPr>
          <w:rFonts w:cs="Arial"/>
          <w:sz w:val="24"/>
          <w:szCs w:val="24"/>
        </w:rPr>
        <w:t xml:space="preserve">which is largely governed by statutory rules </w:t>
      </w:r>
      <w:r w:rsidR="009B3060" w:rsidRPr="009C69FE">
        <w:rPr>
          <w:rFonts w:cs="Arial"/>
          <w:sz w:val="24"/>
          <w:szCs w:val="24"/>
        </w:rPr>
        <w:t>(</w:t>
      </w:r>
      <w:r w:rsidR="00F85C53" w:rsidRPr="009C69FE">
        <w:rPr>
          <w:rFonts w:cs="Arial"/>
          <w:sz w:val="24"/>
          <w:szCs w:val="24"/>
        </w:rPr>
        <w:t>see</w:t>
      </w:r>
      <w:r w:rsidR="00EA7D7D" w:rsidRPr="009C69FE">
        <w:rPr>
          <w:rFonts w:cs="Arial"/>
          <w:sz w:val="24"/>
          <w:szCs w:val="24"/>
        </w:rPr>
        <w:t xml:space="preserve"> the </w:t>
      </w:r>
      <w:r w:rsidR="00EA7D7D" w:rsidRPr="00A14FE9">
        <w:rPr>
          <w:rFonts w:cs="Arial"/>
          <w:b/>
          <w:bCs/>
          <w:sz w:val="24"/>
          <w:szCs w:val="24"/>
        </w:rPr>
        <w:t>Carriage by Air Acts (Application of Provisions) Order 2004 (SI 2004/1899</w:t>
      </w:r>
      <w:r w:rsidR="00F85C53" w:rsidRPr="009C69FE">
        <w:rPr>
          <w:rFonts w:cs="Arial"/>
          <w:sz w:val="24"/>
          <w:szCs w:val="24"/>
        </w:rPr>
        <w:t>)</w:t>
      </w:r>
      <w:r w:rsidR="00EA7D7D" w:rsidRPr="009C69FE">
        <w:rPr>
          <w:rFonts w:cs="Arial"/>
          <w:sz w:val="24"/>
          <w:szCs w:val="24"/>
        </w:rPr>
        <w:t xml:space="preserve"> which applies an amended version of the </w:t>
      </w:r>
      <w:r w:rsidR="00EA7D7D" w:rsidRPr="00A14FE9">
        <w:rPr>
          <w:rFonts w:cs="Arial"/>
          <w:b/>
          <w:bCs/>
          <w:sz w:val="24"/>
          <w:szCs w:val="24"/>
        </w:rPr>
        <w:t>Montreal Convention 1999</w:t>
      </w:r>
      <w:r w:rsidR="00EA7D7D" w:rsidRPr="009C69FE">
        <w:rPr>
          <w:rFonts w:cs="Arial"/>
          <w:sz w:val="24"/>
          <w:szCs w:val="24"/>
        </w:rPr>
        <w:t xml:space="preserve"> to domestic flights)</w:t>
      </w:r>
      <w:r w:rsidR="00F85C53" w:rsidRPr="009C69FE">
        <w:rPr>
          <w:rFonts w:cs="Arial"/>
          <w:sz w:val="24"/>
          <w:szCs w:val="24"/>
        </w:rPr>
        <w:t>.</w:t>
      </w:r>
      <w:r w:rsidR="0023729C" w:rsidRPr="009C69FE">
        <w:rPr>
          <w:rFonts w:cs="Arial"/>
          <w:sz w:val="24"/>
          <w:szCs w:val="24"/>
        </w:rPr>
        <w:t xml:space="preserve"> These </w:t>
      </w:r>
      <w:r w:rsidR="002F385D" w:rsidRPr="009C69FE">
        <w:rPr>
          <w:rFonts w:cs="Arial"/>
          <w:sz w:val="24"/>
          <w:szCs w:val="24"/>
        </w:rPr>
        <w:t xml:space="preserve">contracts </w:t>
      </w:r>
      <w:r w:rsidR="0023729C" w:rsidRPr="009C69FE">
        <w:rPr>
          <w:rFonts w:cs="Arial"/>
          <w:sz w:val="24"/>
          <w:szCs w:val="24"/>
        </w:rPr>
        <w:t>are subject to the usual common law rules requiring them to be effectively</w:t>
      </w:r>
      <w:r w:rsidR="00DC1EFA">
        <w:rPr>
          <w:rFonts w:cs="Arial"/>
          <w:sz w:val="24"/>
          <w:szCs w:val="24"/>
        </w:rPr>
        <w:t xml:space="preserve"> incorporated and to clearly</w:t>
      </w:r>
      <w:r w:rsidR="0023729C" w:rsidRPr="009C69FE">
        <w:rPr>
          <w:rFonts w:cs="Arial"/>
          <w:sz w:val="24"/>
          <w:szCs w:val="24"/>
        </w:rPr>
        <w:t xml:space="preserve"> cover the loss, </w:t>
      </w:r>
      <w:proofErr w:type="gramStart"/>
      <w:r w:rsidR="002F385D" w:rsidRPr="009C69FE">
        <w:rPr>
          <w:rFonts w:cs="Arial"/>
          <w:sz w:val="24"/>
          <w:szCs w:val="24"/>
        </w:rPr>
        <w:t>damage</w:t>
      </w:r>
      <w:proofErr w:type="gramEnd"/>
      <w:r w:rsidR="002F385D" w:rsidRPr="009C69FE">
        <w:rPr>
          <w:rFonts w:cs="Arial"/>
          <w:sz w:val="24"/>
          <w:szCs w:val="24"/>
        </w:rPr>
        <w:t xml:space="preserve"> or </w:t>
      </w:r>
      <w:r w:rsidR="0023729C" w:rsidRPr="009C69FE">
        <w:rPr>
          <w:rFonts w:cs="Arial"/>
          <w:sz w:val="24"/>
          <w:szCs w:val="24"/>
        </w:rPr>
        <w:t xml:space="preserve">delay.  They are also subject to the </w:t>
      </w:r>
      <w:r w:rsidR="0023729C" w:rsidRPr="00A14FE9">
        <w:rPr>
          <w:rFonts w:cs="Arial"/>
          <w:b/>
          <w:bCs/>
          <w:sz w:val="24"/>
          <w:szCs w:val="24"/>
        </w:rPr>
        <w:t>Unfair Contract Terms Act 1977</w:t>
      </w:r>
      <w:r w:rsidR="0023729C" w:rsidRPr="009C69FE">
        <w:rPr>
          <w:rFonts w:cs="Arial"/>
          <w:sz w:val="24"/>
          <w:szCs w:val="24"/>
        </w:rPr>
        <w:t xml:space="preserve"> in B2B contracts and the Consumer Rights Act in B2C.  In B2B contracts most carriage contracts by road and rail are likely to be subject to the requirement of reasonableness laid down in the 1977 Act.  Where there is relative equality of bargaining power the courts are likely to be cautious in interfering with the division of risk set out in such contra</w:t>
      </w:r>
      <w:r w:rsidR="00EA7D7D" w:rsidRPr="009C69FE">
        <w:rPr>
          <w:rFonts w:cs="Arial"/>
          <w:sz w:val="24"/>
          <w:szCs w:val="24"/>
        </w:rPr>
        <w:t xml:space="preserve">cts.  A good </w:t>
      </w:r>
      <w:proofErr w:type="gramStart"/>
      <w:r w:rsidR="00EA7D7D" w:rsidRPr="009C69FE">
        <w:rPr>
          <w:rFonts w:cs="Arial"/>
          <w:sz w:val="24"/>
          <w:szCs w:val="24"/>
        </w:rPr>
        <w:t>e.g.</w:t>
      </w:r>
      <w:proofErr w:type="gramEnd"/>
      <w:r w:rsidR="00EA7D7D" w:rsidRPr="009C69FE">
        <w:rPr>
          <w:rFonts w:cs="Arial"/>
          <w:sz w:val="24"/>
          <w:szCs w:val="24"/>
        </w:rPr>
        <w:t xml:space="preserve"> is </w:t>
      </w:r>
      <w:r w:rsidR="00EA7D7D" w:rsidRPr="009C69FE">
        <w:rPr>
          <w:rFonts w:cs="Arial"/>
          <w:b/>
          <w:sz w:val="24"/>
          <w:szCs w:val="24"/>
        </w:rPr>
        <w:t xml:space="preserve">Frans Maas (UK) Ltd v Samsung Electronics (UK) Ltd </w:t>
      </w:r>
      <w:r w:rsidR="00EA7D7D" w:rsidRPr="009C69FE">
        <w:rPr>
          <w:rFonts w:cs="Arial"/>
          <w:sz w:val="24"/>
          <w:szCs w:val="24"/>
        </w:rPr>
        <w:t xml:space="preserve">[2004] 2 Lloyd’s Rep </w:t>
      </w:r>
      <w:r w:rsidR="00453C0A" w:rsidRPr="009C69FE">
        <w:rPr>
          <w:rFonts w:cs="Arial"/>
          <w:sz w:val="24"/>
          <w:szCs w:val="24"/>
        </w:rPr>
        <w:t>251.</w:t>
      </w:r>
      <w:r w:rsidR="00EA7D7D" w:rsidRPr="009C69FE">
        <w:rPr>
          <w:rFonts w:cs="Arial"/>
          <w:sz w:val="24"/>
          <w:szCs w:val="24"/>
        </w:rPr>
        <w:t xml:space="preserve"> </w:t>
      </w:r>
    </w:p>
    <w:p w14:paraId="14DFA378" w14:textId="77777777" w:rsidR="00B536A3" w:rsidRPr="009C69FE" w:rsidRDefault="007B0946">
      <w:pPr>
        <w:rPr>
          <w:rFonts w:cs="Arial"/>
          <w:sz w:val="24"/>
          <w:szCs w:val="24"/>
        </w:rPr>
      </w:pPr>
      <w:r w:rsidRPr="009C69FE">
        <w:rPr>
          <w:rFonts w:cs="Arial"/>
          <w:b/>
          <w:sz w:val="24"/>
          <w:szCs w:val="24"/>
        </w:rPr>
        <w:t>2.4</w:t>
      </w:r>
      <w:r w:rsidRPr="009C69FE">
        <w:rPr>
          <w:rFonts w:cs="Arial"/>
          <w:sz w:val="24"/>
          <w:szCs w:val="24"/>
        </w:rPr>
        <w:t xml:space="preserve"> </w:t>
      </w:r>
      <w:r w:rsidR="0023729C" w:rsidRPr="009C69FE">
        <w:rPr>
          <w:rFonts w:cs="Arial"/>
          <w:sz w:val="24"/>
          <w:szCs w:val="24"/>
        </w:rPr>
        <w:t xml:space="preserve">Where no contract exists between the parties this may either be </w:t>
      </w:r>
      <w:proofErr w:type="gramStart"/>
      <w:r w:rsidR="0023729C" w:rsidRPr="009C69FE">
        <w:rPr>
          <w:rFonts w:cs="Arial"/>
          <w:sz w:val="24"/>
          <w:szCs w:val="24"/>
        </w:rPr>
        <w:t>due to the fact tha</w:t>
      </w:r>
      <w:r w:rsidR="000B7843" w:rsidRPr="009C69FE">
        <w:rPr>
          <w:rFonts w:cs="Arial"/>
          <w:sz w:val="24"/>
          <w:szCs w:val="24"/>
        </w:rPr>
        <w:t>t</w:t>
      </w:r>
      <w:proofErr w:type="gramEnd"/>
      <w:r w:rsidR="000B7843" w:rsidRPr="009C69FE">
        <w:rPr>
          <w:rFonts w:cs="Arial"/>
          <w:sz w:val="24"/>
          <w:szCs w:val="24"/>
        </w:rPr>
        <w:t xml:space="preserve"> the</w:t>
      </w:r>
      <w:r w:rsidR="0023729C" w:rsidRPr="009C69FE">
        <w:rPr>
          <w:rFonts w:cs="Arial"/>
          <w:sz w:val="24"/>
          <w:szCs w:val="24"/>
        </w:rPr>
        <w:t xml:space="preserve"> carriage is </w:t>
      </w:r>
      <w:r w:rsidR="000B7843" w:rsidRPr="009C69FE">
        <w:rPr>
          <w:rFonts w:cs="Arial"/>
          <w:sz w:val="24"/>
          <w:szCs w:val="24"/>
        </w:rPr>
        <w:t xml:space="preserve">gratuitous or because of a lack of privity of contract.  The latter is most likely to occur in subcontract situations.  A contracting carrier might subcontract the whole or part of a movement of goods to another carrier or store the goods in a warehouse at some point.  Here there will be no privity of contract between the </w:t>
      </w:r>
      <w:proofErr w:type="spellStart"/>
      <w:r w:rsidR="000B7843" w:rsidRPr="009C69FE">
        <w:rPr>
          <w:rFonts w:cs="Arial"/>
          <w:sz w:val="24"/>
          <w:szCs w:val="24"/>
        </w:rPr>
        <w:t>sub contractor</w:t>
      </w:r>
      <w:proofErr w:type="spellEnd"/>
      <w:r w:rsidR="000B7843" w:rsidRPr="009C69FE">
        <w:rPr>
          <w:rFonts w:cs="Arial"/>
          <w:sz w:val="24"/>
          <w:szCs w:val="24"/>
        </w:rPr>
        <w:t xml:space="preserve"> and his contractor’s customer. The absence of privity is no barrier to liability however since once a subcontractor takes possession of the goods there is fault liability in bailment for loss or damage.  It is </w:t>
      </w:r>
      <w:r w:rsidR="000B7843" w:rsidRPr="009C69FE">
        <w:rPr>
          <w:rFonts w:cs="Arial"/>
          <w:sz w:val="24"/>
          <w:szCs w:val="24"/>
        </w:rPr>
        <w:lastRenderedPageBreak/>
        <w:t xml:space="preserve">common therefore for the original contractor </w:t>
      </w:r>
      <w:r w:rsidR="00853E26" w:rsidRPr="009C69FE">
        <w:rPr>
          <w:rFonts w:cs="Arial"/>
          <w:sz w:val="24"/>
          <w:szCs w:val="24"/>
        </w:rPr>
        <w:t xml:space="preserve">(‘Head Carriers’) </w:t>
      </w:r>
      <w:r w:rsidR="000B7843" w:rsidRPr="009C69FE">
        <w:rPr>
          <w:rFonts w:cs="Arial"/>
          <w:sz w:val="24"/>
          <w:szCs w:val="24"/>
        </w:rPr>
        <w:t>to use clauses in the trading conditions to provide protection for their employees and subcontractors such as Himalaya or indemnity clauses.  Alternatively</w:t>
      </w:r>
      <w:r w:rsidR="00866762">
        <w:rPr>
          <w:rFonts w:cs="Arial"/>
          <w:sz w:val="24"/>
          <w:szCs w:val="24"/>
        </w:rPr>
        <w:t>,</w:t>
      </w:r>
      <w:r w:rsidR="000B7843" w:rsidRPr="009C69FE">
        <w:rPr>
          <w:rFonts w:cs="Arial"/>
          <w:sz w:val="24"/>
          <w:szCs w:val="24"/>
        </w:rPr>
        <w:t xml:space="preserve"> the subcontractor may be able to rely on the concept of bailment on terms whereby there can be reliance on the subcontractor</w:t>
      </w:r>
      <w:r w:rsidR="00866762">
        <w:rPr>
          <w:rFonts w:cs="Arial"/>
          <w:sz w:val="24"/>
          <w:szCs w:val="24"/>
        </w:rPr>
        <w:t>’</w:t>
      </w:r>
      <w:r w:rsidR="000B7843" w:rsidRPr="009C69FE">
        <w:rPr>
          <w:rFonts w:cs="Arial"/>
          <w:sz w:val="24"/>
          <w:szCs w:val="24"/>
        </w:rPr>
        <w:t xml:space="preserve">s own terms </w:t>
      </w:r>
      <w:r w:rsidR="00B536A3" w:rsidRPr="009C69FE">
        <w:rPr>
          <w:rFonts w:cs="Arial"/>
          <w:sz w:val="24"/>
          <w:szCs w:val="24"/>
        </w:rPr>
        <w:t xml:space="preserve">where the contractor’s customer is found to expressly or impliedly authorised a subcontract bailment </w:t>
      </w:r>
      <w:proofErr w:type="gramStart"/>
      <w:r w:rsidR="00B536A3" w:rsidRPr="009C69FE">
        <w:rPr>
          <w:rFonts w:cs="Arial"/>
          <w:sz w:val="24"/>
          <w:szCs w:val="24"/>
        </w:rPr>
        <w:t>on the basis of</w:t>
      </w:r>
      <w:proofErr w:type="gramEnd"/>
      <w:r w:rsidR="00B536A3" w:rsidRPr="009C69FE">
        <w:rPr>
          <w:rFonts w:cs="Arial"/>
          <w:sz w:val="24"/>
          <w:szCs w:val="24"/>
        </w:rPr>
        <w:t xml:space="preserve"> such terms.  The leading case on this is </w:t>
      </w:r>
      <w:r w:rsidR="00453C0A" w:rsidRPr="009C69FE">
        <w:rPr>
          <w:rFonts w:cs="Arial"/>
          <w:sz w:val="24"/>
          <w:szCs w:val="24"/>
        </w:rPr>
        <w:t xml:space="preserve">Privy Council decision in </w:t>
      </w:r>
      <w:r w:rsidR="00453C0A" w:rsidRPr="009C69FE">
        <w:rPr>
          <w:rFonts w:cs="Arial"/>
          <w:b/>
          <w:sz w:val="24"/>
          <w:szCs w:val="24"/>
        </w:rPr>
        <w:t xml:space="preserve">The </w:t>
      </w:r>
      <w:r w:rsidR="00B536A3" w:rsidRPr="009C69FE">
        <w:rPr>
          <w:rFonts w:cs="Arial"/>
          <w:b/>
          <w:sz w:val="24"/>
          <w:szCs w:val="24"/>
        </w:rPr>
        <w:t>Pioneer Container</w:t>
      </w:r>
      <w:r w:rsidR="00A14FE9">
        <w:rPr>
          <w:rFonts w:cs="Arial"/>
          <w:sz w:val="24"/>
          <w:szCs w:val="24"/>
        </w:rPr>
        <w:t xml:space="preserve"> </w:t>
      </w:r>
      <w:r w:rsidR="00453C0A" w:rsidRPr="009C69FE">
        <w:rPr>
          <w:rFonts w:cs="Arial"/>
          <w:sz w:val="24"/>
          <w:szCs w:val="24"/>
        </w:rPr>
        <w:t>[1994] 2 AC 324</w:t>
      </w:r>
      <w:r w:rsidR="00B536A3" w:rsidRPr="009C69FE">
        <w:rPr>
          <w:rFonts w:cs="Arial"/>
          <w:sz w:val="24"/>
          <w:szCs w:val="24"/>
        </w:rPr>
        <w:t>.</w:t>
      </w:r>
    </w:p>
    <w:p w14:paraId="628EE0F9" w14:textId="77777777" w:rsidR="00280AEA" w:rsidRPr="009C69FE" w:rsidRDefault="007B0946">
      <w:pPr>
        <w:rPr>
          <w:rFonts w:cs="Arial"/>
          <w:sz w:val="24"/>
          <w:szCs w:val="24"/>
        </w:rPr>
      </w:pPr>
      <w:r w:rsidRPr="009C69FE">
        <w:rPr>
          <w:rFonts w:cs="Arial"/>
          <w:b/>
          <w:sz w:val="24"/>
          <w:szCs w:val="24"/>
        </w:rPr>
        <w:t>2.5</w:t>
      </w:r>
      <w:r w:rsidRPr="009C69FE">
        <w:rPr>
          <w:rFonts w:cs="Arial"/>
          <w:sz w:val="24"/>
          <w:szCs w:val="24"/>
        </w:rPr>
        <w:t xml:space="preserve"> </w:t>
      </w:r>
      <w:r w:rsidR="00B536A3" w:rsidRPr="009C69FE">
        <w:rPr>
          <w:rFonts w:cs="Arial"/>
          <w:sz w:val="24"/>
          <w:szCs w:val="24"/>
        </w:rPr>
        <w:t>A further aspect of liability reflects the responsibility of the goods interest.  At common law all modes of carriage are subject to the consignor’s warranty of fitness.  This is the duty to inform a carrier</w:t>
      </w:r>
      <w:r w:rsidR="00853E26" w:rsidRPr="009C69FE">
        <w:rPr>
          <w:rFonts w:cs="Arial"/>
          <w:sz w:val="24"/>
          <w:szCs w:val="24"/>
        </w:rPr>
        <w:t xml:space="preserve"> </w:t>
      </w:r>
      <w:r w:rsidR="00B536A3" w:rsidRPr="009C69FE">
        <w:rPr>
          <w:rFonts w:cs="Arial"/>
          <w:sz w:val="24"/>
          <w:szCs w:val="24"/>
        </w:rPr>
        <w:t xml:space="preserve">if any dangerous goods are involved </w:t>
      </w:r>
      <w:r w:rsidR="00853E26" w:rsidRPr="009C69FE">
        <w:rPr>
          <w:rFonts w:cs="Arial"/>
          <w:sz w:val="24"/>
          <w:szCs w:val="24"/>
        </w:rPr>
        <w:t xml:space="preserve">and to give the carrier sufficient information to ensure the safety of the carriage.  Liability for this is strict and it does not matter if the consignor (who might be a freight forwarder or head carrier) is not aware </w:t>
      </w:r>
      <w:r w:rsidR="00453C0A" w:rsidRPr="009C69FE">
        <w:rPr>
          <w:rFonts w:cs="Arial"/>
          <w:sz w:val="24"/>
          <w:szCs w:val="24"/>
        </w:rPr>
        <w:t>of the nature of the goods (</w:t>
      </w:r>
      <w:r w:rsidR="00453C0A" w:rsidRPr="009C69FE">
        <w:rPr>
          <w:rFonts w:cs="Arial"/>
          <w:b/>
          <w:sz w:val="24"/>
          <w:szCs w:val="24"/>
        </w:rPr>
        <w:t xml:space="preserve">Brass v Maitland </w:t>
      </w:r>
      <w:r w:rsidR="00453C0A" w:rsidRPr="009C69FE">
        <w:rPr>
          <w:rFonts w:cs="Arial"/>
          <w:sz w:val="24"/>
          <w:szCs w:val="24"/>
        </w:rPr>
        <w:t>(1856</w:t>
      </w:r>
      <w:r w:rsidR="00853E26" w:rsidRPr="009C69FE">
        <w:rPr>
          <w:rFonts w:cs="Arial"/>
          <w:sz w:val="24"/>
          <w:szCs w:val="24"/>
        </w:rPr>
        <w:t>)</w:t>
      </w:r>
      <w:r w:rsidR="00453C0A" w:rsidRPr="009C69FE">
        <w:rPr>
          <w:rFonts w:cs="Arial"/>
          <w:sz w:val="24"/>
          <w:szCs w:val="24"/>
        </w:rPr>
        <w:t xml:space="preserve"> 119 E.R. 940)</w:t>
      </w:r>
      <w:r w:rsidR="00B536A3" w:rsidRPr="009C69FE">
        <w:rPr>
          <w:rFonts w:cs="Arial"/>
          <w:sz w:val="24"/>
          <w:szCs w:val="24"/>
        </w:rPr>
        <w:t>.</w:t>
      </w:r>
      <w:r w:rsidR="00853E26" w:rsidRPr="009C69FE">
        <w:rPr>
          <w:rFonts w:cs="Arial"/>
          <w:sz w:val="24"/>
          <w:szCs w:val="24"/>
        </w:rPr>
        <w:t xml:space="preserve"> Where the goods are not dangerous there can be liability in negligence if goods are not properly packed </w:t>
      </w:r>
      <w:r w:rsidR="00453C0A" w:rsidRPr="009C69FE">
        <w:rPr>
          <w:rFonts w:cs="Arial"/>
          <w:sz w:val="24"/>
          <w:szCs w:val="24"/>
        </w:rPr>
        <w:t xml:space="preserve">or </w:t>
      </w:r>
      <w:r w:rsidR="00853E26" w:rsidRPr="009C69FE">
        <w:rPr>
          <w:rFonts w:cs="Arial"/>
          <w:sz w:val="24"/>
          <w:szCs w:val="24"/>
        </w:rPr>
        <w:t>presented to the carrier in such a way that they cause injury or damage in transit.</w:t>
      </w:r>
    </w:p>
    <w:p w14:paraId="1E599B02" w14:textId="340EB87B" w:rsidR="00BC7714" w:rsidRPr="009C69FE" w:rsidRDefault="007B0946" w:rsidP="007728E8">
      <w:pPr>
        <w:rPr>
          <w:rFonts w:cs="Arial"/>
          <w:b/>
          <w:sz w:val="24"/>
          <w:szCs w:val="24"/>
        </w:rPr>
      </w:pPr>
      <w:r w:rsidRPr="009C69FE">
        <w:rPr>
          <w:rFonts w:cs="Arial"/>
          <w:b/>
          <w:sz w:val="24"/>
          <w:szCs w:val="24"/>
        </w:rPr>
        <w:t>2.6</w:t>
      </w:r>
      <w:r w:rsidR="00F85C53" w:rsidRPr="009C69FE">
        <w:rPr>
          <w:rFonts w:cs="Arial"/>
          <w:sz w:val="24"/>
          <w:szCs w:val="24"/>
        </w:rPr>
        <w:t xml:space="preserve"> </w:t>
      </w:r>
      <w:r w:rsidR="008A19A3" w:rsidRPr="009C69FE">
        <w:rPr>
          <w:rFonts w:cs="Arial"/>
          <w:sz w:val="24"/>
          <w:szCs w:val="24"/>
        </w:rPr>
        <w:t xml:space="preserve">Where </w:t>
      </w:r>
      <w:r w:rsidR="004E5D53" w:rsidRPr="009C69FE">
        <w:rPr>
          <w:rFonts w:cs="Arial"/>
          <w:sz w:val="24"/>
          <w:szCs w:val="24"/>
        </w:rPr>
        <w:t xml:space="preserve">a contract for </w:t>
      </w:r>
      <w:r w:rsidR="008A19A3" w:rsidRPr="009C69FE">
        <w:rPr>
          <w:rFonts w:cs="Arial"/>
          <w:sz w:val="24"/>
          <w:szCs w:val="24"/>
        </w:rPr>
        <w:t>international carriage by road or rail is involved it is more likely that rules based on an international convention adopted by the UK will apply.  These displace the common law on issues</w:t>
      </w:r>
      <w:r w:rsidR="00453C0A" w:rsidRPr="009C69FE">
        <w:rPr>
          <w:rFonts w:cs="Arial"/>
          <w:sz w:val="24"/>
          <w:szCs w:val="24"/>
        </w:rPr>
        <w:t xml:space="preserve"> falling within their scope </w:t>
      </w:r>
      <w:r w:rsidR="008A19A3" w:rsidRPr="009C69FE">
        <w:rPr>
          <w:rFonts w:cs="Arial"/>
          <w:sz w:val="24"/>
          <w:szCs w:val="24"/>
        </w:rPr>
        <w:t>except insofar as they permit parties to depart from the rules.  Where they don’t apply then the domestic principles noted above apply unless the law of a different country is applicable.  However</w:t>
      </w:r>
      <w:r w:rsidR="00A14FE9">
        <w:rPr>
          <w:rFonts w:cs="Arial"/>
          <w:sz w:val="24"/>
          <w:szCs w:val="24"/>
        </w:rPr>
        <w:t>,</w:t>
      </w:r>
      <w:r w:rsidR="008A19A3" w:rsidRPr="009C69FE">
        <w:rPr>
          <w:rFonts w:cs="Arial"/>
          <w:sz w:val="24"/>
          <w:szCs w:val="24"/>
        </w:rPr>
        <w:t xml:space="preserve"> we must keep in mind </w:t>
      </w:r>
      <w:r w:rsidR="00B536A3" w:rsidRPr="009C69FE">
        <w:rPr>
          <w:rFonts w:cs="Arial"/>
          <w:sz w:val="24"/>
          <w:szCs w:val="24"/>
        </w:rPr>
        <w:t xml:space="preserve">that domestic </w:t>
      </w:r>
      <w:r w:rsidR="00853E26" w:rsidRPr="009C69FE">
        <w:rPr>
          <w:rFonts w:cs="Arial"/>
          <w:sz w:val="24"/>
          <w:szCs w:val="24"/>
        </w:rPr>
        <w:t xml:space="preserve">road and rail </w:t>
      </w:r>
      <w:r w:rsidR="00B536A3" w:rsidRPr="009C69FE">
        <w:rPr>
          <w:rFonts w:cs="Arial"/>
          <w:sz w:val="24"/>
          <w:szCs w:val="24"/>
        </w:rPr>
        <w:t xml:space="preserve">carriage </w:t>
      </w:r>
      <w:r w:rsidR="00853E26" w:rsidRPr="009C69FE">
        <w:rPr>
          <w:rFonts w:cs="Arial"/>
          <w:sz w:val="24"/>
          <w:szCs w:val="24"/>
        </w:rPr>
        <w:t xml:space="preserve">can take place as part of a wider international movement. </w:t>
      </w:r>
      <w:r w:rsidR="002F385D" w:rsidRPr="009C69FE">
        <w:rPr>
          <w:rFonts w:cs="Arial"/>
          <w:sz w:val="24"/>
          <w:szCs w:val="24"/>
        </w:rPr>
        <w:t xml:space="preserve"> </w:t>
      </w:r>
      <w:r w:rsidR="00853E26" w:rsidRPr="009C69FE">
        <w:rPr>
          <w:rFonts w:cs="Arial"/>
          <w:sz w:val="24"/>
          <w:szCs w:val="24"/>
        </w:rPr>
        <w:t xml:space="preserve">Goods might be carried by road or rail inland </w:t>
      </w:r>
      <w:r w:rsidR="00C62E1A" w:rsidRPr="009C69FE">
        <w:rPr>
          <w:rFonts w:cs="Arial"/>
          <w:sz w:val="24"/>
          <w:szCs w:val="24"/>
        </w:rPr>
        <w:t xml:space="preserve">before or </w:t>
      </w:r>
      <w:r w:rsidR="00853E26" w:rsidRPr="009C69FE">
        <w:rPr>
          <w:rFonts w:cs="Arial"/>
          <w:sz w:val="24"/>
          <w:szCs w:val="24"/>
        </w:rPr>
        <w:t xml:space="preserve">after transport by </w:t>
      </w:r>
      <w:r w:rsidR="002F385D" w:rsidRPr="009C69FE">
        <w:rPr>
          <w:rFonts w:cs="Arial"/>
          <w:sz w:val="24"/>
          <w:szCs w:val="24"/>
        </w:rPr>
        <w:t>sea or</w:t>
      </w:r>
      <w:r w:rsidR="00942626">
        <w:rPr>
          <w:rFonts w:cs="Arial"/>
          <w:sz w:val="24"/>
          <w:szCs w:val="24"/>
        </w:rPr>
        <w:t xml:space="preserve"> air.  Such carriage</w:t>
      </w:r>
      <w:r w:rsidR="00476C1A" w:rsidRPr="009C69FE">
        <w:rPr>
          <w:rFonts w:cs="Arial"/>
          <w:sz w:val="24"/>
          <w:szCs w:val="24"/>
        </w:rPr>
        <w:t xml:space="preserve"> may simply be a link in an international movement agreed with one contracting carrier.  </w:t>
      </w:r>
      <w:r w:rsidR="002F385D" w:rsidRPr="009C69FE">
        <w:rPr>
          <w:rFonts w:cs="Arial"/>
          <w:sz w:val="24"/>
          <w:szCs w:val="24"/>
        </w:rPr>
        <w:t xml:space="preserve">Now the liability </w:t>
      </w:r>
      <w:r w:rsidR="002B6172">
        <w:rPr>
          <w:rFonts w:cs="Arial"/>
          <w:sz w:val="24"/>
          <w:szCs w:val="24"/>
        </w:rPr>
        <w:t>must</w:t>
      </w:r>
      <w:r w:rsidR="002F385D" w:rsidRPr="009C69FE">
        <w:rPr>
          <w:rFonts w:cs="Arial"/>
          <w:sz w:val="24"/>
          <w:szCs w:val="24"/>
        </w:rPr>
        <w:t xml:space="preserve"> be considered in the light of the whole contract of carriage.  This may involve application of the common law </w:t>
      </w:r>
      <w:r w:rsidR="008A19A3" w:rsidRPr="009C69FE">
        <w:rPr>
          <w:rFonts w:cs="Arial"/>
          <w:sz w:val="24"/>
          <w:szCs w:val="24"/>
        </w:rPr>
        <w:t xml:space="preserve">(if the applicable law) in the light of express </w:t>
      </w:r>
      <w:r w:rsidR="002F385D" w:rsidRPr="009C69FE">
        <w:rPr>
          <w:rFonts w:cs="Arial"/>
          <w:sz w:val="24"/>
          <w:szCs w:val="24"/>
        </w:rPr>
        <w:t>terms of the contract</w:t>
      </w:r>
      <w:r w:rsidR="008A19A3" w:rsidRPr="009C69FE">
        <w:rPr>
          <w:rFonts w:cs="Arial"/>
          <w:sz w:val="24"/>
          <w:szCs w:val="24"/>
        </w:rPr>
        <w:t xml:space="preserve">.  </w:t>
      </w:r>
      <w:r w:rsidR="00476C1A" w:rsidRPr="009C69FE">
        <w:rPr>
          <w:rFonts w:cs="Arial"/>
          <w:sz w:val="24"/>
          <w:szCs w:val="24"/>
        </w:rPr>
        <w:t xml:space="preserve">Liability for the road/rail section will </w:t>
      </w:r>
      <w:r w:rsidR="008A19A3" w:rsidRPr="009C69FE">
        <w:rPr>
          <w:rFonts w:cs="Arial"/>
          <w:sz w:val="24"/>
          <w:szCs w:val="24"/>
        </w:rPr>
        <w:t>now</w:t>
      </w:r>
      <w:r w:rsidR="00EF4ABB" w:rsidRPr="009C69FE">
        <w:rPr>
          <w:rFonts w:cs="Arial"/>
          <w:sz w:val="24"/>
          <w:szCs w:val="24"/>
        </w:rPr>
        <w:t xml:space="preserve"> </w:t>
      </w:r>
      <w:r w:rsidR="008A19A3" w:rsidRPr="009C69FE">
        <w:rPr>
          <w:rFonts w:cs="Arial"/>
          <w:sz w:val="24"/>
          <w:szCs w:val="24"/>
        </w:rPr>
        <w:t>depend on this law</w:t>
      </w:r>
      <w:r w:rsidR="00036087" w:rsidRPr="009C69FE">
        <w:rPr>
          <w:rFonts w:cs="Arial"/>
          <w:sz w:val="24"/>
          <w:szCs w:val="24"/>
        </w:rPr>
        <w:t>,</w:t>
      </w:r>
      <w:r w:rsidR="008A19A3" w:rsidRPr="009C69FE">
        <w:rPr>
          <w:rFonts w:cs="Arial"/>
          <w:sz w:val="24"/>
          <w:szCs w:val="24"/>
        </w:rPr>
        <w:t xml:space="preserve"> the express terms of the contract governing </w:t>
      </w:r>
      <w:r w:rsidR="00476C1A" w:rsidRPr="009C69FE">
        <w:rPr>
          <w:rFonts w:cs="Arial"/>
          <w:sz w:val="24"/>
          <w:szCs w:val="24"/>
        </w:rPr>
        <w:t>the whole movement</w:t>
      </w:r>
      <w:r w:rsidR="00036087" w:rsidRPr="009C69FE">
        <w:rPr>
          <w:rFonts w:cs="Arial"/>
          <w:sz w:val="24"/>
          <w:szCs w:val="24"/>
        </w:rPr>
        <w:t xml:space="preserve"> and the </w:t>
      </w:r>
      <w:r w:rsidR="006B1E59">
        <w:rPr>
          <w:rFonts w:cs="Arial"/>
          <w:sz w:val="24"/>
          <w:szCs w:val="24"/>
        </w:rPr>
        <w:t xml:space="preserve">possible </w:t>
      </w:r>
      <w:r w:rsidR="00036087" w:rsidRPr="009C69FE">
        <w:rPr>
          <w:rFonts w:cs="Arial"/>
          <w:sz w:val="24"/>
          <w:szCs w:val="24"/>
        </w:rPr>
        <w:t xml:space="preserve">effect of any </w:t>
      </w:r>
      <w:r w:rsidR="00EF4ABB" w:rsidRPr="009C69FE">
        <w:rPr>
          <w:rFonts w:cs="Arial"/>
          <w:sz w:val="24"/>
          <w:szCs w:val="24"/>
        </w:rPr>
        <w:t xml:space="preserve">mandatory </w:t>
      </w:r>
      <w:r w:rsidR="007106B5" w:rsidRPr="009C69FE">
        <w:rPr>
          <w:rFonts w:cs="Arial"/>
          <w:sz w:val="24"/>
          <w:szCs w:val="24"/>
        </w:rPr>
        <w:t xml:space="preserve">national or </w:t>
      </w:r>
      <w:r w:rsidR="00EF4ABB" w:rsidRPr="009C69FE">
        <w:rPr>
          <w:rFonts w:cs="Arial"/>
          <w:sz w:val="24"/>
          <w:szCs w:val="24"/>
        </w:rPr>
        <w:t>international rules</w:t>
      </w:r>
      <w:r w:rsidR="00036087" w:rsidRPr="009C69FE">
        <w:rPr>
          <w:rFonts w:cs="Arial"/>
          <w:sz w:val="24"/>
          <w:szCs w:val="24"/>
        </w:rPr>
        <w:t xml:space="preserve"> applicable to the following or prior transport</w:t>
      </w:r>
      <w:r w:rsidR="00EF4ABB" w:rsidRPr="009C69FE">
        <w:rPr>
          <w:rFonts w:cs="Arial"/>
          <w:sz w:val="24"/>
          <w:szCs w:val="24"/>
        </w:rPr>
        <w:t>.</w:t>
      </w:r>
      <w:r w:rsidR="006B1E59">
        <w:rPr>
          <w:rFonts w:cs="Arial"/>
          <w:sz w:val="24"/>
          <w:szCs w:val="24"/>
        </w:rPr>
        <w:t xml:space="preserve"> See below </w:t>
      </w:r>
      <w:proofErr w:type="gramStart"/>
      <w:r w:rsidR="006B1E59">
        <w:rPr>
          <w:rFonts w:cs="Arial"/>
          <w:sz w:val="24"/>
          <w:szCs w:val="24"/>
        </w:rPr>
        <w:t>e.g.</w:t>
      </w:r>
      <w:proofErr w:type="gramEnd"/>
      <w:r w:rsidR="006B1E59">
        <w:rPr>
          <w:rFonts w:cs="Arial"/>
          <w:sz w:val="24"/>
          <w:szCs w:val="24"/>
        </w:rPr>
        <w:t xml:space="preserve"> where international rail law might be applied to a connecting domestic road carriage.</w:t>
      </w:r>
      <w:r w:rsidR="00EF4ABB" w:rsidRPr="009C69FE">
        <w:rPr>
          <w:rFonts w:cs="Arial"/>
          <w:sz w:val="24"/>
          <w:szCs w:val="24"/>
        </w:rPr>
        <w:t xml:space="preserve"> </w:t>
      </w:r>
      <w:r w:rsidR="007728E8" w:rsidRPr="009C69FE">
        <w:rPr>
          <w:rFonts w:cs="Arial"/>
          <w:sz w:val="24"/>
          <w:szCs w:val="24"/>
        </w:rPr>
        <w:t xml:space="preserve"> </w:t>
      </w:r>
      <w:r w:rsidR="006B1E59">
        <w:rPr>
          <w:rFonts w:cs="Arial"/>
          <w:sz w:val="24"/>
          <w:szCs w:val="24"/>
        </w:rPr>
        <w:t>Consider also where</w:t>
      </w:r>
      <w:r w:rsidR="00036087" w:rsidRPr="009C69FE">
        <w:rPr>
          <w:rFonts w:cs="Arial"/>
          <w:sz w:val="24"/>
          <w:szCs w:val="24"/>
        </w:rPr>
        <w:t xml:space="preserve"> goods</w:t>
      </w:r>
      <w:r w:rsidR="006B1E59">
        <w:rPr>
          <w:rFonts w:cs="Arial"/>
          <w:sz w:val="24"/>
          <w:szCs w:val="24"/>
        </w:rPr>
        <w:t xml:space="preserve"> </w:t>
      </w:r>
      <w:r w:rsidR="00036087" w:rsidRPr="009C69FE">
        <w:rPr>
          <w:rFonts w:cs="Arial"/>
          <w:sz w:val="24"/>
          <w:szCs w:val="24"/>
        </w:rPr>
        <w:t xml:space="preserve">have been transported by sea to the UK </w:t>
      </w:r>
      <w:r w:rsidR="00BC7714" w:rsidRPr="009C69FE">
        <w:rPr>
          <w:rFonts w:cs="Arial"/>
          <w:sz w:val="24"/>
          <w:szCs w:val="24"/>
        </w:rPr>
        <w:t xml:space="preserve">subject to the Hague-Visby Rules </w:t>
      </w:r>
      <w:r w:rsidR="00036087" w:rsidRPr="009C69FE">
        <w:rPr>
          <w:rFonts w:cs="Arial"/>
          <w:sz w:val="24"/>
          <w:szCs w:val="24"/>
        </w:rPr>
        <w:t xml:space="preserve">and then carried by road for final delivery.  </w:t>
      </w:r>
      <w:r w:rsidR="006B1E59">
        <w:rPr>
          <w:rFonts w:cs="Arial"/>
          <w:sz w:val="24"/>
          <w:szCs w:val="24"/>
        </w:rPr>
        <w:t xml:space="preserve">To find out whether either the </w:t>
      </w:r>
      <w:r w:rsidR="007728E8" w:rsidRPr="009C69FE">
        <w:rPr>
          <w:rFonts w:cs="Arial"/>
          <w:sz w:val="24"/>
          <w:szCs w:val="24"/>
        </w:rPr>
        <w:t xml:space="preserve">Hague-Visby Rules </w:t>
      </w:r>
      <w:r w:rsidR="006B1E59">
        <w:rPr>
          <w:rFonts w:cs="Arial"/>
          <w:sz w:val="24"/>
          <w:szCs w:val="24"/>
        </w:rPr>
        <w:t>would apply to the road carriage or</w:t>
      </w:r>
      <w:r w:rsidR="007728E8" w:rsidRPr="009C69FE">
        <w:rPr>
          <w:rFonts w:cs="Arial"/>
          <w:sz w:val="24"/>
          <w:szCs w:val="24"/>
        </w:rPr>
        <w:t xml:space="preserve"> the Unfair Contract Terms Act</w:t>
      </w:r>
      <w:r w:rsidR="006B1E59">
        <w:rPr>
          <w:rFonts w:cs="Arial"/>
          <w:sz w:val="24"/>
          <w:szCs w:val="24"/>
        </w:rPr>
        <w:t xml:space="preserve"> would not s</w:t>
      </w:r>
      <w:r w:rsidR="00942626">
        <w:rPr>
          <w:rFonts w:cs="Arial"/>
          <w:sz w:val="24"/>
          <w:szCs w:val="24"/>
        </w:rPr>
        <w:t>ee</w:t>
      </w:r>
      <w:r w:rsidR="007728E8" w:rsidRPr="009C69FE">
        <w:rPr>
          <w:rFonts w:cs="Arial"/>
          <w:sz w:val="24"/>
          <w:szCs w:val="24"/>
        </w:rPr>
        <w:t xml:space="preserve"> </w:t>
      </w:r>
      <w:r w:rsidR="007728E8" w:rsidRPr="009C69FE">
        <w:rPr>
          <w:rFonts w:cs="Arial"/>
          <w:b/>
          <w:sz w:val="24"/>
          <w:szCs w:val="24"/>
        </w:rPr>
        <w:t>M</w:t>
      </w:r>
      <w:r w:rsidR="007106B5" w:rsidRPr="009C69FE">
        <w:rPr>
          <w:rFonts w:cs="Arial"/>
          <w:b/>
          <w:sz w:val="24"/>
          <w:szCs w:val="24"/>
        </w:rPr>
        <w:t>ayhew Foods</w:t>
      </w:r>
      <w:r w:rsidR="002205B8" w:rsidRPr="009C69FE">
        <w:rPr>
          <w:rFonts w:cs="Arial"/>
          <w:b/>
          <w:sz w:val="24"/>
          <w:szCs w:val="24"/>
        </w:rPr>
        <w:t xml:space="preserve"> v OCL</w:t>
      </w:r>
      <w:r w:rsidR="002205B8" w:rsidRPr="009C69FE">
        <w:rPr>
          <w:rFonts w:cs="Arial"/>
          <w:sz w:val="24"/>
          <w:szCs w:val="24"/>
        </w:rPr>
        <w:t xml:space="preserve"> [1984] 1 Lloyd’s Rep. 317</w:t>
      </w:r>
      <w:r w:rsidR="007728E8" w:rsidRPr="009C69FE">
        <w:rPr>
          <w:rFonts w:cs="Arial"/>
          <w:sz w:val="24"/>
          <w:szCs w:val="24"/>
        </w:rPr>
        <w:t xml:space="preserve"> </w:t>
      </w:r>
      <w:r w:rsidR="00122056">
        <w:rPr>
          <w:rFonts w:cs="Arial"/>
          <w:sz w:val="24"/>
          <w:szCs w:val="24"/>
        </w:rPr>
        <w:t>(</w:t>
      </w:r>
      <w:proofErr w:type="spellStart"/>
      <w:r w:rsidR="00122056">
        <w:rPr>
          <w:rFonts w:cs="Arial"/>
          <w:sz w:val="24"/>
          <w:szCs w:val="24"/>
        </w:rPr>
        <w:t>cf</w:t>
      </w:r>
      <w:proofErr w:type="spellEnd"/>
      <w:r w:rsidR="00122056">
        <w:rPr>
          <w:rFonts w:cs="Arial"/>
          <w:sz w:val="24"/>
          <w:szCs w:val="24"/>
        </w:rPr>
        <w:t xml:space="preserve"> th</w:t>
      </w:r>
      <w:r w:rsidR="008400ED">
        <w:rPr>
          <w:rFonts w:cs="Arial"/>
          <w:sz w:val="24"/>
          <w:szCs w:val="24"/>
        </w:rPr>
        <w:t xml:space="preserve">is case with </w:t>
      </w:r>
      <w:r w:rsidR="008400ED" w:rsidRPr="00935281">
        <w:rPr>
          <w:rFonts w:cs="Arial"/>
          <w:b/>
          <w:bCs/>
          <w:sz w:val="24"/>
          <w:szCs w:val="24"/>
        </w:rPr>
        <w:t xml:space="preserve">Trafigura </w:t>
      </w:r>
      <w:proofErr w:type="spellStart"/>
      <w:r w:rsidR="008400ED" w:rsidRPr="00935281">
        <w:rPr>
          <w:rFonts w:cs="Arial"/>
          <w:b/>
          <w:bCs/>
          <w:sz w:val="24"/>
          <w:szCs w:val="24"/>
        </w:rPr>
        <w:t>Beheer</w:t>
      </w:r>
      <w:proofErr w:type="spellEnd"/>
      <w:r w:rsidR="008400ED" w:rsidRPr="00935281">
        <w:rPr>
          <w:rFonts w:cs="Arial"/>
          <w:b/>
          <w:bCs/>
          <w:sz w:val="24"/>
          <w:szCs w:val="24"/>
        </w:rPr>
        <w:t xml:space="preserve"> v MSC </w:t>
      </w:r>
      <w:r w:rsidR="0070380F" w:rsidRPr="00935281">
        <w:rPr>
          <w:rFonts w:cs="Arial"/>
          <w:b/>
          <w:bCs/>
          <w:sz w:val="24"/>
          <w:szCs w:val="24"/>
        </w:rPr>
        <w:t>(The “MSC Amsterdam)</w:t>
      </w:r>
      <w:r w:rsidR="0070380F">
        <w:rPr>
          <w:rFonts w:cs="Arial"/>
          <w:sz w:val="24"/>
          <w:szCs w:val="24"/>
        </w:rPr>
        <w:t xml:space="preserve"> </w:t>
      </w:r>
      <w:r w:rsidR="00935281">
        <w:rPr>
          <w:rFonts w:cs="Arial"/>
          <w:sz w:val="24"/>
          <w:szCs w:val="24"/>
        </w:rPr>
        <w:t xml:space="preserve">[2007] 2 Lloyd’s Rep. </w:t>
      </w:r>
      <w:proofErr w:type="gramStart"/>
      <w:r w:rsidR="00935281">
        <w:rPr>
          <w:rFonts w:cs="Arial"/>
          <w:sz w:val="24"/>
          <w:szCs w:val="24"/>
        </w:rPr>
        <w:t>622 )</w:t>
      </w:r>
      <w:r w:rsidR="007728E8" w:rsidRPr="009C69FE">
        <w:rPr>
          <w:rFonts w:cs="Arial"/>
          <w:sz w:val="24"/>
          <w:szCs w:val="24"/>
        </w:rPr>
        <w:t>and</w:t>
      </w:r>
      <w:proofErr w:type="gramEnd"/>
      <w:r w:rsidR="007728E8" w:rsidRPr="009C69FE">
        <w:rPr>
          <w:rFonts w:cs="Arial"/>
          <w:sz w:val="24"/>
          <w:szCs w:val="24"/>
        </w:rPr>
        <w:t xml:space="preserve"> </w:t>
      </w:r>
      <w:r w:rsidR="00C62E1A" w:rsidRPr="009C69FE">
        <w:rPr>
          <w:rFonts w:cs="Arial"/>
          <w:sz w:val="24"/>
          <w:szCs w:val="24"/>
        </w:rPr>
        <w:t>UCTA</w:t>
      </w:r>
      <w:r w:rsidR="00C250D5" w:rsidRPr="009C69FE">
        <w:rPr>
          <w:rFonts w:cs="Arial"/>
          <w:sz w:val="24"/>
          <w:szCs w:val="24"/>
        </w:rPr>
        <w:t xml:space="preserve"> 1977</w:t>
      </w:r>
      <w:r w:rsidR="00C62E1A" w:rsidRPr="009C69FE">
        <w:rPr>
          <w:rFonts w:cs="Arial"/>
          <w:sz w:val="24"/>
          <w:szCs w:val="24"/>
        </w:rPr>
        <w:t>, schedule 1, s1(2)</w:t>
      </w:r>
      <w:r w:rsidR="00C250D5" w:rsidRPr="009C69FE">
        <w:rPr>
          <w:rFonts w:cs="Arial"/>
          <w:sz w:val="24"/>
          <w:szCs w:val="24"/>
        </w:rPr>
        <w:t xml:space="preserve"> and (3) and ss15(3) and (4), 26, 29(1)</w:t>
      </w:r>
      <w:r w:rsidR="007106B5" w:rsidRPr="009C69FE">
        <w:rPr>
          <w:rFonts w:cs="Arial"/>
          <w:sz w:val="24"/>
          <w:szCs w:val="24"/>
        </w:rPr>
        <w:t>.</w:t>
      </w:r>
      <w:r w:rsidR="007106B5" w:rsidRPr="009C69FE">
        <w:rPr>
          <w:rFonts w:cs="Arial"/>
          <w:b/>
          <w:sz w:val="24"/>
          <w:szCs w:val="24"/>
        </w:rPr>
        <w:t xml:space="preserve">  </w:t>
      </w:r>
    </w:p>
    <w:p w14:paraId="6E9C5A70" w14:textId="77777777" w:rsidR="004E5D53" w:rsidRPr="009C69FE" w:rsidRDefault="00EF4ABB">
      <w:pPr>
        <w:rPr>
          <w:rFonts w:cs="Arial"/>
          <w:sz w:val="24"/>
          <w:szCs w:val="24"/>
        </w:rPr>
      </w:pPr>
      <w:r w:rsidRPr="009C69FE">
        <w:rPr>
          <w:rFonts w:cs="Arial"/>
          <w:sz w:val="24"/>
          <w:szCs w:val="24"/>
        </w:rPr>
        <w:t xml:space="preserve">If </w:t>
      </w:r>
      <w:r w:rsidR="007106B5" w:rsidRPr="009C69FE">
        <w:rPr>
          <w:rFonts w:cs="Arial"/>
          <w:sz w:val="24"/>
          <w:szCs w:val="24"/>
        </w:rPr>
        <w:t xml:space="preserve">domestic </w:t>
      </w:r>
      <w:r w:rsidRPr="009C69FE">
        <w:rPr>
          <w:rFonts w:cs="Arial"/>
          <w:sz w:val="24"/>
          <w:szCs w:val="24"/>
        </w:rPr>
        <w:t xml:space="preserve">road or rail carriage involves a separate </w:t>
      </w:r>
      <w:r w:rsidR="00BF7B2D" w:rsidRPr="009C69FE">
        <w:rPr>
          <w:rFonts w:cs="Arial"/>
          <w:sz w:val="24"/>
          <w:szCs w:val="24"/>
        </w:rPr>
        <w:t>contract,</w:t>
      </w:r>
      <w:r w:rsidRPr="009C69FE">
        <w:rPr>
          <w:rFonts w:cs="Arial"/>
          <w:sz w:val="24"/>
          <w:szCs w:val="24"/>
        </w:rPr>
        <w:t xml:space="preserve"> then u</w:t>
      </w:r>
      <w:r w:rsidR="00476C1A" w:rsidRPr="009C69FE">
        <w:rPr>
          <w:rFonts w:cs="Arial"/>
          <w:sz w:val="24"/>
          <w:szCs w:val="24"/>
        </w:rPr>
        <w:t xml:space="preserve">nless </w:t>
      </w:r>
      <w:r w:rsidRPr="009C69FE">
        <w:rPr>
          <w:rFonts w:cs="Arial"/>
          <w:sz w:val="24"/>
          <w:szCs w:val="24"/>
        </w:rPr>
        <w:t>this</w:t>
      </w:r>
      <w:r w:rsidR="00476C1A" w:rsidRPr="009C69FE">
        <w:rPr>
          <w:rFonts w:cs="Arial"/>
          <w:sz w:val="24"/>
          <w:szCs w:val="24"/>
        </w:rPr>
        <w:t xml:space="preserve"> contract has been made directly with the goods interest then it will take place under a subcontract arrangement.</w:t>
      </w:r>
      <w:r w:rsidRPr="009C69FE">
        <w:rPr>
          <w:rFonts w:cs="Arial"/>
          <w:sz w:val="24"/>
          <w:szCs w:val="24"/>
        </w:rPr>
        <w:t xml:space="preserve"> The default liability seen above will then apply to this unless </w:t>
      </w:r>
      <w:r w:rsidR="008D7056">
        <w:rPr>
          <w:rFonts w:cs="Arial"/>
          <w:sz w:val="24"/>
          <w:szCs w:val="24"/>
        </w:rPr>
        <w:t xml:space="preserve">as between the subcontractor and the goods owner </w:t>
      </w:r>
      <w:r w:rsidRPr="009C69FE">
        <w:rPr>
          <w:rFonts w:cs="Arial"/>
          <w:sz w:val="24"/>
          <w:szCs w:val="24"/>
        </w:rPr>
        <w:t xml:space="preserve">the subcontractor can rely on his own or his </w:t>
      </w:r>
      <w:r w:rsidR="007106B5" w:rsidRPr="009C69FE">
        <w:rPr>
          <w:rFonts w:cs="Arial"/>
          <w:sz w:val="24"/>
          <w:szCs w:val="24"/>
        </w:rPr>
        <w:t xml:space="preserve">head </w:t>
      </w:r>
      <w:r w:rsidRPr="009C69FE">
        <w:rPr>
          <w:rFonts w:cs="Arial"/>
          <w:sz w:val="24"/>
          <w:szCs w:val="24"/>
        </w:rPr>
        <w:t>contractor</w:t>
      </w:r>
      <w:r w:rsidR="00BF7B2D">
        <w:rPr>
          <w:rFonts w:cs="Arial"/>
          <w:sz w:val="24"/>
          <w:szCs w:val="24"/>
        </w:rPr>
        <w:t>’</w:t>
      </w:r>
      <w:r w:rsidRPr="009C69FE">
        <w:rPr>
          <w:rFonts w:cs="Arial"/>
          <w:sz w:val="24"/>
          <w:szCs w:val="24"/>
        </w:rPr>
        <w:t>s terms</w:t>
      </w:r>
      <w:r w:rsidR="007B0946" w:rsidRPr="009C69FE">
        <w:rPr>
          <w:rFonts w:cs="Arial"/>
          <w:sz w:val="24"/>
          <w:szCs w:val="24"/>
        </w:rPr>
        <w:t xml:space="preserve">.  </w:t>
      </w:r>
      <w:r w:rsidR="007106B5" w:rsidRPr="009C69FE">
        <w:rPr>
          <w:rFonts w:cs="Arial"/>
          <w:sz w:val="24"/>
          <w:szCs w:val="24"/>
        </w:rPr>
        <w:t xml:space="preserve">It is possible, however, even for this domestic </w:t>
      </w:r>
      <w:r w:rsidR="00BF7B2D" w:rsidRPr="009C69FE">
        <w:rPr>
          <w:rFonts w:cs="Arial"/>
          <w:sz w:val="24"/>
          <w:szCs w:val="24"/>
        </w:rPr>
        <w:t>subcontract</w:t>
      </w:r>
      <w:r w:rsidR="007106B5" w:rsidRPr="009C69FE">
        <w:rPr>
          <w:rFonts w:cs="Arial"/>
          <w:sz w:val="24"/>
          <w:szCs w:val="24"/>
        </w:rPr>
        <w:t xml:space="preserve"> to be affected by applicable international rules.  As we will see international road and rail rules can affect</w:t>
      </w:r>
      <w:r w:rsidR="004E5D53" w:rsidRPr="009C69FE">
        <w:rPr>
          <w:rFonts w:cs="Arial"/>
          <w:sz w:val="24"/>
          <w:szCs w:val="24"/>
        </w:rPr>
        <w:t xml:space="preserve"> </w:t>
      </w:r>
      <w:r w:rsidR="007106B5" w:rsidRPr="009C69FE">
        <w:rPr>
          <w:rFonts w:cs="Arial"/>
          <w:sz w:val="24"/>
          <w:szCs w:val="24"/>
        </w:rPr>
        <w:t xml:space="preserve">subcontracts as well as </w:t>
      </w:r>
      <w:r w:rsidR="004E5D53" w:rsidRPr="009C69FE">
        <w:rPr>
          <w:rFonts w:cs="Arial"/>
          <w:sz w:val="24"/>
          <w:szCs w:val="24"/>
        </w:rPr>
        <w:t xml:space="preserve">the main contract with the customer.  </w:t>
      </w:r>
    </w:p>
    <w:p w14:paraId="7F467C29" w14:textId="77777777" w:rsidR="0076165A" w:rsidRPr="009C69FE" w:rsidRDefault="004E5D53">
      <w:pPr>
        <w:rPr>
          <w:rFonts w:cs="Arial"/>
          <w:sz w:val="24"/>
          <w:szCs w:val="24"/>
        </w:rPr>
      </w:pPr>
      <w:r w:rsidRPr="009C69FE">
        <w:rPr>
          <w:rFonts w:cs="Arial"/>
          <w:sz w:val="24"/>
          <w:szCs w:val="24"/>
        </w:rPr>
        <w:t xml:space="preserve">To sum up the </w:t>
      </w:r>
      <w:r w:rsidR="00733831" w:rsidRPr="009C69FE">
        <w:rPr>
          <w:rFonts w:cs="Arial"/>
          <w:sz w:val="24"/>
          <w:szCs w:val="24"/>
        </w:rPr>
        <w:t xml:space="preserve">outline </w:t>
      </w:r>
      <w:r w:rsidRPr="009C69FE">
        <w:rPr>
          <w:rFonts w:cs="Arial"/>
          <w:sz w:val="24"/>
          <w:szCs w:val="24"/>
        </w:rPr>
        <w:t xml:space="preserve">picture so far is that pure carriage by road and rail or any combination </w:t>
      </w:r>
      <w:r w:rsidR="0076165A" w:rsidRPr="009C69FE">
        <w:rPr>
          <w:rFonts w:cs="Arial"/>
          <w:sz w:val="24"/>
          <w:szCs w:val="24"/>
        </w:rPr>
        <w:t xml:space="preserve">within the UK </w:t>
      </w:r>
      <w:r w:rsidRPr="009C69FE">
        <w:rPr>
          <w:rFonts w:cs="Arial"/>
          <w:sz w:val="24"/>
          <w:szCs w:val="24"/>
        </w:rPr>
        <w:t>with no international</w:t>
      </w:r>
      <w:r w:rsidR="0076165A" w:rsidRPr="009C69FE">
        <w:rPr>
          <w:rFonts w:cs="Arial"/>
          <w:sz w:val="24"/>
          <w:szCs w:val="24"/>
        </w:rPr>
        <w:t xml:space="preserve"> element </w:t>
      </w:r>
      <w:r w:rsidRPr="009C69FE">
        <w:rPr>
          <w:rFonts w:cs="Arial"/>
          <w:sz w:val="24"/>
          <w:szCs w:val="24"/>
        </w:rPr>
        <w:t xml:space="preserve">is governed solely by the domestic </w:t>
      </w:r>
      <w:r w:rsidRPr="009C69FE">
        <w:rPr>
          <w:rFonts w:cs="Arial"/>
          <w:sz w:val="24"/>
          <w:szCs w:val="24"/>
        </w:rPr>
        <w:lastRenderedPageBreak/>
        <w:t>law</w:t>
      </w:r>
      <w:r w:rsidR="00942626">
        <w:rPr>
          <w:rFonts w:cs="Arial"/>
          <w:sz w:val="24"/>
          <w:szCs w:val="24"/>
        </w:rPr>
        <w:t xml:space="preserve"> – common law and statute such as UCTA</w:t>
      </w:r>
      <w:r w:rsidRPr="009C69FE">
        <w:rPr>
          <w:rFonts w:cs="Arial"/>
          <w:sz w:val="24"/>
          <w:szCs w:val="24"/>
        </w:rPr>
        <w:t xml:space="preserve">. </w:t>
      </w:r>
      <w:r w:rsidR="0076165A" w:rsidRPr="009C69FE">
        <w:rPr>
          <w:rFonts w:cs="Arial"/>
          <w:sz w:val="24"/>
          <w:szCs w:val="24"/>
        </w:rPr>
        <w:t xml:space="preserve">Where there is </w:t>
      </w:r>
      <w:r w:rsidR="00942626">
        <w:rPr>
          <w:rFonts w:cs="Arial"/>
          <w:sz w:val="24"/>
          <w:szCs w:val="24"/>
        </w:rPr>
        <w:t xml:space="preserve">international carriage by a single mode or </w:t>
      </w:r>
      <w:r w:rsidR="0076165A" w:rsidRPr="009C69FE">
        <w:rPr>
          <w:rFonts w:cs="Arial"/>
          <w:sz w:val="24"/>
          <w:szCs w:val="24"/>
        </w:rPr>
        <w:t>a combination of</w:t>
      </w:r>
      <w:r w:rsidR="00942626">
        <w:rPr>
          <w:rFonts w:cs="Arial"/>
          <w:sz w:val="24"/>
          <w:szCs w:val="24"/>
        </w:rPr>
        <w:t xml:space="preserve"> modes </w:t>
      </w:r>
      <w:r w:rsidR="0076165A" w:rsidRPr="009C69FE">
        <w:rPr>
          <w:rFonts w:cs="Arial"/>
          <w:sz w:val="24"/>
          <w:szCs w:val="24"/>
        </w:rPr>
        <w:t xml:space="preserve">either </w:t>
      </w:r>
      <w:r w:rsidR="00733831" w:rsidRPr="009C69FE">
        <w:rPr>
          <w:rFonts w:cs="Arial"/>
          <w:sz w:val="24"/>
          <w:szCs w:val="24"/>
        </w:rPr>
        <w:t xml:space="preserve">the </w:t>
      </w:r>
      <w:r w:rsidR="0076165A" w:rsidRPr="009C69FE">
        <w:rPr>
          <w:rFonts w:cs="Arial"/>
          <w:sz w:val="24"/>
          <w:szCs w:val="24"/>
        </w:rPr>
        <w:t xml:space="preserve">domestic law will apply or the rules governing a particular mode of transport depending on the circumstances </w:t>
      </w:r>
      <w:r w:rsidR="00733831" w:rsidRPr="009C69FE">
        <w:rPr>
          <w:rFonts w:cs="Arial"/>
          <w:sz w:val="24"/>
          <w:szCs w:val="24"/>
        </w:rPr>
        <w:t xml:space="preserve">may apply to the whole or part of it.  Currently there </w:t>
      </w:r>
      <w:r w:rsidR="008D7056">
        <w:rPr>
          <w:rFonts w:cs="Arial"/>
          <w:sz w:val="24"/>
          <w:szCs w:val="24"/>
        </w:rPr>
        <w:t xml:space="preserve">are </w:t>
      </w:r>
      <w:r w:rsidR="0076165A" w:rsidRPr="009C69FE">
        <w:rPr>
          <w:rFonts w:cs="Arial"/>
          <w:sz w:val="24"/>
          <w:szCs w:val="24"/>
        </w:rPr>
        <w:t xml:space="preserve">no globally accepted </w:t>
      </w:r>
      <w:r w:rsidR="008D7056">
        <w:rPr>
          <w:rFonts w:cs="Arial"/>
          <w:sz w:val="24"/>
          <w:szCs w:val="24"/>
        </w:rPr>
        <w:t xml:space="preserve">mandatory </w:t>
      </w:r>
      <w:r w:rsidR="00733831" w:rsidRPr="009C69FE">
        <w:rPr>
          <w:rFonts w:cs="Arial"/>
          <w:sz w:val="24"/>
          <w:szCs w:val="24"/>
        </w:rPr>
        <w:t xml:space="preserve">rules governing multimodal transport in general.  There are national rules </w:t>
      </w:r>
      <w:proofErr w:type="gramStart"/>
      <w:r w:rsidR="00733831" w:rsidRPr="009C69FE">
        <w:rPr>
          <w:rFonts w:cs="Arial"/>
          <w:sz w:val="24"/>
          <w:szCs w:val="24"/>
        </w:rPr>
        <w:t>e.g.</w:t>
      </w:r>
      <w:proofErr w:type="gramEnd"/>
      <w:r w:rsidR="00733831" w:rsidRPr="009C69FE">
        <w:rPr>
          <w:rFonts w:cs="Arial"/>
          <w:sz w:val="24"/>
          <w:szCs w:val="24"/>
        </w:rPr>
        <w:t xml:space="preserve"> in Germany and Holland and regional rules in some part of the world.  Where English law applies much will depend therefore on the terms of the contract, the impact of modal rules </w:t>
      </w:r>
      <w:r w:rsidR="00C250D5" w:rsidRPr="009C69FE">
        <w:rPr>
          <w:rFonts w:cs="Arial"/>
          <w:sz w:val="24"/>
          <w:szCs w:val="24"/>
        </w:rPr>
        <w:t xml:space="preserve">and the common law as the </w:t>
      </w:r>
      <w:r w:rsidR="00733831" w:rsidRPr="009C69FE">
        <w:rPr>
          <w:rFonts w:cs="Arial"/>
          <w:sz w:val="24"/>
          <w:szCs w:val="24"/>
        </w:rPr>
        <w:t>default position</w:t>
      </w:r>
      <w:r w:rsidR="00942626">
        <w:rPr>
          <w:rFonts w:cs="Arial"/>
          <w:sz w:val="24"/>
          <w:szCs w:val="24"/>
        </w:rPr>
        <w:t xml:space="preserve"> subject to the possible but not definite application of UCTA</w:t>
      </w:r>
      <w:r w:rsidR="00733831" w:rsidRPr="009C69FE">
        <w:rPr>
          <w:rFonts w:cs="Arial"/>
          <w:sz w:val="24"/>
          <w:szCs w:val="24"/>
        </w:rPr>
        <w:t xml:space="preserve">.   </w:t>
      </w:r>
    </w:p>
    <w:p w14:paraId="4E162C4D" w14:textId="77777777" w:rsidR="00733831" w:rsidRPr="009C69FE" w:rsidRDefault="00733831">
      <w:pPr>
        <w:rPr>
          <w:rFonts w:cs="Arial"/>
          <w:sz w:val="24"/>
          <w:szCs w:val="24"/>
        </w:rPr>
      </w:pPr>
      <w:r w:rsidRPr="009C69FE">
        <w:rPr>
          <w:rFonts w:cs="Arial"/>
          <w:sz w:val="24"/>
          <w:szCs w:val="24"/>
        </w:rPr>
        <w:t xml:space="preserve">To fill in this outline picture further the next stage is to consider international carriage by road and rail focusing on the position in the UK where there is a contract solely for the carriage by each of them with no </w:t>
      </w:r>
      <w:r w:rsidR="00AA5AE4" w:rsidRPr="009C69FE">
        <w:rPr>
          <w:rFonts w:cs="Arial"/>
          <w:sz w:val="24"/>
          <w:szCs w:val="24"/>
        </w:rPr>
        <w:t>other modal element.</w:t>
      </w:r>
      <w:r w:rsidRPr="009C69FE">
        <w:rPr>
          <w:rFonts w:cs="Arial"/>
          <w:sz w:val="24"/>
          <w:szCs w:val="24"/>
        </w:rPr>
        <w:t xml:space="preserve"> </w:t>
      </w:r>
    </w:p>
    <w:p w14:paraId="43AE661B" w14:textId="77777777" w:rsidR="00EF4ABB" w:rsidRPr="00114C85" w:rsidRDefault="00C436E2">
      <w:pPr>
        <w:rPr>
          <w:rFonts w:cs="Arial"/>
          <w:b/>
          <w:sz w:val="28"/>
          <w:szCs w:val="28"/>
        </w:rPr>
      </w:pPr>
      <w:r w:rsidRPr="00114C85">
        <w:rPr>
          <w:rFonts w:cs="Arial"/>
          <w:b/>
          <w:sz w:val="28"/>
          <w:szCs w:val="28"/>
        </w:rPr>
        <w:t>3</w:t>
      </w:r>
      <w:r w:rsidR="00EF4ABB" w:rsidRPr="00114C85">
        <w:rPr>
          <w:rFonts w:cs="Arial"/>
          <w:b/>
          <w:sz w:val="28"/>
          <w:szCs w:val="28"/>
        </w:rPr>
        <w:t xml:space="preserve"> Liability </w:t>
      </w:r>
      <w:r w:rsidR="00B20898" w:rsidRPr="00114C85">
        <w:rPr>
          <w:rFonts w:cs="Arial"/>
          <w:b/>
          <w:sz w:val="28"/>
          <w:szCs w:val="28"/>
        </w:rPr>
        <w:t>regimes governing i</w:t>
      </w:r>
      <w:r w:rsidR="00EF4ABB" w:rsidRPr="00114C85">
        <w:rPr>
          <w:rFonts w:cs="Arial"/>
          <w:b/>
          <w:sz w:val="28"/>
          <w:szCs w:val="28"/>
        </w:rPr>
        <w:t>nternational carriage of goods by road and rail.</w:t>
      </w:r>
    </w:p>
    <w:p w14:paraId="148FF560" w14:textId="45F02CEC" w:rsidR="00A1618C" w:rsidRPr="009C69FE" w:rsidRDefault="007B0946" w:rsidP="00A1618C">
      <w:pPr>
        <w:autoSpaceDE w:val="0"/>
        <w:autoSpaceDN w:val="0"/>
        <w:adjustRightInd w:val="0"/>
        <w:spacing w:after="0"/>
        <w:rPr>
          <w:rFonts w:cs="Arial"/>
          <w:sz w:val="24"/>
          <w:szCs w:val="24"/>
        </w:rPr>
      </w:pPr>
      <w:r w:rsidRPr="009C69FE">
        <w:rPr>
          <w:rFonts w:cs="Arial"/>
          <w:b/>
          <w:sz w:val="24"/>
          <w:szCs w:val="24"/>
        </w:rPr>
        <w:t>3.1</w:t>
      </w:r>
      <w:r w:rsidRPr="009C69FE">
        <w:rPr>
          <w:rFonts w:cs="Arial"/>
          <w:sz w:val="24"/>
          <w:szCs w:val="24"/>
        </w:rPr>
        <w:t xml:space="preserve"> </w:t>
      </w:r>
      <w:r w:rsidR="00A1618C" w:rsidRPr="009C69FE">
        <w:rPr>
          <w:rFonts w:cs="Arial"/>
          <w:sz w:val="24"/>
          <w:szCs w:val="24"/>
        </w:rPr>
        <w:t xml:space="preserve">There are three international conventions of major significance in carriage of goods by road and rail.  The </w:t>
      </w:r>
      <w:r w:rsidR="00A1618C" w:rsidRPr="00A14FE9">
        <w:rPr>
          <w:rFonts w:cs="Arial"/>
          <w:b/>
          <w:bCs/>
          <w:sz w:val="24"/>
          <w:szCs w:val="24"/>
        </w:rPr>
        <w:t xml:space="preserve">Convention on the Contract for the International Carriage of Goods by Road </w:t>
      </w:r>
      <w:r w:rsidR="00315DD8" w:rsidRPr="00A14FE9">
        <w:rPr>
          <w:rFonts w:cs="Arial"/>
          <w:b/>
          <w:bCs/>
          <w:sz w:val="24"/>
          <w:szCs w:val="24"/>
        </w:rPr>
        <w:t>(</w:t>
      </w:r>
      <w:r w:rsidR="00A1618C" w:rsidRPr="00A14FE9">
        <w:rPr>
          <w:rFonts w:cs="Arial"/>
          <w:b/>
          <w:bCs/>
          <w:sz w:val="24"/>
          <w:szCs w:val="24"/>
        </w:rPr>
        <w:t>CMR</w:t>
      </w:r>
      <w:r w:rsidR="00315DD8" w:rsidRPr="00A14FE9">
        <w:rPr>
          <w:rFonts w:cs="Arial"/>
          <w:b/>
          <w:bCs/>
          <w:sz w:val="24"/>
          <w:szCs w:val="24"/>
        </w:rPr>
        <w:t>)</w:t>
      </w:r>
      <w:r w:rsidR="00A1618C" w:rsidRPr="009C69FE">
        <w:rPr>
          <w:rFonts w:cs="Arial"/>
          <w:sz w:val="24"/>
          <w:szCs w:val="24"/>
        </w:rPr>
        <w:t xml:space="preserve"> </w:t>
      </w:r>
      <w:r w:rsidR="00315DD8" w:rsidRPr="009C69FE">
        <w:rPr>
          <w:rFonts w:cs="Arial"/>
          <w:sz w:val="24"/>
          <w:szCs w:val="24"/>
        </w:rPr>
        <w:t xml:space="preserve">adopted in 1956 by the UNECE and in force 1961 </w:t>
      </w:r>
      <w:r w:rsidR="00A1618C" w:rsidRPr="009C69FE">
        <w:rPr>
          <w:rFonts w:cs="Arial"/>
          <w:sz w:val="24"/>
          <w:szCs w:val="24"/>
        </w:rPr>
        <w:t xml:space="preserve">is the main geographically significant international convention on road carriage operable in most of Europe and extending beyond it e.g. including </w:t>
      </w:r>
      <w:r w:rsidR="00C93B9D" w:rsidRPr="009C69FE">
        <w:rPr>
          <w:rFonts w:cs="Arial"/>
          <w:sz w:val="24"/>
          <w:szCs w:val="24"/>
        </w:rPr>
        <w:t>part</w:t>
      </w:r>
      <w:r w:rsidR="00F42E13" w:rsidRPr="009C69FE">
        <w:rPr>
          <w:rFonts w:cs="Arial"/>
          <w:sz w:val="24"/>
          <w:szCs w:val="24"/>
        </w:rPr>
        <w:t>s</w:t>
      </w:r>
      <w:r w:rsidR="00C93B9D" w:rsidRPr="009C69FE">
        <w:rPr>
          <w:rFonts w:cs="Arial"/>
          <w:sz w:val="24"/>
          <w:szCs w:val="24"/>
        </w:rPr>
        <w:t xml:space="preserve"> of North Africa, the </w:t>
      </w:r>
      <w:r w:rsidR="00F42E13" w:rsidRPr="009C69FE">
        <w:rPr>
          <w:rFonts w:cs="Arial"/>
          <w:sz w:val="24"/>
          <w:szCs w:val="24"/>
        </w:rPr>
        <w:t xml:space="preserve">Middle East, Central Asia and </w:t>
      </w:r>
      <w:r w:rsidR="00A1618C" w:rsidRPr="009C69FE">
        <w:rPr>
          <w:rFonts w:cs="Arial"/>
          <w:sz w:val="24"/>
          <w:szCs w:val="24"/>
        </w:rPr>
        <w:t>Russia</w:t>
      </w:r>
      <w:r w:rsidR="00821411" w:rsidRPr="009C69FE">
        <w:rPr>
          <w:rFonts w:cs="Arial"/>
          <w:sz w:val="24"/>
          <w:szCs w:val="24"/>
        </w:rPr>
        <w:t xml:space="preserve"> with currently 5</w:t>
      </w:r>
      <w:r w:rsidR="00DA24DE">
        <w:rPr>
          <w:rFonts w:cs="Arial"/>
          <w:sz w:val="24"/>
          <w:szCs w:val="24"/>
        </w:rPr>
        <w:t>8</w:t>
      </w:r>
      <w:r w:rsidR="00821411" w:rsidRPr="009C69FE">
        <w:rPr>
          <w:rFonts w:cs="Arial"/>
          <w:sz w:val="24"/>
          <w:szCs w:val="24"/>
        </w:rPr>
        <w:t xml:space="preserve"> member states </w:t>
      </w:r>
      <w:r w:rsidR="00A1618C" w:rsidRPr="009C69FE">
        <w:rPr>
          <w:rFonts w:cs="Arial"/>
          <w:sz w:val="24"/>
          <w:szCs w:val="24"/>
        </w:rPr>
        <w:t xml:space="preserve"> More geographically limited regional conventions exist such as the OHADA</w:t>
      </w:r>
      <w:r w:rsidR="00821411" w:rsidRPr="009C69FE">
        <w:rPr>
          <w:rFonts w:cs="Arial"/>
          <w:sz w:val="24"/>
          <w:szCs w:val="24"/>
        </w:rPr>
        <w:t xml:space="preserve"> (Organization for the Harmonization of Business Law in Africa</w:t>
      </w:r>
      <w:r w:rsidR="00821411" w:rsidRPr="009C69FE">
        <w:rPr>
          <w:rStyle w:val="FootnoteReference"/>
          <w:rFonts w:cs="Arial"/>
          <w:sz w:val="24"/>
          <w:szCs w:val="24"/>
        </w:rPr>
        <w:t xml:space="preserve"> </w:t>
      </w:r>
      <w:r w:rsidR="00821411" w:rsidRPr="009C69FE">
        <w:rPr>
          <w:rFonts w:cs="Arial"/>
          <w:sz w:val="24"/>
          <w:szCs w:val="24"/>
        </w:rPr>
        <w:t>)</w:t>
      </w:r>
      <w:r w:rsidR="006778AE" w:rsidRPr="009C69FE">
        <w:rPr>
          <w:rFonts w:cs="Arial"/>
          <w:sz w:val="24"/>
          <w:szCs w:val="24"/>
        </w:rPr>
        <w:t xml:space="preserve"> </w:t>
      </w:r>
      <w:r w:rsidR="00A1618C" w:rsidRPr="009C69FE">
        <w:rPr>
          <w:rFonts w:cs="Arial"/>
          <w:sz w:val="24"/>
          <w:szCs w:val="24"/>
        </w:rPr>
        <w:t>Uniform Act on the Carriage of Goods by Road</w:t>
      </w:r>
      <w:r w:rsidR="00821411" w:rsidRPr="009C69FE">
        <w:rPr>
          <w:rFonts w:cs="Arial"/>
          <w:sz w:val="24"/>
          <w:szCs w:val="24"/>
        </w:rPr>
        <w:t xml:space="preserve"> (Adopted 2003 in force 2004)</w:t>
      </w:r>
      <w:r w:rsidR="00315DD8" w:rsidRPr="009C69FE">
        <w:rPr>
          <w:rFonts w:cs="Arial"/>
          <w:sz w:val="24"/>
          <w:szCs w:val="24"/>
        </w:rPr>
        <w:t xml:space="preserve"> applicable in 17 African states</w:t>
      </w:r>
      <w:r w:rsidR="00A1618C" w:rsidRPr="009C69FE">
        <w:rPr>
          <w:rFonts w:cs="Arial"/>
          <w:sz w:val="24"/>
          <w:szCs w:val="24"/>
        </w:rPr>
        <w:t xml:space="preserve">. This is largely based on CMR. </w:t>
      </w:r>
    </w:p>
    <w:p w14:paraId="71C51600" w14:textId="77777777" w:rsidR="00A1618C" w:rsidRPr="009C69FE" w:rsidRDefault="003D228D" w:rsidP="00315DD8">
      <w:pPr>
        <w:autoSpaceDE w:val="0"/>
        <w:autoSpaceDN w:val="0"/>
        <w:adjustRightInd w:val="0"/>
        <w:spacing w:after="0"/>
        <w:rPr>
          <w:rFonts w:cs="Arial"/>
          <w:sz w:val="24"/>
          <w:szCs w:val="24"/>
        </w:rPr>
      </w:pPr>
      <w:r w:rsidRPr="009C69FE">
        <w:rPr>
          <w:rFonts w:cs="Arial"/>
          <w:sz w:val="24"/>
          <w:szCs w:val="24"/>
        </w:rPr>
        <w:br/>
      </w:r>
      <w:r w:rsidR="00A1618C" w:rsidRPr="009C69FE">
        <w:rPr>
          <w:rFonts w:cs="Arial"/>
          <w:sz w:val="24"/>
          <w:szCs w:val="24"/>
        </w:rPr>
        <w:t>Carriage by rail has two major international regimes. The earliest has a history dating back to 1890</w:t>
      </w:r>
      <w:r w:rsidR="00EF315C" w:rsidRPr="009C69FE">
        <w:rPr>
          <w:rFonts w:cs="Arial"/>
          <w:sz w:val="24"/>
          <w:szCs w:val="24"/>
        </w:rPr>
        <w:t xml:space="preserve"> (CIM Convention of 14 10 1890)</w:t>
      </w:r>
      <w:r w:rsidR="00A1618C" w:rsidRPr="009C69FE">
        <w:rPr>
          <w:rFonts w:cs="Arial"/>
          <w:sz w:val="24"/>
          <w:szCs w:val="24"/>
        </w:rPr>
        <w:t xml:space="preserve"> but is currently embodied in the </w:t>
      </w:r>
      <w:r w:rsidR="00A1618C" w:rsidRPr="00A14FE9">
        <w:rPr>
          <w:rFonts w:cs="Arial"/>
          <w:b/>
          <w:bCs/>
          <w:sz w:val="24"/>
          <w:szCs w:val="24"/>
        </w:rPr>
        <w:t xml:space="preserve">Convention Concerning International Carriage by Rail (COTIF) as amended by the Vilnius Protocol </w:t>
      </w:r>
      <w:r w:rsidR="00C250D5" w:rsidRPr="00A14FE9">
        <w:rPr>
          <w:rFonts w:cs="Arial"/>
          <w:b/>
          <w:bCs/>
          <w:sz w:val="24"/>
          <w:szCs w:val="24"/>
        </w:rPr>
        <w:t>1999</w:t>
      </w:r>
      <w:r w:rsidR="00C250D5" w:rsidRPr="009C69FE">
        <w:rPr>
          <w:rFonts w:cs="Arial"/>
          <w:sz w:val="24"/>
          <w:szCs w:val="24"/>
        </w:rPr>
        <w:t xml:space="preserve"> </w:t>
      </w:r>
      <w:r w:rsidR="00A1618C" w:rsidRPr="009C69FE">
        <w:rPr>
          <w:rFonts w:cs="Arial"/>
          <w:sz w:val="24"/>
          <w:szCs w:val="24"/>
        </w:rPr>
        <w:t xml:space="preserve">in force from July 2006. Freight contracts are governed by the CIM Uniform Rules Concerning the International Carriage of Goods by Rail contained in Appendix B of the Convention (URCIM). </w:t>
      </w:r>
      <w:r w:rsidR="00961DB7" w:rsidRPr="009C69FE">
        <w:rPr>
          <w:rFonts w:cs="Arial"/>
          <w:sz w:val="24"/>
          <w:szCs w:val="24"/>
        </w:rPr>
        <w:t xml:space="preserve">This is essentially a Europe wide convention </w:t>
      </w:r>
      <w:r w:rsidR="00C12216">
        <w:rPr>
          <w:rFonts w:cs="Arial"/>
          <w:sz w:val="24"/>
          <w:szCs w:val="24"/>
        </w:rPr>
        <w:t xml:space="preserve">(including Russia) </w:t>
      </w:r>
      <w:r w:rsidR="009C4299" w:rsidRPr="009C69FE">
        <w:rPr>
          <w:rFonts w:cs="Arial"/>
          <w:sz w:val="24"/>
          <w:szCs w:val="24"/>
        </w:rPr>
        <w:t xml:space="preserve">but </w:t>
      </w:r>
      <w:proofErr w:type="gramStart"/>
      <w:r w:rsidR="009C4299" w:rsidRPr="009C69FE">
        <w:rPr>
          <w:rFonts w:cs="Arial"/>
          <w:sz w:val="24"/>
          <w:szCs w:val="24"/>
        </w:rPr>
        <w:t>including also</w:t>
      </w:r>
      <w:proofErr w:type="gramEnd"/>
      <w:r w:rsidR="009C4299" w:rsidRPr="009C69FE">
        <w:rPr>
          <w:rFonts w:cs="Arial"/>
          <w:sz w:val="24"/>
          <w:szCs w:val="24"/>
        </w:rPr>
        <w:t xml:space="preserve"> countries from North Africa and the Middle East </w:t>
      </w:r>
      <w:r w:rsidR="00961DB7" w:rsidRPr="009C69FE">
        <w:rPr>
          <w:rFonts w:cs="Arial"/>
          <w:sz w:val="24"/>
          <w:szCs w:val="24"/>
        </w:rPr>
        <w:t>with c</w:t>
      </w:r>
      <w:r w:rsidR="00A1618C" w:rsidRPr="009C69FE">
        <w:rPr>
          <w:rFonts w:cs="Arial"/>
          <w:sz w:val="24"/>
          <w:szCs w:val="24"/>
        </w:rPr>
        <w:t xml:space="preserve">urrently 50 </w:t>
      </w:r>
      <w:r w:rsidR="00961DB7" w:rsidRPr="009C69FE">
        <w:rPr>
          <w:rFonts w:cs="Arial"/>
          <w:sz w:val="24"/>
          <w:szCs w:val="24"/>
        </w:rPr>
        <w:t xml:space="preserve">member </w:t>
      </w:r>
      <w:r w:rsidR="00A1618C" w:rsidRPr="009C69FE">
        <w:rPr>
          <w:rFonts w:cs="Arial"/>
          <w:sz w:val="24"/>
          <w:szCs w:val="24"/>
        </w:rPr>
        <w:t>States along with the EU which acceded to COTIF in 2011. The Convention established OTIF, an intergovernmental organisation which has secretarial and promotional roles.</w:t>
      </w:r>
      <w:r w:rsidR="00821411" w:rsidRPr="009C69FE">
        <w:rPr>
          <w:rFonts w:cs="Arial"/>
          <w:sz w:val="24"/>
          <w:szCs w:val="24"/>
        </w:rPr>
        <w:t xml:space="preserve">  CIM influenced the rules adopted in CMR during its creation and in turn</w:t>
      </w:r>
      <w:r w:rsidR="0028388F" w:rsidRPr="009C69FE">
        <w:rPr>
          <w:rFonts w:cs="Arial"/>
          <w:sz w:val="24"/>
          <w:szCs w:val="24"/>
        </w:rPr>
        <w:t xml:space="preserve"> was influenced by CMR during the process of developing the Vilnius Protocol.  The two regimes are not </w:t>
      </w:r>
      <w:proofErr w:type="gramStart"/>
      <w:r w:rsidR="0028388F" w:rsidRPr="009C69FE">
        <w:rPr>
          <w:rFonts w:cs="Arial"/>
          <w:sz w:val="24"/>
          <w:szCs w:val="24"/>
        </w:rPr>
        <w:t>exactly the same</w:t>
      </w:r>
      <w:proofErr w:type="gramEnd"/>
      <w:r w:rsidR="0028388F" w:rsidRPr="009C69FE">
        <w:rPr>
          <w:rFonts w:cs="Arial"/>
          <w:sz w:val="24"/>
          <w:szCs w:val="24"/>
        </w:rPr>
        <w:t xml:space="preserve"> but there are strong similarities between them.</w:t>
      </w:r>
    </w:p>
    <w:p w14:paraId="30E9EBB2" w14:textId="4EA66A43" w:rsidR="00440AA6" w:rsidRDefault="002917FD" w:rsidP="00315DD8">
      <w:pPr>
        <w:autoSpaceDE w:val="0"/>
        <w:autoSpaceDN w:val="0"/>
        <w:adjustRightInd w:val="0"/>
        <w:spacing w:after="0"/>
        <w:rPr>
          <w:rFonts w:cs="Arial"/>
          <w:sz w:val="24"/>
          <w:szCs w:val="24"/>
        </w:rPr>
      </w:pPr>
      <w:r w:rsidRPr="009C69FE">
        <w:rPr>
          <w:rFonts w:cs="Arial"/>
          <w:sz w:val="24"/>
          <w:szCs w:val="24"/>
        </w:rPr>
        <w:br/>
      </w:r>
      <w:r w:rsidR="00A1618C" w:rsidRPr="009C69FE">
        <w:rPr>
          <w:rFonts w:cs="Arial"/>
          <w:sz w:val="24"/>
          <w:szCs w:val="24"/>
        </w:rPr>
        <w:t xml:space="preserve">The </w:t>
      </w:r>
      <w:r w:rsidR="00A1618C" w:rsidRPr="00A14FE9">
        <w:rPr>
          <w:rFonts w:cs="Arial"/>
          <w:b/>
          <w:sz w:val="24"/>
          <w:szCs w:val="24"/>
        </w:rPr>
        <w:t>Agreement on International Railway Freight Communications (SMGS)</w:t>
      </w:r>
      <w:r w:rsidR="00A1618C" w:rsidRPr="009C69FE">
        <w:rPr>
          <w:rFonts w:cs="Arial"/>
          <w:b/>
          <w:bCs/>
          <w:sz w:val="24"/>
          <w:szCs w:val="24"/>
        </w:rPr>
        <w:t xml:space="preserve"> </w:t>
      </w:r>
      <w:r w:rsidR="00C250D5" w:rsidRPr="009C69FE">
        <w:rPr>
          <w:rFonts w:cs="Arial"/>
          <w:bCs/>
          <w:sz w:val="24"/>
          <w:szCs w:val="24"/>
        </w:rPr>
        <w:t>was adopted</w:t>
      </w:r>
      <w:r w:rsidR="00A1618C" w:rsidRPr="009C69FE">
        <w:rPr>
          <w:rFonts w:cs="Arial"/>
          <w:bCs/>
          <w:sz w:val="24"/>
          <w:szCs w:val="24"/>
        </w:rPr>
        <w:t xml:space="preserve"> in</w:t>
      </w:r>
      <w:r w:rsidR="00A1618C" w:rsidRPr="009C69FE">
        <w:rPr>
          <w:rFonts w:cs="Arial"/>
          <w:sz w:val="24"/>
          <w:szCs w:val="24"/>
        </w:rPr>
        <w:t>1951 with a revision in force from July</w:t>
      </w:r>
      <w:r w:rsidR="00DE328A">
        <w:rPr>
          <w:rFonts w:cs="Arial"/>
          <w:sz w:val="24"/>
          <w:szCs w:val="24"/>
        </w:rPr>
        <w:t xml:space="preserve"> </w:t>
      </w:r>
      <w:r w:rsidR="00A1618C" w:rsidRPr="009C69FE">
        <w:rPr>
          <w:rFonts w:cs="Arial"/>
          <w:sz w:val="24"/>
          <w:szCs w:val="24"/>
        </w:rPr>
        <w:t>2015</w:t>
      </w:r>
      <w:r w:rsidR="00821411" w:rsidRPr="009C69FE">
        <w:rPr>
          <w:rFonts w:cs="Arial"/>
          <w:sz w:val="24"/>
          <w:szCs w:val="24"/>
        </w:rPr>
        <w:t xml:space="preserve"> and since amended</w:t>
      </w:r>
      <w:r w:rsidR="00DE328A">
        <w:rPr>
          <w:rFonts w:cs="Arial"/>
          <w:sz w:val="24"/>
          <w:szCs w:val="24"/>
        </w:rPr>
        <w:t xml:space="preserve"> (see further </w:t>
      </w:r>
      <w:hyperlink r:id="rId16" w:history="1">
        <w:r w:rsidR="008403A3" w:rsidRPr="00172723">
          <w:rPr>
            <w:color w:val="0000FF"/>
            <w:u w:val="single"/>
          </w:rPr>
          <w:t>CIT-Rail.org - CIM/SMGS</w:t>
        </w:r>
      </w:hyperlink>
      <w:r w:rsidR="008403A3">
        <w:t>)</w:t>
      </w:r>
      <w:r w:rsidR="00440AA6">
        <w:rPr>
          <w:rFonts w:cs="Arial"/>
          <w:sz w:val="24"/>
          <w:szCs w:val="24"/>
        </w:rPr>
        <w:t xml:space="preserve">.  </w:t>
      </w:r>
    </w:p>
    <w:p w14:paraId="1903E282" w14:textId="77777777" w:rsidR="00440AA6" w:rsidRDefault="00440AA6" w:rsidP="00315DD8">
      <w:pPr>
        <w:autoSpaceDE w:val="0"/>
        <w:autoSpaceDN w:val="0"/>
        <w:adjustRightInd w:val="0"/>
        <w:spacing w:after="0"/>
        <w:rPr>
          <w:rFonts w:cs="Arial"/>
          <w:sz w:val="24"/>
          <w:szCs w:val="24"/>
        </w:rPr>
      </w:pPr>
    </w:p>
    <w:p w14:paraId="45155CB5" w14:textId="6D3A201D" w:rsidR="00A1618C" w:rsidRPr="009C69FE" w:rsidRDefault="00961DB7" w:rsidP="00315DD8">
      <w:pPr>
        <w:autoSpaceDE w:val="0"/>
        <w:autoSpaceDN w:val="0"/>
        <w:adjustRightInd w:val="0"/>
        <w:spacing w:after="0"/>
        <w:rPr>
          <w:rFonts w:cs="Arial"/>
          <w:sz w:val="24"/>
          <w:szCs w:val="24"/>
        </w:rPr>
      </w:pPr>
      <w:r w:rsidRPr="009C69FE">
        <w:rPr>
          <w:rFonts w:cs="Arial"/>
          <w:sz w:val="24"/>
          <w:szCs w:val="24"/>
        </w:rPr>
        <w:t xml:space="preserve">The agreement </w:t>
      </w:r>
      <w:r w:rsidR="006778AE" w:rsidRPr="009C69FE">
        <w:rPr>
          <w:rFonts w:cs="Arial"/>
          <w:sz w:val="24"/>
          <w:szCs w:val="24"/>
        </w:rPr>
        <w:t>covers the area from E</w:t>
      </w:r>
      <w:r w:rsidR="00711155" w:rsidRPr="009C69FE">
        <w:rPr>
          <w:rFonts w:cs="Arial"/>
          <w:sz w:val="24"/>
          <w:szCs w:val="24"/>
        </w:rPr>
        <w:t xml:space="preserve">astern Europe to China and </w:t>
      </w:r>
      <w:proofErr w:type="gramStart"/>
      <w:r w:rsidR="00711155" w:rsidRPr="009C69FE">
        <w:rPr>
          <w:rFonts w:cs="Arial"/>
          <w:sz w:val="24"/>
          <w:szCs w:val="24"/>
        </w:rPr>
        <w:t>South East</w:t>
      </w:r>
      <w:proofErr w:type="gramEnd"/>
      <w:r w:rsidR="00711155" w:rsidRPr="009C69FE">
        <w:rPr>
          <w:rFonts w:cs="Arial"/>
          <w:sz w:val="24"/>
          <w:szCs w:val="24"/>
        </w:rPr>
        <w:t xml:space="preserve"> Asia with </w:t>
      </w:r>
      <w:r w:rsidR="00A1618C" w:rsidRPr="009C69FE">
        <w:rPr>
          <w:rFonts w:cs="Arial"/>
          <w:sz w:val="24"/>
          <w:szCs w:val="24"/>
        </w:rPr>
        <w:t xml:space="preserve">27 </w:t>
      </w:r>
      <w:r w:rsidR="00711155" w:rsidRPr="009C69FE">
        <w:rPr>
          <w:rFonts w:cs="Arial"/>
          <w:sz w:val="24"/>
          <w:szCs w:val="24"/>
        </w:rPr>
        <w:t xml:space="preserve">member States </w:t>
      </w:r>
      <w:r w:rsidR="00A1618C" w:rsidRPr="009C69FE">
        <w:rPr>
          <w:rFonts w:cs="Arial"/>
          <w:sz w:val="24"/>
          <w:szCs w:val="24"/>
        </w:rPr>
        <w:t>and o</w:t>
      </w:r>
      <w:r w:rsidR="00711155" w:rsidRPr="009C69FE">
        <w:rPr>
          <w:rFonts w:cs="Arial"/>
          <w:sz w:val="24"/>
          <w:szCs w:val="24"/>
        </w:rPr>
        <w:t>perational assistance provided by</w:t>
      </w:r>
      <w:r w:rsidR="00A1618C" w:rsidRPr="009C69FE">
        <w:rPr>
          <w:rFonts w:cs="Arial"/>
          <w:sz w:val="24"/>
          <w:szCs w:val="24"/>
        </w:rPr>
        <w:t xml:space="preserve"> the Organiz</w:t>
      </w:r>
      <w:r w:rsidR="00B4616D">
        <w:rPr>
          <w:rFonts w:cs="Arial"/>
          <w:sz w:val="24"/>
          <w:szCs w:val="24"/>
        </w:rPr>
        <w:t>ation for Co-operation between R</w:t>
      </w:r>
      <w:r w:rsidR="00A1618C" w:rsidRPr="009C69FE">
        <w:rPr>
          <w:rFonts w:cs="Arial"/>
          <w:sz w:val="24"/>
          <w:szCs w:val="24"/>
        </w:rPr>
        <w:t xml:space="preserve">ailways (OSJD). </w:t>
      </w:r>
      <w:r w:rsidR="00821411" w:rsidRPr="009C69FE">
        <w:rPr>
          <w:rFonts w:cs="Arial"/>
          <w:sz w:val="24"/>
          <w:szCs w:val="24"/>
        </w:rPr>
        <w:t>CIM influenced the development of SMGS so that there is some similarity between them</w:t>
      </w:r>
      <w:r w:rsidR="0028388F" w:rsidRPr="009C69FE">
        <w:rPr>
          <w:rFonts w:cs="Arial"/>
          <w:sz w:val="24"/>
          <w:szCs w:val="24"/>
        </w:rPr>
        <w:t xml:space="preserve"> (and consequently with CMR)</w:t>
      </w:r>
      <w:r w:rsidR="00821411" w:rsidRPr="009C69FE">
        <w:rPr>
          <w:rFonts w:cs="Arial"/>
          <w:sz w:val="24"/>
          <w:szCs w:val="24"/>
        </w:rPr>
        <w:t>.  Furthermore s</w:t>
      </w:r>
      <w:r w:rsidR="00A1618C" w:rsidRPr="009C69FE">
        <w:rPr>
          <w:rFonts w:cs="Arial"/>
          <w:sz w:val="24"/>
          <w:szCs w:val="24"/>
        </w:rPr>
        <w:t>everal States are party to both regimes and there is effort to facilitate through transport across the whole CIM-SMGS systems</w:t>
      </w:r>
      <w:r w:rsidR="00992920" w:rsidRPr="009C69FE">
        <w:rPr>
          <w:rFonts w:cs="Arial"/>
          <w:sz w:val="24"/>
          <w:szCs w:val="24"/>
        </w:rPr>
        <w:t xml:space="preserve"> </w:t>
      </w:r>
      <w:r w:rsidR="00C250D5" w:rsidRPr="009C69FE">
        <w:rPr>
          <w:rFonts w:cs="Arial"/>
          <w:sz w:val="24"/>
          <w:szCs w:val="24"/>
        </w:rPr>
        <w:t xml:space="preserve">(such as </w:t>
      </w:r>
      <w:r w:rsidR="005C1FA9" w:rsidRPr="009C69FE">
        <w:rPr>
          <w:rFonts w:cs="Arial"/>
          <w:sz w:val="24"/>
          <w:szCs w:val="24"/>
        </w:rPr>
        <w:t xml:space="preserve">the Common CIM/SMGS Consignment Note for Euro-Asian Rail </w:t>
      </w:r>
      <w:r w:rsidR="005C1FA9" w:rsidRPr="009C69FE">
        <w:rPr>
          <w:rFonts w:cs="Arial"/>
          <w:sz w:val="24"/>
          <w:szCs w:val="24"/>
        </w:rPr>
        <w:lastRenderedPageBreak/>
        <w:t>Freight Shipments</w:t>
      </w:r>
      <w:r w:rsidR="007F258B" w:rsidRPr="007F258B">
        <w:rPr>
          <w:rFonts w:cs="Arial"/>
          <w:sz w:val="24"/>
          <w:szCs w:val="24"/>
        </w:rPr>
        <w:t xml:space="preserve"> </w:t>
      </w:r>
      <w:r w:rsidR="007F258B">
        <w:rPr>
          <w:rFonts w:cs="Arial"/>
          <w:sz w:val="24"/>
          <w:szCs w:val="24"/>
        </w:rPr>
        <w:t xml:space="preserve">see </w:t>
      </w:r>
      <w:hyperlink r:id="rId17" w:history="1">
        <w:r w:rsidR="007F258B" w:rsidRPr="0038379A">
          <w:rPr>
            <w:rStyle w:val="Hyperlink"/>
            <w:rFonts w:cs="Arial"/>
            <w:sz w:val="24"/>
            <w:szCs w:val="24"/>
          </w:rPr>
          <w:t>https://www.globalrailwayreview.com/article/80492/new-legal-regime-rail-freight/</w:t>
        </w:r>
      </w:hyperlink>
      <w:r w:rsidR="005C1FA9" w:rsidRPr="009C69FE">
        <w:rPr>
          <w:rFonts w:cs="Arial"/>
          <w:sz w:val="24"/>
          <w:szCs w:val="24"/>
        </w:rPr>
        <w:t>)</w:t>
      </w:r>
      <w:r w:rsidR="002B59A7">
        <w:rPr>
          <w:rFonts w:cs="Arial"/>
          <w:sz w:val="24"/>
          <w:szCs w:val="24"/>
        </w:rPr>
        <w:t xml:space="preserve"> </w:t>
      </w:r>
      <w:r w:rsidR="005C1FA9" w:rsidRPr="009C69FE">
        <w:rPr>
          <w:rFonts w:cs="Arial"/>
          <w:sz w:val="24"/>
          <w:szCs w:val="24"/>
        </w:rPr>
        <w:t xml:space="preserve"> </w:t>
      </w:r>
      <w:r w:rsidR="00A1618C" w:rsidRPr="009C69FE">
        <w:rPr>
          <w:rFonts w:cs="Arial"/>
          <w:sz w:val="24"/>
          <w:szCs w:val="24"/>
        </w:rPr>
        <w:t xml:space="preserve">as </w:t>
      </w:r>
      <w:r w:rsidR="005C1FA9" w:rsidRPr="009C69FE">
        <w:rPr>
          <w:rFonts w:cs="Arial"/>
          <w:sz w:val="24"/>
          <w:szCs w:val="24"/>
        </w:rPr>
        <w:t xml:space="preserve">well as </w:t>
      </w:r>
      <w:r w:rsidR="00A1618C" w:rsidRPr="009C69FE">
        <w:rPr>
          <w:rFonts w:cs="Arial"/>
          <w:sz w:val="24"/>
          <w:szCs w:val="24"/>
        </w:rPr>
        <w:t xml:space="preserve">work towards </w:t>
      </w:r>
      <w:r w:rsidR="00AE0AB3">
        <w:rPr>
          <w:rFonts w:cs="Arial"/>
          <w:sz w:val="24"/>
          <w:szCs w:val="24"/>
        </w:rPr>
        <w:t>further</w:t>
      </w:r>
      <w:r w:rsidR="00A1618C" w:rsidRPr="009C69FE">
        <w:rPr>
          <w:rFonts w:cs="Arial"/>
          <w:sz w:val="24"/>
          <w:szCs w:val="24"/>
        </w:rPr>
        <w:t xml:space="preserve"> harmonisation through a Uniform Railway Law</w:t>
      </w:r>
      <w:r w:rsidR="00AE0AB3">
        <w:rPr>
          <w:rFonts w:cs="Arial"/>
          <w:sz w:val="24"/>
          <w:szCs w:val="24"/>
        </w:rPr>
        <w:t>, see</w:t>
      </w:r>
      <w:r w:rsidR="00014122">
        <w:rPr>
          <w:rFonts w:cs="Arial"/>
          <w:sz w:val="24"/>
          <w:szCs w:val="24"/>
        </w:rPr>
        <w:t xml:space="preserve"> for the current draft </w:t>
      </w:r>
      <w:r w:rsidR="00AE0AB3">
        <w:rPr>
          <w:rFonts w:cs="Arial"/>
          <w:sz w:val="24"/>
          <w:szCs w:val="24"/>
        </w:rPr>
        <w:t xml:space="preserve"> </w:t>
      </w:r>
      <w:hyperlink r:id="rId18" w:history="1">
        <w:r w:rsidR="00AE0AB3" w:rsidRPr="00CB53BE">
          <w:rPr>
            <w:rStyle w:val="Hyperlink"/>
            <w:rFonts w:cs="Arial"/>
            <w:sz w:val="24"/>
            <w:szCs w:val="24"/>
          </w:rPr>
          <w:t>https://www.unece.org/fileadmin/DAM/trans/doc/2017/sc2/ECE-TRANS-SC2-GEURL-2017-id6e.pdf</w:t>
        </w:r>
      </w:hyperlink>
      <w:r w:rsidR="00AE0AB3">
        <w:rPr>
          <w:rFonts w:cs="Arial"/>
          <w:sz w:val="24"/>
          <w:szCs w:val="24"/>
        </w:rPr>
        <w:t xml:space="preserve"> </w:t>
      </w:r>
      <w:r w:rsidR="00992920" w:rsidRPr="009C69FE">
        <w:rPr>
          <w:rFonts w:cs="Arial"/>
          <w:sz w:val="24"/>
          <w:szCs w:val="24"/>
        </w:rPr>
        <w:t xml:space="preserve"> </w:t>
      </w:r>
      <w:r w:rsidR="007A4BF5">
        <w:rPr>
          <w:rFonts w:cs="Arial"/>
          <w:sz w:val="24"/>
          <w:szCs w:val="24"/>
        </w:rPr>
        <w:t xml:space="preserve">(designed </w:t>
      </w:r>
      <w:r w:rsidR="00BD4930">
        <w:rPr>
          <w:rFonts w:cs="Arial"/>
          <w:sz w:val="24"/>
          <w:szCs w:val="24"/>
        </w:rPr>
        <w:t xml:space="preserve">currently </w:t>
      </w:r>
      <w:r w:rsidR="007A4BF5">
        <w:rPr>
          <w:rFonts w:cs="Arial"/>
          <w:sz w:val="24"/>
          <w:szCs w:val="24"/>
        </w:rPr>
        <w:t xml:space="preserve">as an opt-in set of conditions </w:t>
      </w:r>
      <w:r w:rsidR="00014122">
        <w:rPr>
          <w:rFonts w:cs="Arial"/>
          <w:sz w:val="24"/>
          <w:szCs w:val="24"/>
        </w:rPr>
        <w:t>for use in movements where CIM and SMGS don’t apply)</w:t>
      </w:r>
      <w:r w:rsidR="00237E43" w:rsidRPr="009C69FE">
        <w:rPr>
          <w:rFonts w:cs="Arial"/>
          <w:sz w:val="24"/>
          <w:szCs w:val="24"/>
        </w:rPr>
        <w:br/>
      </w:r>
      <w:r w:rsidR="0028388F" w:rsidRPr="009C69FE">
        <w:rPr>
          <w:rFonts w:cs="Arial"/>
          <w:sz w:val="24"/>
          <w:szCs w:val="24"/>
        </w:rPr>
        <w:t xml:space="preserve">The </w:t>
      </w:r>
      <w:r w:rsidR="00014122">
        <w:rPr>
          <w:rFonts w:cs="Arial"/>
          <w:sz w:val="24"/>
          <w:szCs w:val="24"/>
        </w:rPr>
        <w:t xml:space="preserve">draft has a </w:t>
      </w:r>
      <w:r w:rsidR="0028388F" w:rsidRPr="009C69FE">
        <w:rPr>
          <w:rFonts w:cs="Arial"/>
          <w:sz w:val="24"/>
          <w:szCs w:val="24"/>
        </w:rPr>
        <w:t>strong similarity with CIM and CMR</w:t>
      </w:r>
      <w:r w:rsidR="005C1FA9" w:rsidRPr="009C69FE">
        <w:rPr>
          <w:rFonts w:cs="Arial"/>
          <w:sz w:val="24"/>
          <w:szCs w:val="24"/>
        </w:rPr>
        <w:t>.</w:t>
      </w:r>
    </w:p>
    <w:p w14:paraId="5F927088" w14:textId="77777777" w:rsidR="00961DB7" w:rsidRPr="009C69FE" w:rsidRDefault="002917FD">
      <w:pPr>
        <w:rPr>
          <w:rFonts w:cs="Arial"/>
          <w:sz w:val="24"/>
          <w:szCs w:val="24"/>
        </w:rPr>
      </w:pPr>
      <w:r w:rsidRPr="009C69FE">
        <w:rPr>
          <w:rFonts w:cs="Arial"/>
          <w:sz w:val="24"/>
          <w:szCs w:val="24"/>
        </w:rPr>
        <w:br/>
      </w:r>
      <w:r w:rsidR="007B0946" w:rsidRPr="009C69FE">
        <w:rPr>
          <w:rFonts w:cs="Arial"/>
          <w:b/>
          <w:sz w:val="24"/>
          <w:szCs w:val="24"/>
        </w:rPr>
        <w:t>3.2</w:t>
      </w:r>
      <w:r w:rsidR="00961DB7" w:rsidRPr="009C69FE">
        <w:rPr>
          <w:rFonts w:cs="Arial"/>
          <w:sz w:val="24"/>
          <w:szCs w:val="24"/>
        </w:rPr>
        <w:t xml:space="preserve"> </w:t>
      </w:r>
      <w:r w:rsidR="00961DB7" w:rsidRPr="009C69FE">
        <w:rPr>
          <w:rFonts w:cs="Arial"/>
          <w:b/>
          <w:sz w:val="24"/>
          <w:szCs w:val="24"/>
        </w:rPr>
        <w:t xml:space="preserve">CMR and CIM </w:t>
      </w:r>
      <w:r w:rsidR="00711155" w:rsidRPr="009C69FE">
        <w:rPr>
          <w:rFonts w:cs="Arial"/>
          <w:b/>
          <w:sz w:val="24"/>
          <w:szCs w:val="24"/>
        </w:rPr>
        <w:t xml:space="preserve">interpretation, </w:t>
      </w:r>
      <w:r w:rsidR="008B2F3B" w:rsidRPr="009C69FE">
        <w:rPr>
          <w:rFonts w:cs="Arial"/>
          <w:b/>
          <w:sz w:val="24"/>
          <w:szCs w:val="24"/>
        </w:rPr>
        <w:t>application</w:t>
      </w:r>
      <w:r w:rsidR="000C26B2" w:rsidRPr="009C69FE">
        <w:rPr>
          <w:rFonts w:cs="Arial"/>
          <w:b/>
          <w:sz w:val="24"/>
          <w:szCs w:val="24"/>
        </w:rPr>
        <w:t xml:space="preserve">, </w:t>
      </w:r>
      <w:proofErr w:type="gramStart"/>
      <w:r w:rsidR="00961DB7" w:rsidRPr="009C69FE">
        <w:rPr>
          <w:rFonts w:cs="Arial"/>
          <w:b/>
          <w:sz w:val="24"/>
          <w:szCs w:val="24"/>
        </w:rPr>
        <w:t>documentation</w:t>
      </w:r>
      <w:proofErr w:type="gramEnd"/>
      <w:r w:rsidR="000C26B2" w:rsidRPr="009C69FE">
        <w:rPr>
          <w:rFonts w:cs="Arial"/>
          <w:b/>
          <w:sz w:val="24"/>
          <w:szCs w:val="24"/>
        </w:rPr>
        <w:t xml:space="preserve"> and general scope issues</w:t>
      </w:r>
      <w:r w:rsidR="00037519" w:rsidRPr="009C69FE">
        <w:rPr>
          <w:rFonts w:cs="Arial"/>
          <w:b/>
          <w:sz w:val="24"/>
          <w:szCs w:val="24"/>
        </w:rPr>
        <w:t xml:space="preserve"> where carriage is solely by these means.</w:t>
      </w:r>
    </w:p>
    <w:p w14:paraId="0FF3F703" w14:textId="77777777" w:rsidR="00961DB7" w:rsidRPr="009C69FE" w:rsidRDefault="00961DB7">
      <w:pPr>
        <w:rPr>
          <w:rFonts w:cs="Arial"/>
          <w:sz w:val="24"/>
          <w:szCs w:val="24"/>
        </w:rPr>
      </w:pPr>
      <w:r w:rsidRPr="009C69FE">
        <w:rPr>
          <w:rFonts w:cs="Arial"/>
          <w:sz w:val="24"/>
          <w:szCs w:val="24"/>
        </w:rPr>
        <w:t>We will focus on CMR and CIM as these have been ratified by the UK</w:t>
      </w:r>
      <w:r w:rsidR="00AA5AE4" w:rsidRPr="009C69FE">
        <w:rPr>
          <w:rFonts w:cs="Arial"/>
          <w:sz w:val="24"/>
          <w:szCs w:val="24"/>
        </w:rPr>
        <w:t xml:space="preserve"> (see below)</w:t>
      </w:r>
      <w:r w:rsidRPr="009C69FE">
        <w:rPr>
          <w:rFonts w:cs="Arial"/>
          <w:sz w:val="24"/>
          <w:szCs w:val="24"/>
        </w:rPr>
        <w:t xml:space="preserve">. </w:t>
      </w:r>
    </w:p>
    <w:p w14:paraId="1D57ED42" w14:textId="77777777" w:rsidR="00BD4930" w:rsidRDefault="007B0946" w:rsidP="00AD74C3">
      <w:pPr>
        <w:pStyle w:val="NormalWeb"/>
        <w:shd w:val="clear" w:color="auto" w:fill="FFFFFF"/>
        <w:spacing w:before="0" w:beforeAutospacing="0" w:after="0" w:afterAutospacing="0"/>
        <w:rPr>
          <w:rFonts w:asciiTheme="minorHAnsi" w:hAnsiTheme="minorHAnsi" w:cs="Arial"/>
        </w:rPr>
      </w:pPr>
      <w:r w:rsidRPr="009C69FE">
        <w:rPr>
          <w:rFonts w:asciiTheme="minorHAnsi" w:hAnsiTheme="minorHAnsi" w:cs="Arial"/>
          <w:b/>
        </w:rPr>
        <w:t>3.2</w:t>
      </w:r>
      <w:r w:rsidR="000C26B2" w:rsidRPr="009C69FE">
        <w:rPr>
          <w:rFonts w:asciiTheme="minorHAnsi" w:hAnsiTheme="minorHAnsi" w:cs="Arial"/>
          <w:b/>
        </w:rPr>
        <w:t>.1</w:t>
      </w:r>
      <w:r w:rsidR="000C26B2" w:rsidRPr="009C69FE">
        <w:rPr>
          <w:rFonts w:asciiTheme="minorHAnsi" w:hAnsiTheme="minorHAnsi" w:cs="Arial"/>
        </w:rPr>
        <w:t xml:space="preserve"> </w:t>
      </w:r>
      <w:r w:rsidR="00961DB7" w:rsidRPr="009C69FE">
        <w:rPr>
          <w:rFonts w:asciiTheme="minorHAnsi" w:hAnsiTheme="minorHAnsi" w:cs="Arial"/>
        </w:rPr>
        <w:t xml:space="preserve">An initial point to be kept in mind is that, just like the Hague-Visby rules, as international uniform law the courts are meant to apply international standards of interpretation rather than </w:t>
      </w:r>
      <w:r w:rsidR="00EF315C" w:rsidRPr="009C69FE">
        <w:rPr>
          <w:rFonts w:asciiTheme="minorHAnsi" w:hAnsiTheme="minorHAnsi" w:cs="Arial"/>
        </w:rPr>
        <w:t xml:space="preserve">purely </w:t>
      </w:r>
      <w:r w:rsidR="00711155" w:rsidRPr="009C69FE">
        <w:rPr>
          <w:rFonts w:asciiTheme="minorHAnsi" w:hAnsiTheme="minorHAnsi" w:cs="Arial"/>
        </w:rPr>
        <w:t>domestic rules of statutory interpretation</w:t>
      </w:r>
      <w:r w:rsidR="00062209" w:rsidRPr="009C69FE">
        <w:rPr>
          <w:rFonts w:asciiTheme="minorHAnsi" w:hAnsiTheme="minorHAnsi" w:cs="Arial"/>
        </w:rPr>
        <w:t xml:space="preserve"> i.e.</w:t>
      </w:r>
      <w:r w:rsidR="00B4616D">
        <w:rPr>
          <w:rFonts w:asciiTheme="minorHAnsi" w:hAnsiTheme="minorHAnsi" w:cs="Arial"/>
        </w:rPr>
        <w:t>:</w:t>
      </w:r>
      <w:r w:rsidR="00B4616D">
        <w:rPr>
          <w:rFonts w:asciiTheme="minorHAnsi" w:hAnsiTheme="minorHAnsi" w:cs="Arial"/>
        </w:rPr>
        <w:br/>
      </w:r>
      <w:r w:rsidR="00062209" w:rsidRPr="009C69FE">
        <w:rPr>
          <w:rFonts w:asciiTheme="minorHAnsi" w:hAnsiTheme="minorHAnsi" w:cs="Arial"/>
        </w:rPr>
        <w:t>“</w:t>
      </w:r>
      <w:r w:rsidR="00B4616D" w:rsidRPr="00B4616D">
        <w:rPr>
          <w:rFonts w:asciiTheme="minorHAnsi" w:hAnsiTheme="minorHAnsi"/>
          <w:i/>
          <w:color w:val="000000"/>
        </w:rPr>
        <w:t>I</w:t>
      </w:r>
      <w:r w:rsidR="00AD74C3" w:rsidRPr="00B4616D">
        <w:rPr>
          <w:rFonts w:asciiTheme="minorHAnsi" w:hAnsiTheme="minorHAnsi"/>
          <w:i/>
          <w:color w:val="000000"/>
        </w:rPr>
        <w:t>t is desirable in the interests of uniformity that their interpretation should not be rigidly controlled by domestic precedents of antecedent date, but rather that the language of the rules should be construed on broad principles of general acceptation</w:t>
      </w:r>
      <w:r w:rsidR="00AD74C3" w:rsidRPr="009C69FE">
        <w:rPr>
          <w:rFonts w:asciiTheme="minorHAnsi" w:hAnsiTheme="minorHAnsi"/>
          <w:color w:val="000000"/>
        </w:rPr>
        <w:t>.</w:t>
      </w:r>
      <w:r w:rsidR="00EF315C" w:rsidRPr="009C69FE">
        <w:rPr>
          <w:rFonts w:asciiTheme="minorHAnsi" w:hAnsiTheme="minorHAnsi" w:cs="Arial"/>
        </w:rPr>
        <w:t>” (Lord Macmilla</w:t>
      </w:r>
      <w:r w:rsidR="00062209" w:rsidRPr="009C69FE">
        <w:rPr>
          <w:rFonts w:asciiTheme="minorHAnsi" w:hAnsiTheme="minorHAnsi" w:cs="Arial"/>
        </w:rPr>
        <w:t xml:space="preserve">n </w:t>
      </w:r>
      <w:r w:rsidR="00AA5AE4" w:rsidRPr="009C69FE">
        <w:rPr>
          <w:rFonts w:asciiTheme="minorHAnsi" w:hAnsiTheme="minorHAnsi" w:cs="Arial"/>
        </w:rPr>
        <w:t xml:space="preserve">in </w:t>
      </w:r>
      <w:r w:rsidR="00062209" w:rsidRPr="009C69FE">
        <w:rPr>
          <w:rFonts w:asciiTheme="minorHAnsi" w:hAnsiTheme="minorHAnsi" w:cs="Arial"/>
          <w:b/>
        </w:rPr>
        <w:t xml:space="preserve">Stag </w:t>
      </w:r>
      <w:proofErr w:type="spellStart"/>
      <w:r w:rsidR="00062209" w:rsidRPr="009C69FE">
        <w:rPr>
          <w:rFonts w:asciiTheme="minorHAnsi" w:hAnsiTheme="minorHAnsi" w:cs="Arial"/>
          <w:b/>
        </w:rPr>
        <w:t>Line.</w:t>
      </w:r>
      <w:r w:rsidR="00237E43" w:rsidRPr="009C69FE">
        <w:rPr>
          <w:rFonts w:asciiTheme="minorHAnsi" w:hAnsiTheme="minorHAnsi" w:cs="Arial"/>
          <w:b/>
        </w:rPr>
        <w:t>Ltd</w:t>
      </w:r>
      <w:proofErr w:type="spellEnd"/>
      <w:r w:rsidR="00237E43" w:rsidRPr="009C69FE">
        <w:rPr>
          <w:rFonts w:asciiTheme="minorHAnsi" w:hAnsiTheme="minorHAnsi" w:cs="Arial"/>
          <w:b/>
        </w:rPr>
        <w:t xml:space="preserve"> v </w:t>
      </w:r>
      <w:proofErr w:type="spellStart"/>
      <w:r w:rsidR="00237E43" w:rsidRPr="009C69FE">
        <w:rPr>
          <w:rFonts w:asciiTheme="minorHAnsi" w:hAnsiTheme="minorHAnsi" w:cs="Arial"/>
          <w:b/>
        </w:rPr>
        <w:t>Foscolo</w:t>
      </w:r>
      <w:proofErr w:type="spellEnd"/>
      <w:r w:rsidR="00237E43" w:rsidRPr="009C69FE">
        <w:rPr>
          <w:rFonts w:asciiTheme="minorHAnsi" w:hAnsiTheme="minorHAnsi" w:cs="Arial"/>
          <w:b/>
        </w:rPr>
        <w:t xml:space="preserve"> Mango and Co Ltd</w:t>
      </w:r>
      <w:r w:rsidR="00237E43" w:rsidRPr="009C69FE">
        <w:rPr>
          <w:rFonts w:asciiTheme="minorHAnsi" w:hAnsiTheme="minorHAnsi" w:cs="Arial"/>
        </w:rPr>
        <w:t xml:space="preserve"> [1932] AC 328 </w:t>
      </w:r>
      <w:r w:rsidR="00AD74C3" w:rsidRPr="009C69FE">
        <w:rPr>
          <w:rFonts w:asciiTheme="minorHAnsi" w:hAnsiTheme="minorHAnsi" w:cs="Arial"/>
        </w:rPr>
        <w:t>350</w:t>
      </w:r>
      <w:r w:rsidR="00062209" w:rsidRPr="009C69FE">
        <w:rPr>
          <w:rFonts w:asciiTheme="minorHAnsi" w:hAnsiTheme="minorHAnsi" w:cs="Arial"/>
        </w:rPr>
        <w:t>).</w:t>
      </w:r>
      <w:r w:rsidR="00711155" w:rsidRPr="009C69FE">
        <w:rPr>
          <w:rFonts w:asciiTheme="minorHAnsi" w:hAnsiTheme="minorHAnsi" w:cs="Arial"/>
        </w:rPr>
        <w:t xml:space="preserve">  </w:t>
      </w:r>
    </w:p>
    <w:p w14:paraId="7272E201" w14:textId="77777777" w:rsidR="000E667C" w:rsidRDefault="00B4616D" w:rsidP="00AD74C3">
      <w:pPr>
        <w:pStyle w:val="NormalWeb"/>
        <w:shd w:val="clear" w:color="auto" w:fill="FFFFFF"/>
        <w:spacing w:before="0" w:beforeAutospacing="0" w:after="0" w:afterAutospacing="0"/>
        <w:rPr>
          <w:rFonts w:asciiTheme="minorHAnsi" w:hAnsiTheme="minorHAnsi" w:cs="Arial"/>
        </w:rPr>
      </w:pPr>
      <w:r>
        <w:rPr>
          <w:rFonts w:asciiTheme="minorHAnsi" w:hAnsiTheme="minorHAnsi" w:cs="Arial"/>
        </w:rPr>
        <w:br/>
      </w:r>
      <w:r w:rsidR="00711155" w:rsidRPr="009C69FE">
        <w:rPr>
          <w:rFonts w:asciiTheme="minorHAnsi" w:hAnsiTheme="minorHAnsi" w:cs="Arial"/>
        </w:rPr>
        <w:t xml:space="preserve">The courts are meant to consider the ordinary meaning of the words used in their context and in the light of the object and purpose of the convention. </w:t>
      </w:r>
      <w:r w:rsidR="00062209" w:rsidRPr="009C69FE">
        <w:rPr>
          <w:rFonts w:asciiTheme="minorHAnsi" w:hAnsiTheme="minorHAnsi" w:cs="Arial"/>
        </w:rPr>
        <w:t>They can also compare the wording used in any foreign language version of the convention where this is an authenticated language (</w:t>
      </w:r>
      <w:r w:rsidR="00237E43" w:rsidRPr="009C69FE">
        <w:rPr>
          <w:rFonts w:asciiTheme="minorHAnsi" w:hAnsiTheme="minorHAnsi" w:cs="Arial"/>
        </w:rPr>
        <w:t>French in the case of CMR, English, French and German with French prevailing in case of divergence in the case of COTIF</w:t>
      </w:r>
      <w:r w:rsidR="00062209" w:rsidRPr="009C69FE">
        <w:rPr>
          <w:rFonts w:asciiTheme="minorHAnsi" w:hAnsiTheme="minorHAnsi" w:cs="Arial"/>
        </w:rPr>
        <w:t xml:space="preserve">), refer to cases in foreign jurisdictions dealing with the same issue </w:t>
      </w:r>
      <w:r w:rsidR="00EF315C" w:rsidRPr="009C69FE">
        <w:rPr>
          <w:rFonts w:asciiTheme="minorHAnsi" w:hAnsiTheme="minorHAnsi" w:cs="Arial"/>
        </w:rPr>
        <w:t xml:space="preserve">and consult the relevant preparatory documents (travaux </w:t>
      </w:r>
      <w:proofErr w:type="spellStart"/>
      <w:r w:rsidR="00EF315C" w:rsidRPr="009C69FE">
        <w:rPr>
          <w:rFonts w:asciiTheme="minorHAnsi" w:hAnsiTheme="minorHAnsi" w:cs="Arial"/>
        </w:rPr>
        <w:t>préparatoires</w:t>
      </w:r>
      <w:proofErr w:type="spellEnd"/>
      <w:r w:rsidR="00EF315C" w:rsidRPr="009C69FE">
        <w:rPr>
          <w:rFonts w:asciiTheme="minorHAnsi" w:hAnsiTheme="minorHAnsi" w:cs="Arial"/>
        </w:rPr>
        <w:t>) where publicly available (</w:t>
      </w:r>
      <w:r w:rsidR="000E667C">
        <w:rPr>
          <w:rFonts w:asciiTheme="minorHAnsi" w:hAnsiTheme="minorHAnsi" w:cs="Arial"/>
        </w:rPr>
        <w:t xml:space="preserve">until recently this was </w:t>
      </w:r>
      <w:r w:rsidR="000E667C" w:rsidRPr="009C69FE">
        <w:rPr>
          <w:rFonts w:asciiTheme="minorHAnsi" w:hAnsiTheme="minorHAnsi" w:cs="Arial"/>
        </w:rPr>
        <w:t xml:space="preserve">not the case for CMR but </w:t>
      </w:r>
      <w:r w:rsidR="000E667C">
        <w:rPr>
          <w:rFonts w:asciiTheme="minorHAnsi" w:hAnsiTheme="minorHAnsi" w:cs="Arial"/>
        </w:rPr>
        <w:t xml:space="preserve">they are </w:t>
      </w:r>
      <w:r w:rsidR="000E667C" w:rsidRPr="009C69FE">
        <w:rPr>
          <w:rFonts w:asciiTheme="minorHAnsi" w:hAnsiTheme="minorHAnsi" w:cs="Arial"/>
        </w:rPr>
        <w:t>available for CIM</w:t>
      </w:r>
      <w:r w:rsidR="000E667C">
        <w:rPr>
          <w:rFonts w:asciiTheme="minorHAnsi" w:hAnsiTheme="minorHAnsi" w:cs="Arial"/>
        </w:rPr>
        <w:t xml:space="preserve">.  It has proved possible now for most of the travaux for CMR to be made available – see e.g. my website </w:t>
      </w:r>
      <w:hyperlink r:id="rId19" w:tgtFrame="_blank" w:tooltip="Original URL: https://daglass.uk/author/cmrman/. Click or tap if you trust this link." w:history="1">
        <w:r w:rsidR="000E667C" w:rsidRPr="002F7C7E">
          <w:rPr>
            <w:rFonts w:ascii="Calibri" w:eastAsiaTheme="minorHAnsi" w:hAnsi="Calibri" w:cs="Calibri"/>
            <w:color w:val="0000FF"/>
            <w:sz w:val="22"/>
            <w:szCs w:val="22"/>
            <w:u w:val="single"/>
            <w:bdr w:val="none" w:sz="0" w:space="0" w:color="auto" w:frame="1"/>
            <w:shd w:val="clear" w:color="auto" w:fill="FFFFFF"/>
            <w:lang w:eastAsia="en-US"/>
          </w:rPr>
          <w:t>https://daglass.uk/author/cmrman/</w:t>
        </w:r>
      </w:hyperlink>
      <w:r w:rsidR="000E667C" w:rsidRPr="002F7C7E">
        <w:rPr>
          <w:rFonts w:ascii="Calibri" w:eastAsiaTheme="minorHAnsi" w:hAnsi="Calibri" w:cs="Calibri"/>
          <w:color w:val="1F497D"/>
          <w:sz w:val="22"/>
          <w:szCs w:val="22"/>
          <w:shd w:val="clear" w:color="auto" w:fill="FFFFFF"/>
          <w:lang w:eastAsia="en-US"/>
        </w:rPr>
        <w:t> </w:t>
      </w:r>
      <w:r w:rsidR="000E667C" w:rsidRPr="009C69FE">
        <w:rPr>
          <w:rFonts w:asciiTheme="minorHAnsi" w:hAnsiTheme="minorHAnsi" w:cs="Arial"/>
        </w:rPr>
        <w:t xml:space="preserve">). </w:t>
      </w:r>
    </w:p>
    <w:p w14:paraId="29F49688" w14:textId="77777777" w:rsidR="000E667C" w:rsidRDefault="000E667C" w:rsidP="00AD74C3">
      <w:pPr>
        <w:pStyle w:val="NormalWeb"/>
        <w:shd w:val="clear" w:color="auto" w:fill="FFFFFF"/>
        <w:spacing w:before="0" w:beforeAutospacing="0" w:after="0" w:afterAutospacing="0"/>
        <w:rPr>
          <w:rFonts w:asciiTheme="minorHAnsi" w:hAnsiTheme="minorHAnsi" w:cs="Arial"/>
        </w:rPr>
      </w:pPr>
    </w:p>
    <w:p w14:paraId="11588E95" w14:textId="13ABA60D" w:rsidR="000E667C" w:rsidRDefault="000E667C" w:rsidP="00AD74C3">
      <w:pPr>
        <w:pStyle w:val="NormalWeb"/>
        <w:shd w:val="clear" w:color="auto" w:fill="FFFFFF"/>
        <w:spacing w:before="0" w:beforeAutospacing="0" w:after="0" w:afterAutospacing="0"/>
        <w:rPr>
          <w:rFonts w:asciiTheme="minorHAnsi" w:hAnsiTheme="minorHAnsi" w:cs="Arial"/>
        </w:rPr>
      </w:pPr>
      <w:r>
        <w:rPr>
          <w:rFonts w:asciiTheme="minorHAnsi" w:hAnsiTheme="minorHAnsi" w:cs="Arial"/>
        </w:rPr>
        <w:t xml:space="preserve">These principles of interpretation reflect the rules on interpretation of treaties set out in </w:t>
      </w:r>
      <w:r w:rsidRPr="00CC0B15">
        <w:rPr>
          <w:rFonts w:asciiTheme="minorHAnsi" w:hAnsiTheme="minorHAnsi" w:cs="Arial"/>
          <w:b/>
          <w:bCs/>
        </w:rPr>
        <w:t>articles 31-33 of the Vienna Convention on the Law of Treaties 1969</w:t>
      </w:r>
      <w:r>
        <w:rPr>
          <w:rFonts w:asciiTheme="minorHAnsi" w:hAnsiTheme="minorHAnsi" w:cs="Arial"/>
        </w:rPr>
        <w:t xml:space="preserve"> which are being increasingly recognised as applicable to rules of uniform law such as the Hague-Visby Rules and CMR etc both in the UK and other countries.  Detailed discussion of these principles and their application can be found in the papers available on my website in the section on CMR-AC.</w:t>
      </w:r>
    </w:p>
    <w:p w14:paraId="5135B52C" w14:textId="054DB655" w:rsidR="00961DB7" w:rsidRPr="009C69FE" w:rsidRDefault="00B4616D" w:rsidP="00AD74C3">
      <w:pPr>
        <w:pStyle w:val="NormalWeb"/>
        <w:shd w:val="clear" w:color="auto" w:fill="FFFFFF"/>
        <w:spacing w:before="0" w:beforeAutospacing="0" w:after="0" w:afterAutospacing="0"/>
        <w:rPr>
          <w:rFonts w:asciiTheme="minorHAnsi" w:hAnsiTheme="minorHAnsi"/>
          <w:color w:val="000000"/>
        </w:rPr>
      </w:pPr>
      <w:r>
        <w:rPr>
          <w:rFonts w:asciiTheme="minorHAnsi" w:hAnsiTheme="minorHAnsi" w:cs="Arial"/>
        </w:rPr>
        <w:br/>
      </w:r>
      <w:r w:rsidR="00177EA6" w:rsidRPr="009C69FE">
        <w:rPr>
          <w:rFonts w:asciiTheme="minorHAnsi" w:hAnsiTheme="minorHAnsi" w:cs="Arial"/>
        </w:rPr>
        <w:t xml:space="preserve">In respect of cases note the </w:t>
      </w:r>
      <w:r w:rsidR="00046AA3" w:rsidRPr="009C69FE">
        <w:rPr>
          <w:rFonts w:asciiTheme="minorHAnsi" w:hAnsiTheme="minorHAnsi" w:cs="Arial"/>
        </w:rPr>
        <w:t>UNIDROIT/</w:t>
      </w:r>
      <w:r w:rsidR="00177EA6" w:rsidRPr="009C69FE">
        <w:rPr>
          <w:rFonts w:asciiTheme="minorHAnsi" w:hAnsiTheme="minorHAnsi" w:cs="Arial"/>
        </w:rPr>
        <w:t>IDIT CMR database</w:t>
      </w:r>
      <w:r w:rsidR="00AA5AE4" w:rsidRPr="009C69FE">
        <w:rPr>
          <w:rFonts w:asciiTheme="minorHAnsi" w:hAnsiTheme="minorHAnsi" w:cs="Arial"/>
        </w:rPr>
        <w:t xml:space="preserve"> which is </w:t>
      </w:r>
      <w:r w:rsidR="005C1FA9" w:rsidRPr="009C69FE">
        <w:rPr>
          <w:rFonts w:asciiTheme="minorHAnsi" w:hAnsiTheme="minorHAnsi" w:cs="Arial"/>
        </w:rPr>
        <w:t>a substantial</w:t>
      </w:r>
      <w:r w:rsidR="00AA5AE4" w:rsidRPr="009C69FE">
        <w:rPr>
          <w:rFonts w:asciiTheme="minorHAnsi" w:hAnsiTheme="minorHAnsi" w:cs="Arial"/>
        </w:rPr>
        <w:t xml:space="preserve"> resource for searching CMR cases and related sources</w:t>
      </w:r>
      <w:r w:rsidR="00046AA3" w:rsidRPr="009C69FE">
        <w:rPr>
          <w:rFonts w:asciiTheme="minorHAnsi" w:hAnsiTheme="minorHAnsi" w:cs="Arial"/>
        </w:rPr>
        <w:t>:</w:t>
      </w:r>
      <w:r w:rsidR="00177EA6" w:rsidRPr="009C69FE">
        <w:rPr>
          <w:rFonts w:asciiTheme="minorHAnsi" w:hAnsiTheme="minorHAnsi" w:cs="Arial"/>
        </w:rPr>
        <w:t xml:space="preserve"> (</w:t>
      </w:r>
      <w:hyperlink r:id="rId20" w:history="1">
        <w:r w:rsidR="00046AA3" w:rsidRPr="009C69FE">
          <w:rPr>
            <w:rStyle w:val="Hyperlink"/>
            <w:rFonts w:asciiTheme="minorHAnsi" w:hAnsiTheme="minorHAnsi" w:cs="Arial"/>
          </w:rPr>
          <w:t>http://www.idit.asso.fr/sommaire.php?anglais=1</w:t>
        </w:r>
      </w:hyperlink>
      <w:r w:rsidR="00046AA3" w:rsidRPr="009C69FE">
        <w:rPr>
          <w:rFonts w:asciiTheme="minorHAnsi" w:hAnsiTheme="minorHAnsi" w:cs="Arial"/>
        </w:rPr>
        <w:t xml:space="preserve">) </w:t>
      </w:r>
    </w:p>
    <w:p w14:paraId="14743BAB" w14:textId="77777777" w:rsidR="00EF315C" w:rsidRPr="009C69FE" w:rsidRDefault="00046AA3">
      <w:pPr>
        <w:rPr>
          <w:rFonts w:cs="Arial"/>
          <w:sz w:val="24"/>
          <w:szCs w:val="24"/>
        </w:rPr>
      </w:pPr>
      <w:r w:rsidRPr="009C69FE">
        <w:rPr>
          <w:rFonts w:cs="Arial"/>
          <w:sz w:val="24"/>
          <w:szCs w:val="24"/>
        </w:rPr>
        <w:br/>
      </w:r>
      <w:r w:rsidR="00D327E9" w:rsidRPr="009C69FE">
        <w:rPr>
          <w:rFonts w:cs="Arial"/>
          <w:sz w:val="24"/>
          <w:szCs w:val="24"/>
        </w:rPr>
        <w:t>There has been a fair amount of</w:t>
      </w:r>
      <w:r w:rsidR="00EF315C" w:rsidRPr="009C69FE">
        <w:rPr>
          <w:rFonts w:cs="Arial"/>
          <w:sz w:val="24"/>
          <w:szCs w:val="24"/>
        </w:rPr>
        <w:t xml:space="preserve"> litigation of CMR</w:t>
      </w:r>
      <w:r w:rsidR="008B2F3B" w:rsidRPr="009C69FE">
        <w:rPr>
          <w:rFonts w:cs="Arial"/>
          <w:sz w:val="24"/>
          <w:szCs w:val="24"/>
        </w:rPr>
        <w:t xml:space="preserve"> in the UK</w:t>
      </w:r>
      <w:r w:rsidR="00EF315C" w:rsidRPr="009C69FE">
        <w:rPr>
          <w:rFonts w:cs="Arial"/>
          <w:sz w:val="24"/>
          <w:szCs w:val="24"/>
        </w:rPr>
        <w:t xml:space="preserve"> but none on CIM (as far as I am aware).  Some decisions have proved highly controversial and may point to some difficulty in ensuring that the right interpretative approach has been taken.</w:t>
      </w:r>
    </w:p>
    <w:p w14:paraId="3E17CCEB" w14:textId="77DBB26C" w:rsidR="00F364FC" w:rsidRDefault="00E55B13" w:rsidP="000C26B2">
      <w:pPr>
        <w:rPr>
          <w:rFonts w:cs="Arial"/>
          <w:bCs/>
          <w:sz w:val="24"/>
          <w:szCs w:val="24"/>
        </w:rPr>
      </w:pPr>
      <w:r>
        <w:rPr>
          <w:rFonts w:cs="Arial"/>
          <w:bCs/>
          <w:sz w:val="24"/>
          <w:szCs w:val="24"/>
        </w:rPr>
        <w:t xml:space="preserve">In </w:t>
      </w:r>
      <w:r w:rsidRPr="00BC682F">
        <w:rPr>
          <w:rFonts w:cs="Arial"/>
          <w:bCs/>
          <w:sz w:val="24"/>
          <w:szCs w:val="24"/>
        </w:rPr>
        <w:t xml:space="preserve">the case of </w:t>
      </w:r>
      <w:r w:rsidRPr="000B698B">
        <w:rPr>
          <w:rFonts w:cs="Arial"/>
          <w:b/>
          <w:sz w:val="24"/>
          <w:szCs w:val="24"/>
        </w:rPr>
        <w:t xml:space="preserve">James Buchanan &amp; Co Ltd v </w:t>
      </w:r>
      <w:proofErr w:type="spellStart"/>
      <w:r w:rsidRPr="000B698B">
        <w:rPr>
          <w:rFonts w:cs="Arial"/>
          <w:b/>
          <w:sz w:val="24"/>
          <w:szCs w:val="24"/>
        </w:rPr>
        <w:t>Babco</w:t>
      </w:r>
      <w:proofErr w:type="spellEnd"/>
      <w:r w:rsidRPr="000B698B">
        <w:rPr>
          <w:rFonts w:cs="Arial"/>
          <w:b/>
          <w:sz w:val="24"/>
          <w:szCs w:val="24"/>
        </w:rPr>
        <w:t xml:space="preserve"> Forwarding &amp; Shipping (UK) Ltd</w:t>
      </w:r>
      <w:r w:rsidRPr="00BC682F">
        <w:rPr>
          <w:rFonts w:cs="Arial"/>
          <w:bCs/>
          <w:sz w:val="24"/>
          <w:szCs w:val="24"/>
        </w:rPr>
        <w:t xml:space="preserve"> [1978] 1 Lloyd’s Rep. 119</w:t>
      </w:r>
      <w:r>
        <w:rPr>
          <w:rFonts w:cs="Arial"/>
          <w:bCs/>
          <w:sz w:val="24"/>
          <w:szCs w:val="24"/>
        </w:rPr>
        <w:t xml:space="preserve"> the House of Lords adopted a wide</w:t>
      </w:r>
      <w:r w:rsidR="00F364FC">
        <w:rPr>
          <w:rFonts w:cs="Arial"/>
          <w:bCs/>
          <w:sz w:val="24"/>
          <w:szCs w:val="24"/>
        </w:rPr>
        <w:t xml:space="preserve"> interpretation of</w:t>
      </w:r>
      <w:r>
        <w:rPr>
          <w:rFonts w:cs="Arial"/>
          <w:bCs/>
          <w:sz w:val="24"/>
          <w:szCs w:val="24"/>
        </w:rPr>
        <w:t xml:space="preserve"> the words: </w:t>
      </w:r>
      <w:r w:rsidRPr="00BC682F">
        <w:rPr>
          <w:rFonts w:cs="Arial"/>
          <w:bCs/>
          <w:sz w:val="24"/>
          <w:szCs w:val="24"/>
        </w:rPr>
        <w:t xml:space="preserve">“In </w:t>
      </w:r>
      <w:r w:rsidRPr="00BC682F">
        <w:rPr>
          <w:rFonts w:cs="Arial"/>
          <w:bCs/>
          <w:sz w:val="24"/>
          <w:szCs w:val="24"/>
        </w:rPr>
        <w:lastRenderedPageBreak/>
        <w:t>addition the carriage charges, Customs duties and other charges incurred in respect of the carriage shall be refunded in full in the case of total loss and in proportion to the loss sustained in the case of partial loss...” in art 23(4) of CMR (compare art 30(4) of URCIM (links to both set of rules are given below)).</w:t>
      </w:r>
      <w:r>
        <w:rPr>
          <w:rFonts w:cs="Arial"/>
          <w:bCs/>
          <w:sz w:val="24"/>
          <w:szCs w:val="24"/>
        </w:rPr>
        <w:t xml:space="preserve"> A natural reading of the words “other charges” would seem to be that in the case of loss or damage to the goods, the customer could claim a refund from the carrier of other sums paid to enable the goods to reach their destination.  Nevertheless, the House of Lords, by a majority, held that it was referring to other charges incurred by reason of the way the goods were carried.  This meant that the claimant could recover excise duty which had had to be paid to the UK authorities because the goods (whisky) had been stolen in the UK and had not been exported (no duty would have been payable if the goods had been exported or destroyed).  This wide interpretation is being reconsidered by the Supreme Court in the case of </w:t>
      </w:r>
      <w:r w:rsidRPr="000B698B">
        <w:rPr>
          <w:rFonts w:cs="Arial"/>
          <w:b/>
          <w:sz w:val="24"/>
          <w:szCs w:val="24"/>
        </w:rPr>
        <w:t>Marek Jakubowski v JTI Polska</w:t>
      </w:r>
      <w:r>
        <w:rPr>
          <w:rFonts w:cs="Arial"/>
          <w:bCs/>
          <w:sz w:val="24"/>
          <w:szCs w:val="24"/>
        </w:rPr>
        <w:t>.  Judgement in this case is expected later in the year.</w:t>
      </w:r>
    </w:p>
    <w:p w14:paraId="0D780AA5" w14:textId="4272B527" w:rsidR="00E3193B" w:rsidRPr="00F364FC" w:rsidRDefault="00835DE3" w:rsidP="000C26B2">
      <w:pPr>
        <w:rPr>
          <w:rFonts w:cs="Arial"/>
          <w:bCs/>
          <w:sz w:val="24"/>
          <w:szCs w:val="24"/>
        </w:rPr>
      </w:pPr>
      <w:r w:rsidRPr="009C69FE">
        <w:rPr>
          <w:rFonts w:cs="Arial"/>
          <w:sz w:val="24"/>
          <w:szCs w:val="24"/>
        </w:rPr>
        <w:t>A further point to note here is that</w:t>
      </w:r>
      <w:r>
        <w:rPr>
          <w:rFonts w:cs="Arial"/>
          <w:sz w:val="24"/>
          <w:szCs w:val="24"/>
        </w:rPr>
        <w:t>,</w:t>
      </w:r>
      <w:r w:rsidRPr="009C69FE">
        <w:rPr>
          <w:rFonts w:cs="Arial"/>
          <w:sz w:val="24"/>
          <w:szCs w:val="24"/>
        </w:rPr>
        <w:t xml:space="preserve"> as uniform law</w:t>
      </w:r>
      <w:r>
        <w:rPr>
          <w:rFonts w:cs="Arial"/>
          <w:sz w:val="24"/>
          <w:szCs w:val="24"/>
        </w:rPr>
        <w:t>,</w:t>
      </w:r>
      <w:r w:rsidRPr="009C69FE">
        <w:rPr>
          <w:rFonts w:cs="Arial"/>
          <w:sz w:val="24"/>
          <w:szCs w:val="24"/>
        </w:rPr>
        <w:t xml:space="preserve"> </w:t>
      </w:r>
      <w:r>
        <w:rPr>
          <w:rFonts w:cs="Arial"/>
          <w:sz w:val="24"/>
          <w:szCs w:val="24"/>
        </w:rPr>
        <w:t xml:space="preserve">once a court decides that </w:t>
      </w:r>
      <w:r w:rsidRPr="009C69FE">
        <w:rPr>
          <w:rFonts w:cs="Arial"/>
          <w:sz w:val="24"/>
          <w:szCs w:val="24"/>
        </w:rPr>
        <w:t xml:space="preserve">CMR </w:t>
      </w:r>
      <w:r>
        <w:rPr>
          <w:rFonts w:cs="Arial"/>
          <w:sz w:val="24"/>
          <w:szCs w:val="24"/>
        </w:rPr>
        <w:t>applies to a case under its scope of application rules it is</w:t>
      </w:r>
      <w:r w:rsidRPr="009C69FE">
        <w:rPr>
          <w:rFonts w:cs="Arial"/>
          <w:sz w:val="24"/>
          <w:szCs w:val="24"/>
        </w:rPr>
        <w:t xml:space="preserve"> applied </w:t>
      </w:r>
      <w:r>
        <w:rPr>
          <w:rFonts w:cs="Arial"/>
          <w:sz w:val="24"/>
          <w:szCs w:val="24"/>
        </w:rPr>
        <w:t>as the law of the forum</w:t>
      </w:r>
      <w:r w:rsidRPr="009C69FE">
        <w:rPr>
          <w:rFonts w:cs="Arial"/>
          <w:sz w:val="24"/>
          <w:szCs w:val="24"/>
        </w:rPr>
        <w:t xml:space="preserve"> without </w:t>
      </w:r>
      <w:r>
        <w:rPr>
          <w:rFonts w:cs="Arial"/>
          <w:sz w:val="24"/>
          <w:szCs w:val="24"/>
        </w:rPr>
        <w:t xml:space="preserve">the need to consider any issue of </w:t>
      </w:r>
      <w:r w:rsidRPr="009C69FE">
        <w:rPr>
          <w:rFonts w:cs="Arial"/>
          <w:sz w:val="24"/>
          <w:szCs w:val="24"/>
        </w:rPr>
        <w:t>conflicts of law</w:t>
      </w:r>
      <w:r>
        <w:rPr>
          <w:rFonts w:cs="Arial"/>
          <w:sz w:val="24"/>
          <w:szCs w:val="24"/>
        </w:rPr>
        <w:t>,</w:t>
      </w:r>
      <w:r w:rsidRPr="009C69FE">
        <w:rPr>
          <w:rFonts w:cs="Arial"/>
          <w:sz w:val="24"/>
          <w:szCs w:val="24"/>
        </w:rPr>
        <w:t xml:space="preserve"> see s.1 of the 1965 Act (see below) and </w:t>
      </w:r>
      <w:r w:rsidRPr="009C69FE">
        <w:rPr>
          <w:rFonts w:cs="Arial"/>
          <w:b/>
          <w:sz w:val="24"/>
          <w:szCs w:val="24"/>
        </w:rPr>
        <w:t xml:space="preserve">A B </w:t>
      </w:r>
      <w:proofErr w:type="spellStart"/>
      <w:r w:rsidRPr="009C69FE">
        <w:rPr>
          <w:rFonts w:cs="Arial"/>
          <w:b/>
          <w:sz w:val="24"/>
          <w:szCs w:val="24"/>
        </w:rPr>
        <w:t>Bofors</w:t>
      </w:r>
      <w:proofErr w:type="spellEnd"/>
      <w:r w:rsidRPr="009C69FE">
        <w:rPr>
          <w:rFonts w:cs="Arial"/>
          <w:b/>
          <w:sz w:val="24"/>
          <w:szCs w:val="24"/>
        </w:rPr>
        <w:t xml:space="preserve"> UVA, CAV Ltd v A B Skandia Transport</w:t>
      </w:r>
      <w:r w:rsidRPr="009C69FE">
        <w:rPr>
          <w:rFonts w:cs="Arial"/>
          <w:sz w:val="24"/>
          <w:szCs w:val="24"/>
        </w:rPr>
        <w:t xml:space="preserve"> [1982] 1 Lloyd’s Rep. 410.</w:t>
      </w:r>
      <w:r>
        <w:rPr>
          <w:rFonts w:cs="Arial"/>
          <w:sz w:val="24"/>
          <w:szCs w:val="24"/>
        </w:rPr>
        <w:t xml:space="preserve"> One of the purposes of uniform law is to remove the need to consider issues of conflicts of law which can be costly and time consuming.  Consequently, whilst issues of interpretation of the terms of a contract might still have to be determined under the law applicable to the contract, any issue of the interpretation of the uniform law must be determined under the court’s own law without reference to any foreign law.</w:t>
      </w:r>
      <w:r w:rsidR="00D75BC0">
        <w:rPr>
          <w:rFonts w:cs="Arial"/>
          <w:sz w:val="24"/>
          <w:szCs w:val="24"/>
        </w:rPr>
        <w:t xml:space="preserve"> </w:t>
      </w:r>
      <w:r w:rsidR="00224FA3">
        <w:rPr>
          <w:rFonts w:cs="Arial"/>
          <w:sz w:val="24"/>
          <w:szCs w:val="24"/>
        </w:rPr>
        <w:t>Thus, conventions such as CMR are said to have a unilateral conflicts rule.</w:t>
      </w:r>
    </w:p>
    <w:p w14:paraId="513D09A6" w14:textId="77777777" w:rsidR="000C26B2" w:rsidRPr="009C69FE" w:rsidRDefault="000C26B2" w:rsidP="000C26B2">
      <w:pPr>
        <w:rPr>
          <w:rFonts w:cs="Arial"/>
          <w:sz w:val="24"/>
          <w:szCs w:val="24"/>
        </w:rPr>
      </w:pPr>
      <w:r w:rsidRPr="009C69FE">
        <w:rPr>
          <w:rFonts w:cs="Arial"/>
          <w:sz w:val="24"/>
          <w:szCs w:val="24"/>
        </w:rPr>
        <w:br/>
      </w:r>
      <w:r w:rsidRPr="009C69FE">
        <w:rPr>
          <w:rFonts w:cs="Arial"/>
          <w:b/>
          <w:sz w:val="24"/>
          <w:szCs w:val="24"/>
        </w:rPr>
        <w:t>3</w:t>
      </w:r>
      <w:r w:rsidR="00B72317" w:rsidRPr="009C69FE">
        <w:rPr>
          <w:rFonts w:cs="Arial"/>
          <w:b/>
          <w:sz w:val="24"/>
          <w:szCs w:val="24"/>
        </w:rPr>
        <w:t>.</w:t>
      </w:r>
      <w:r w:rsidR="00A3656F" w:rsidRPr="009C69FE">
        <w:rPr>
          <w:rFonts w:cs="Arial"/>
          <w:b/>
          <w:sz w:val="24"/>
          <w:szCs w:val="24"/>
        </w:rPr>
        <w:t>3</w:t>
      </w:r>
      <w:r w:rsidRPr="009C69FE">
        <w:rPr>
          <w:rFonts w:cs="Arial"/>
          <w:b/>
          <w:sz w:val="24"/>
          <w:szCs w:val="24"/>
        </w:rPr>
        <w:t xml:space="preserve"> Application of CMR:</w:t>
      </w:r>
    </w:p>
    <w:p w14:paraId="2DA7F781" w14:textId="77777777" w:rsidR="00D6188F" w:rsidRPr="009C69FE" w:rsidRDefault="007B0946" w:rsidP="000C26B2">
      <w:pPr>
        <w:rPr>
          <w:rFonts w:cs="Arial"/>
          <w:sz w:val="24"/>
          <w:szCs w:val="24"/>
        </w:rPr>
      </w:pPr>
      <w:r w:rsidRPr="009C69FE">
        <w:rPr>
          <w:rFonts w:cs="Arial"/>
          <w:b/>
          <w:sz w:val="24"/>
          <w:szCs w:val="24"/>
        </w:rPr>
        <w:t>3.3.1</w:t>
      </w:r>
      <w:r w:rsidRPr="009C69FE">
        <w:rPr>
          <w:rFonts w:cs="Arial"/>
          <w:sz w:val="24"/>
          <w:szCs w:val="24"/>
        </w:rPr>
        <w:t xml:space="preserve"> </w:t>
      </w:r>
      <w:r w:rsidR="006778AE" w:rsidRPr="009C69FE">
        <w:rPr>
          <w:rFonts w:cs="Arial"/>
          <w:sz w:val="24"/>
          <w:szCs w:val="24"/>
        </w:rPr>
        <w:t xml:space="preserve">CMR is given effect in the UK by the </w:t>
      </w:r>
      <w:r w:rsidR="006778AE" w:rsidRPr="00A14FE9">
        <w:rPr>
          <w:rFonts w:cs="Arial"/>
          <w:b/>
          <w:bCs/>
          <w:sz w:val="24"/>
          <w:szCs w:val="24"/>
        </w:rPr>
        <w:t xml:space="preserve">Carriage of Goods </w:t>
      </w:r>
      <w:proofErr w:type="gramStart"/>
      <w:r w:rsidR="006778AE" w:rsidRPr="00A14FE9">
        <w:rPr>
          <w:rFonts w:cs="Arial"/>
          <w:b/>
          <w:bCs/>
          <w:sz w:val="24"/>
          <w:szCs w:val="24"/>
        </w:rPr>
        <w:t>By</w:t>
      </w:r>
      <w:proofErr w:type="gramEnd"/>
      <w:r w:rsidR="006778AE" w:rsidRPr="00A14FE9">
        <w:rPr>
          <w:rFonts w:cs="Arial"/>
          <w:b/>
          <w:bCs/>
          <w:sz w:val="24"/>
          <w:szCs w:val="24"/>
        </w:rPr>
        <w:t xml:space="preserve"> Road Act 1965</w:t>
      </w:r>
      <w:r w:rsidR="006778AE" w:rsidRPr="009C69FE">
        <w:rPr>
          <w:rFonts w:cs="Arial"/>
          <w:sz w:val="24"/>
          <w:szCs w:val="24"/>
        </w:rPr>
        <w:t xml:space="preserve"> (in force 1967) an</w:t>
      </w:r>
      <w:r w:rsidR="006629E6" w:rsidRPr="009C69FE">
        <w:rPr>
          <w:rFonts w:cs="Arial"/>
          <w:sz w:val="24"/>
          <w:szCs w:val="24"/>
        </w:rPr>
        <w:t>d</w:t>
      </w:r>
      <w:r w:rsidR="006778AE" w:rsidRPr="009C69FE">
        <w:rPr>
          <w:rFonts w:cs="Arial"/>
          <w:sz w:val="24"/>
          <w:szCs w:val="24"/>
        </w:rPr>
        <w:t xml:space="preserve"> is set out in the schedule of the Act (</w:t>
      </w:r>
      <w:hyperlink r:id="rId21" w:history="1">
        <w:r w:rsidR="006629E6" w:rsidRPr="009C69FE">
          <w:rPr>
            <w:rStyle w:val="Hyperlink"/>
            <w:rFonts w:cs="Arial"/>
            <w:sz w:val="24"/>
            <w:szCs w:val="24"/>
          </w:rPr>
          <w:t>http://www.legislation.gov.uk/ukpga/1965/37</w:t>
        </w:r>
      </w:hyperlink>
      <w:r w:rsidR="00B4616D">
        <w:rPr>
          <w:rFonts w:cs="Arial"/>
          <w:sz w:val="24"/>
          <w:szCs w:val="24"/>
        </w:rPr>
        <w:t>)</w:t>
      </w:r>
      <w:r w:rsidR="006778AE" w:rsidRPr="009C69FE">
        <w:rPr>
          <w:rFonts w:cs="Arial"/>
          <w:sz w:val="24"/>
          <w:szCs w:val="24"/>
        </w:rPr>
        <w:t xml:space="preserve">.  </w:t>
      </w:r>
      <w:r w:rsidR="00D6188F" w:rsidRPr="009C69FE">
        <w:rPr>
          <w:rFonts w:cs="Arial"/>
          <w:sz w:val="24"/>
          <w:szCs w:val="24"/>
        </w:rPr>
        <w:t>It</w:t>
      </w:r>
      <w:r w:rsidR="000C26B2" w:rsidRPr="009C69FE">
        <w:rPr>
          <w:rFonts w:cs="Arial"/>
          <w:sz w:val="24"/>
          <w:szCs w:val="24"/>
        </w:rPr>
        <w:t xml:space="preserve"> applies to every </w:t>
      </w:r>
      <w:r w:rsidR="000C26B2" w:rsidRPr="009C69FE">
        <w:rPr>
          <w:rFonts w:cs="Arial"/>
          <w:b/>
          <w:sz w:val="24"/>
          <w:szCs w:val="24"/>
        </w:rPr>
        <w:t>contract</w:t>
      </w:r>
      <w:r w:rsidR="000C26B2" w:rsidRPr="009C69FE">
        <w:rPr>
          <w:rFonts w:cs="Arial"/>
          <w:sz w:val="24"/>
          <w:szCs w:val="24"/>
        </w:rPr>
        <w:t xml:space="preserve"> for the carriage of </w:t>
      </w:r>
      <w:r w:rsidR="000C26B2" w:rsidRPr="009C69FE">
        <w:rPr>
          <w:rFonts w:cs="Arial"/>
          <w:b/>
          <w:sz w:val="24"/>
          <w:szCs w:val="24"/>
        </w:rPr>
        <w:t>goods</w:t>
      </w:r>
      <w:r w:rsidR="000C26B2" w:rsidRPr="009C69FE">
        <w:rPr>
          <w:rFonts w:cs="Arial"/>
          <w:sz w:val="24"/>
          <w:szCs w:val="24"/>
        </w:rPr>
        <w:t xml:space="preserve"> by road in </w:t>
      </w:r>
      <w:r w:rsidR="000C26B2" w:rsidRPr="009C69FE">
        <w:rPr>
          <w:rFonts w:cs="Arial"/>
          <w:b/>
          <w:sz w:val="24"/>
          <w:szCs w:val="24"/>
        </w:rPr>
        <w:t>vehicles</w:t>
      </w:r>
      <w:r w:rsidR="000C26B2" w:rsidRPr="009C69FE">
        <w:rPr>
          <w:rFonts w:cs="Arial"/>
          <w:sz w:val="24"/>
          <w:szCs w:val="24"/>
        </w:rPr>
        <w:t xml:space="preserve"> for reward, when the </w:t>
      </w:r>
      <w:r w:rsidR="000C26B2" w:rsidRPr="009C69FE">
        <w:rPr>
          <w:rFonts w:cs="Arial"/>
          <w:b/>
          <w:sz w:val="24"/>
          <w:szCs w:val="24"/>
        </w:rPr>
        <w:t>place of taking over</w:t>
      </w:r>
      <w:r w:rsidR="000C26B2" w:rsidRPr="009C69FE">
        <w:rPr>
          <w:rFonts w:cs="Arial"/>
          <w:sz w:val="24"/>
          <w:szCs w:val="24"/>
        </w:rPr>
        <w:t xml:space="preserve"> and the </w:t>
      </w:r>
      <w:r w:rsidR="000C26B2" w:rsidRPr="009C69FE">
        <w:rPr>
          <w:rFonts w:cs="Arial"/>
          <w:b/>
          <w:sz w:val="24"/>
          <w:szCs w:val="24"/>
        </w:rPr>
        <w:t>place designated for delivery</w:t>
      </w:r>
      <w:r w:rsidR="000C26B2" w:rsidRPr="009C69FE">
        <w:rPr>
          <w:rFonts w:cs="Arial"/>
          <w:sz w:val="24"/>
          <w:szCs w:val="24"/>
        </w:rPr>
        <w:t xml:space="preserve">, as specified in the contract, are situated in two countries of which at least </w:t>
      </w:r>
      <w:r w:rsidR="000C26B2" w:rsidRPr="009C69FE">
        <w:rPr>
          <w:rFonts w:cs="Arial"/>
          <w:b/>
          <w:sz w:val="24"/>
          <w:szCs w:val="24"/>
        </w:rPr>
        <w:t>one is a Contracting country</w:t>
      </w:r>
      <w:r w:rsidR="000C26B2" w:rsidRPr="009C69FE">
        <w:rPr>
          <w:rFonts w:cs="Arial"/>
          <w:sz w:val="24"/>
          <w:szCs w:val="24"/>
        </w:rPr>
        <w:t>, irrespective of the place of residence and the nationality of the parties (my emphasis) (art1 (1)). This provides for a potentially wide geographical scope increasing the prospect for a court in a contracting state to apply the rules.</w:t>
      </w:r>
      <w:r w:rsidR="00037519" w:rsidRPr="009C69FE">
        <w:rPr>
          <w:rFonts w:cs="Arial"/>
          <w:sz w:val="24"/>
          <w:szCs w:val="24"/>
        </w:rPr>
        <w:t xml:space="preserve">  </w:t>
      </w:r>
    </w:p>
    <w:p w14:paraId="1FCECD4F" w14:textId="77777777" w:rsidR="000C26B2" w:rsidRPr="009C69FE" w:rsidRDefault="000C26B2" w:rsidP="000C26B2">
      <w:pPr>
        <w:rPr>
          <w:rFonts w:cs="Arial"/>
          <w:sz w:val="24"/>
          <w:szCs w:val="24"/>
        </w:rPr>
      </w:pPr>
      <w:r w:rsidRPr="009C69FE">
        <w:rPr>
          <w:rFonts w:cs="Arial"/>
          <w:sz w:val="24"/>
          <w:szCs w:val="24"/>
        </w:rPr>
        <w:t xml:space="preserve">Must involve a contract </w:t>
      </w:r>
      <w:r w:rsidR="00037519" w:rsidRPr="009C69FE">
        <w:rPr>
          <w:rFonts w:cs="Arial"/>
          <w:sz w:val="24"/>
          <w:szCs w:val="24"/>
        </w:rPr>
        <w:t xml:space="preserve">for the carriage by road – gratuitous </w:t>
      </w:r>
      <w:r w:rsidRPr="009C69FE">
        <w:rPr>
          <w:rFonts w:cs="Arial"/>
          <w:sz w:val="24"/>
          <w:szCs w:val="24"/>
        </w:rPr>
        <w:t xml:space="preserve">carriage </w:t>
      </w:r>
      <w:r w:rsidR="00037519" w:rsidRPr="009C69FE">
        <w:rPr>
          <w:rFonts w:cs="Arial"/>
          <w:sz w:val="24"/>
          <w:szCs w:val="24"/>
        </w:rPr>
        <w:t>is not covered (</w:t>
      </w:r>
      <w:proofErr w:type="spellStart"/>
      <w:r w:rsidR="00037519" w:rsidRPr="009C69FE">
        <w:rPr>
          <w:rFonts w:cs="Arial"/>
          <w:sz w:val="24"/>
          <w:szCs w:val="24"/>
        </w:rPr>
        <w:t>nb.</w:t>
      </w:r>
      <w:proofErr w:type="spellEnd"/>
      <w:r w:rsidR="00037519" w:rsidRPr="009C69FE">
        <w:rPr>
          <w:rFonts w:cs="Arial"/>
          <w:sz w:val="24"/>
          <w:szCs w:val="24"/>
        </w:rPr>
        <w:t xml:space="preserve"> for the moment </w:t>
      </w:r>
      <w:r w:rsidR="00BD4930">
        <w:rPr>
          <w:rFonts w:cs="Arial"/>
          <w:sz w:val="24"/>
          <w:szCs w:val="24"/>
        </w:rPr>
        <w:t xml:space="preserve">we are </w:t>
      </w:r>
      <w:r w:rsidR="00037519" w:rsidRPr="009C69FE">
        <w:rPr>
          <w:rFonts w:cs="Arial"/>
          <w:sz w:val="24"/>
          <w:szCs w:val="24"/>
        </w:rPr>
        <w:t>assum</w:t>
      </w:r>
      <w:r w:rsidR="00BD4930">
        <w:rPr>
          <w:rFonts w:cs="Arial"/>
          <w:sz w:val="24"/>
          <w:szCs w:val="24"/>
        </w:rPr>
        <w:t>ing</w:t>
      </w:r>
      <w:r w:rsidR="00037519" w:rsidRPr="009C69FE">
        <w:rPr>
          <w:rFonts w:cs="Arial"/>
          <w:sz w:val="24"/>
          <w:szCs w:val="24"/>
        </w:rPr>
        <w:t xml:space="preserve"> that the </w:t>
      </w:r>
      <w:r w:rsidR="00BD4930">
        <w:rPr>
          <w:rFonts w:cs="Arial"/>
          <w:sz w:val="24"/>
          <w:szCs w:val="24"/>
        </w:rPr>
        <w:t xml:space="preserve">relevant </w:t>
      </w:r>
      <w:r w:rsidR="00037519" w:rsidRPr="009C69FE">
        <w:rPr>
          <w:rFonts w:cs="Arial"/>
          <w:sz w:val="24"/>
          <w:szCs w:val="24"/>
        </w:rPr>
        <w:t xml:space="preserve">contract expressly states that the carriage will be by </w:t>
      </w:r>
      <w:proofErr w:type="gramStart"/>
      <w:r w:rsidR="00037519" w:rsidRPr="009C69FE">
        <w:rPr>
          <w:rFonts w:cs="Arial"/>
          <w:sz w:val="24"/>
          <w:szCs w:val="24"/>
        </w:rPr>
        <w:t>road</w:t>
      </w:r>
      <w:proofErr w:type="gramEnd"/>
      <w:r w:rsidR="00037519" w:rsidRPr="009C69FE">
        <w:rPr>
          <w:rFonts w:cs="Arial"/>
          <w:sz w:val="24"/>
          <w:szCs w:val="24"/>
        </w:rPr>
        <w:t xml:space="preserve"> an</w:t>
      </w:r>
      <w:r w:rsidR="00F7148A" w:rsidRPr="009C69FE">
        <w:rPr>
          <w:rFonts w:cs="Arial"/>
          <w:sz w:val="24"/>
          <w:szCs w:val="24"/>
        </w:rPr>
        <w:t>d</w:t>
      </w:r>
      <w:r w:rsidR="00D6188F" w:rsidRPr="009C69FE">
        <w:rPr>
          <w:rFonts w:cs="Arial"/>
          <w:sz w:val="24"/>
          <w:szCs w:val="24"/>
        </w:rPr>
        <w:t xml:space="preserve"> this </w:t>
      </w:r>
      <w:r w:rsidR="00BD4930">
        <w:rPr>
          <w:rFonts w:cs="Arial"/>
          <w:sz w:val="24"/>
          <w:szCs w:val="24"/>
        </w:rPr>
        <w:t>is the sole method of transport</w:t>
      </w:r>
      <w:r w:rsidR="00D6188F" w:rsidRPr="009C69FE">
        <w:rPr>
          <w:rFonts w:cs="Arial"/>
          <w:sz w:val="24"/>
          <w:szCs w:val="24"/>
        </w:rPr>
        <w:t xml:space="preserve"> (f</w:t>
      </w:r>
      <w:r w:rsidR="00037519" w:rsidRPr="009C69FE">
        <w:rPr>
          <w:rFonts w:cs="Arial"/>
          <w:sz w:val="24"/>
          <w:szCs w:val="24"/>
        </w:rPr>
        <w:t xml:space="preserve">urther </w:t>
      </w:r>
      <w:r w:rsidR="00F7148A" w:rsidRPr="009C69FE">
        <w:rPr>
          <w:rFonts w:cs="Arial"/>
          <w:sz w:val="24"/>
          <w:szCs w:val="24"/>
        </w:rPr>
        <w:t>complexities are considered later);</w:t>
      </w:r>
    </w:p>
    <w:p w14:paraId="5BA70113" w14:textId="77777777" w:rsidR="000C26B2" w:rsidRPr="009C69FE" w:rsidRDefault="000C26B2" w:rsidP="000C26B2">
      <w:pPr>
        <w:rPr>
          <w:rFonts w:cs="Arial"/>
          <w:sz w:val="24"/>
          <w:szCs w:val="24"/>
        </w:rPr>
      </w:pPr>
      <w:r w:rsidRPr="009C69FE">
        <w:rPr>
          <w:rFonts w:cs="Arial"/>
          <w:sz w:val="24"/>
          <w:szCs w:val="24"/>
        </w:rPr>
        <w:t xml:space="preserve">Goods–no definition, possibly wide – even a vehicle might be goods in some circumstances– </w:t>
      </w:r>
      <w:proofErr w:type="gramStart"/>
      <w:r w:rsidRPr="009C69FE">
        <w:rPr>
          <w:rFonts w:cs="Arial"/>
          <w:sz w:val="24"/>
          <w:szCs w:val="24"/>
        </w:rPr>
        <w:t>e.g.</w:t>
      </w:r>
      <w:proofErr w:type="gramEnd"/>
      <w:r w:rsidRPr="009C69FE">
        <w:rPr>
          <w:rFonts w:cs="Arial"/>
          <w:sz w:val="24"/>
          <w:szCs w:val="24"/>
        </w:rPr>
        <w:t xml:space="preserve"> a semi-trailer;</w:t>
      </w:r>
    </w:p>
    <w:p w14:paraId="30E12AA4" w14:textId="77777777" w:rsidR="005C33CD" w:rsidRPr="009C69FE" w:rsidRDefault="000C26B2" w:rsidP="000C26B2">
      <w:pPr>
        <w:rPr>
          <w:rFonts w:cs="Arial"/>
          <w:sz w:val="24"/>
          <w:szCs w:val="24"/>
        </w:rPr>
      </w:pPr>
      <w:r w:rsidRPr="009C69FE">
        <w:rPr>
          <w:rFonts w:cs="Arial"/>
          <w:sz w:val="24"/>
          <w:szCs w:val="24"/>
        </w:rPr>
        <w:t xml:space="preserve">Must be in a road vehicle </w:t>
      </w:r>
      <w:r w:rsidR="005C33CD" w:rsidRPr="009C69FE">
        <w:rPr>
          <w:rFonts w:cs="Arial"/>
          <w:sz w:val="24"/>
          <w:szCs w:val="24"/>
        </w:rPr>
        <w:t>- art 1(2):</w:t>
      </w:r>
      <w:r w:rsidR="00B4616D">
        <w:rPr>
          <w:rFonts w:cs="Arial"/>
          <w:sz w:val="24"/>
          <w:szCs w:val="24"/>
        </w:rPr>
        <w:br/>
      </w:r>
      <w:r w:rsidR="005C33CD" w:rsidRPr="009C69FE">
        <w:rPr>
          <w:rFonts w:cs="Arial"/>
          <w:sz w:val="24"/>
          <w:szCs w:val="24"/>
        </w:rPr>
        <w:t>“motor vehicles, articulated vehicles, trailers and semi-trailers as defined in art 4 of the Convention on Road Traffic dated 19</w:t>
      </w:r>
      <w:r w:rsidR="005C33CD" w:rsidRPr="009C69FE">
        <w:rPr>
          <w:rFonts w:cs="Arial"/>
          <w:sz w:val="24"/>
          <w:szCs w:val="24"/>
          <w:vertAlign w:val="superscript"/>
        </w:rPr>
        <w:t>th</w:t>
      </w:r>
      <w:r w:rsidR="005C33CD" w:rsidRPr="009C69FE">
        <w:rPr>
          <w:rFonts w:cs="Arial"/>
          <w:sz w:val="24"/>
          <w:szCs w:val="24"/>
        </w:rPr>
        <w:t xml:space="preserve"> September 1949”</w:t>
      </w:r>
      <w:r w:rsidR="00FB19EC" w:rsidRPr="009C69FE">
        <w:rPr>
          <w:rFonts w:cs="Arial"/>
          <w:sz w:val="24"/>
          <w:szCs w:val="24"/>
        </w:rPr>
        <w:t xml:space="preserve"> (i.e.</w:t>
      </w:r>
      <w:r w:rsidR="002C3484" w:rsidRPr="009C69FE">
        <w:rPr>
          <w:rFonts w:cs="Arial"/>
          <w:sz w:val="24"/>
          <w:szCs w:val="24"/>
        </w:rPr>
        <w:t xml:space="preserve"> </w:t>
      </w:r>
      <w:r w:rsidR="00FB19EC" w:rsidRPr="009C69FE">
        <w:rPr>
          <w:rFonts w:cs="Arial"/>
          <w:sz w:val="24"/>
          <w:szCs w:val="24"/>
        </w:rPr>
        <w:t xml:space="preserve">art 4: </w:t>
      </w:r>
      <w:r w:rsidR="00FB19EC" w:rsidRPr="009C69FE">
        <w:rPr>
          <w:sz w:val="24"/>
          <w:szCs w:val="24"/>
        </w:rPr>
        <w:t xml:space="preserve">"Motor vehicle" means </w:t>
      </w:r>
      <w:r w:rsidR="00FB19EC" w:rsidRPr="009C69FE">
        <w:rPr>
          <w:sz w:val="24"/>
          <w:szCs w:val="24"/>
        </w:rPr>
        <w:lastRenderedPageBreak/>
        <w:t>any self-propelled vehicle normally used for the transport of persons or goods upon a road, other than vehicles running on rails or connected to electric conductors; "Articulated vehicle" means any motor vehicle with a trailer having no front axle and so attached that part of the trailer is superimposed upon the motor vehicle and a substantial part of the weight of the trailer and of its load is borne by the motor vehicle. Such a trailer s</w:t>
      </w:r>
      <w:r w:rsidR="00B4616D">
        <w:rPr>
          <w:sz w:val="24"/>
          <w:szCs w:val="24"/>
        </w:rPr>
        <w:t>hall be called a "semi-trailer"</w:t>
      </w:r>
      <w:r w:rsidR="00FB19EC" w:rsidRPr="009C69FE">
        <w:rPr>
          <w:sz w:val="24"/>
          <w:szCs w:val="24"/>
        </w:rPr>
        <w:t xml:space="preserve"> "Trailer" means any vehicle designed to be drawn by a motor vehicle).    </w:t>
      </w:r>
    </w:p>
    <w:p w14:paraId="492DAF44" w14:textId="77777777" w:rsidR="0016364A" w:rsidRPr="009C69FE" w:rsidRDefault="005C33CD" w:rsidP="000C26B2">
      <w:pPr>
        <w:rPr>
          <w:rFonts w:cs="Arial"/>
          <w:sz w:val="24"/>
          <w:szCs w:val="24"/>
        </w:rPr>
      </w:pPr>
      <w:r w:rsidRPr="009C69FE">
        <w:rPr>
          <w:rFonts w:cs="Arial"/>
          <w:sz w:val="24"/>
          <w:szCs w:val="24"/>
        </w:rPr>
        <w:t>A</w:t>
      </w:r>
      <w:r w:rsidR="000C26B2" w:rsidRPr="009C69FE">
        <w:rPr>
          <w:rFonts w:cs="Arial"/>
          <w:sz w:val="24"/>
          <w:szCs w:val="24"/>
        </w:rPr>
        <w:t xml:space="preserve"> container is not a vehicle – this has implicat</w:t>
      </w:r>
      <w:r w:rsidR="0016364A" w:rsidRPr="009C69FE">
        <w:rPr>
          <w:rFonts w:cs="Arial"/>
          <w:sz w:val="24"/>
          <w:szCs w:val="24"/>
        </w:rPr>
        <w:t>ions for the application of CMR:</w:t>
      </w:r>
    </w:p>
    <w:p w14:paraId="78A9ADCC" w14:textId="77777777" w:rsidR="0016364A" w:rsidRPr="009C69FE" w:rsidRDefault="0016364A" w:rsidP="000C26B2">
      <w:pPr>
        <w:rPr>
          <w:rFonts w:cs="Arial"/>
          <w:sz w:val="24"/>
          <w:szCs w:val="24"/>
        </w:rPr>
      </w:pPr>
      <w:r w:rsidRPr="009C69FE">
        <w:rPr>
          <w:rFonts w:cs="Arial"/>
          <w:sz w:val="24"/>
          <w:szCs w:val="24"/>
        </w:rPr>
        <w:t xml:space="preserve">Article 2 of CMR provides for its continued application where a road vehicle containing the goods </w:t>
      </w:r>
      <w:r w:rsidR="00975818" w:rsidRPr="009C69FE">
        <w:rPr>
          <w:rFonts w:cs="Arial"/>
          <w:sz w:val="24"/>
          <w:szCs w:val="24"/>
        </w:rPr>
        <w:t xml:space="preserve">(which are not unloaded) </w:t>
      </w:r>
      <w:r w:rsidRPr="009C69FE">
        <w:rPr>
          <w:rFonts w:cs="Arial"/>
          <w:sz w:val="24"/>
          <w:szCs w:val="24"/>
        </w:rPr>
        <w:t>is carried on another mode of transport. A container lifted off a road vehicle and on to a ship does not fall within art 2.</w:t>
      </w:r>
    </w:p>
    <w:p w14:paraId="207D731B" w14:textId="1C16AAC6" w:rsidR="00E93BF2" w:rsidRPr="009C69FE" w:rsidRDefault="00C54712" w:rsidP="000C26B2">
      <w:pPr>
        <w:rPr>
          <w:rFonts w:cs="Arial"/>
          <w:b/>
          <w:sz w:val="24"/>
          <w:szCs w:val="24"/>
        </w:rPr>
      </w:pPr>
      <w:r w:rsidRPr="009C69FE">
        <w:rPr>
          <w:rFonts w:cs="Arial"/>
          <w:b/>
          <w:sz w:val="24"/>
          <w:szCs w:val="24"/>
        </w:rPr>
        <w:t xml:space="preserve">Q </w:t>
      </w:r>
      <w:r w:rsidR="00E55E21">
        <w:rPr>
          <w:rFonts w:cs="Arial"/>
          <w:b/>
          <w:sz w:val="24"/>
          <w:szCs w:val="24"/>
        </w:rPr>
        <w:t>2</w:t>
      </w:r>
      <w:r w:rsidRPr="009C69FE">
        <w:rPr>
          <w:rFonts w:cs="Arial"/>
          <w:b/>
          <w:sz w:val="24"/>
          <w:szCs w:val="24"/>
        </w:rPr>
        <w:t xml:space="preserve"> Find out what </w:t>
      </w:r>
      <w:r w:rsidR="00E93BF2" w:rsidRPr="009C69FE">
        <w:rPr>
          <w:rFonts w:cs="Arial"/>
          <w:b/>
          <w:sz w:val="24"/>
          <w:szCs w:val="24"/>
        </w:rPr>
        <w:t>a swap body an</w:t>
      </w:r>
      <w:r w:rsidRPr="009C69FE">
        <w:rPr>
          <w:rFonts w:cs="Arial"/>
          <w:b/>
          <w:sz w:val="24"/>
          <w:szCs w:val="24"/>
        </w:rPr>
        <w:t xml:space="preserve">d </w:t>
      </w:r>
      <w:r w:rsidR="00E93BF2" w:rsidRPr="009C69FE">
        <w:rPr>
          <w:rFonts w:cs="Arial"/>
          <w:b/>
          <w:sz w:val="24"/>
          <w:szCs w:val="24"/>
        </w:rPr>
        <w:t xml:space="preserve">a </w:t>
      </w:r>
      <w:proofErr w:type="spellStart"/>
      <w:r w:rsidR="00E93BF2" w:rsidRPr="009C69FE">
        <w:rPr>
          <w:rFonts w:cs="Arial"/>
          <w:b/>
          <w:sz w:val="24"/>
          <w:szCs w:val="24"/>
        </w:rPr>
        <w:t>mafi</w:t>
      </w:r>
      <w:proofErr w:type="spellEnd"/>
      <w:r w:rsidR="00E93BF2" w:rsidRPr="009C69FE">
        <w:rPr>
          <w:rFonts w:cs="Arial"/>
          <w:b/>
          <w:sz w:val="24"/>
          <w:szCs w:val="24"/>
        </w:rPr>
        <w:t xml:space="preserve"> trailer</w:t>
      </w:r>
      <w:r w:rsidRPr="009C69FE">
        <w:rPr>
          <w:rFonts w:cs="Arial"/>
          <w:b/>
          <w:sz w:val="24"/>
          <w:szCs w:val="24"/>
        </w:rPr>
        <w:t xml:space="preserve"> are</w:t>
      </w:r>
      <w:r w:rsidR="00E93BF2" w:rsidRPr="009C69FE">
        <w:rPr>
          <w:rFonts w:cs="Arial"/>
          <w:b/>
          <w:sz w:val="24"/>
          <w:szCs w:val="24"/>
        </w:rPr>
        <w:t xml:space="preserve">. Do </w:t>
      </w:r>
      <w:proofErr w:type="gramStart"/>
      <w:r w:rsidR="00E93BF2" w:rsidRPr="009C69FE">
        <w:rPr>
          <w:rFonts w:cs="Arial"/>
          <w:b/>
          <w:sz w:val="24"/>
          <w:szCs w:val="24"/>
        </w:rPr>
        <w:t>these fall</w:t>
      </w:r>
      <w:proofErr w:type="gramEnd"/>
      <w:r w:rsidR="00E93BF2" w:rsidRPr="009C69FE">
        <w:rPr>
          <w:rFonts w:cs="Arial"/>
          <w:b/>
          <w:sz w:val="24"/>
          <w:szCs w:val="24"/>
        </w:rPr>
        <w:t xml:space="preserve"> within art 2 of CMR?</w:t>
      </w:r>
      <w:r w:rsidRPr="009C69FE">
        <w:rPr>
          <w:rFonts w:cs="Arial"/>
          <w:b/>
          <w:sz w:val="24"/>
          <w:szCs w:val="24"/>
        </w:rPr>
        <w:t xml:space="preserve"> What about walking vehicles</w:t>
      </w:r>
      <w:r w:rsidR="003A3D95" w:rsidRPr="009C69FE">
        <w:rPr>
          <w:rFonts w:cs="Arial"/>
          <w:b/>
          <w:sz w:val="24"/>
          <w:szCs w:val="24"/>
        </w:rPr>
        <w:t xml:space="preserve"> </w:t>
      </w:r>
      <w:r w:rsidRPr="009C69FE">
        <w:rPr>
          <w:rFonts w:cs="Arial"/>
          <w:b/>
          <w:sz w:val="24"/>
          <w:szCs w:val="24"/>
        </w:rPr>
        <w:t>(</w:t>
      </w:r>
      <w:hyperlink r:id="rId22" w:history="1">
        <w:r w:rsidR="003A3D95" w:rsidRPr="009C69FE">
          <w:rPr>
            <w:rStyle w:val="Hyperlink"/>
            <w:rFonts w:cs="Arial"/>
            <w:b/>
            <w:sz w:val="24"/>
            <w:szCs w:val="24"/>
          </w:rPr>
          <w:t>https://www.bbc.co.uk/news/technology-46794087</w:t>
        </w:r>
      </w:hyperlink>
      <w:r w:rsidRPr="009C69FE">
        <w:rPr>
          <w:sz w:val="24"/>
          <w:szCs w:val="24"/>
        </w:rPr>
        <w:t>)</w:t>
      </w:r>
      <w:r w:rsidRPr="002C17B8">
        <w:rPr>
          <w:b/>
          <w:sz w:val="24"/>
          <w:szCs w:val="24"/>
        </w:rPr>
        <w:t>?</w:t>
      </w:r>
      <w:r w:rsidR="003A3D95" w:rsidRPr="009C69FE">
        <w:rPr>
          <w:rFonts w:cs="Arial"/>
          <w:b/>
          <w:sz w:val="24"/>
          <w:szCs w:val="24"/>
        </w:rPr>
        <w:t xml:space="preserve"> </w:t>
      </w:r>
    </w:p>
    <w:p w14:paraId="07B5A05D" w14:textId="77777777" w:rsidR="000C26B2" w:rsidRPr="009C69FE" w:rsidRDefault="007B0946" w:rsidP="000C26B2">
      <w:pPr>
        <w:rPr>
          <w:rFonts w:cs="Arial"/>
          <w:sz w:val="24"/>
          <w:szCs w:val="24"/>
        </w:rPr>
      </w:pPr>
      <w:r w:rsidRPr="009C69FE">
        <w:rPr>
          <w:rFonts w:cs="Arial"/>
          <w:b/>
          <w:sz w:val="24"/>
          <w:szCs w:val="24"/>
        </w:rPr>
        <w:t>3.3.2</w:t>
      </w:r>
      <w:r w:rsidR="00B72317" w:rsidRPr="009C69FE">
        <w:rPr>
          <w:rFonts w:cs="Arial"/>
          <w:b/>
          <w:sz w:val="24"/>
          <w:szCs w:val="24"/>
        </w:rPr>
        <w:t xml:space="preserve"> </w:t>
      </w:r>
      <w:r w:rsidR="000C26B2" w:rsidRPr="009C69FE">
        <w:rPr>
          <w:rFonts w:cs="Arial"/>
          <w:b/>
          <w:sz w:val="24"/>
          <w:szCs w:val="24"/>
        </w:rPr>
        <w:t>Exclusions</w:t>
      </w:r>
      <w:r w:rsidR="000C26B2" w:rsidRPr="009C69FE">
        <w:rPr>
          <w:rFonts w:cs="Arial"/>
          <w:sz w:val="24"/>
          <w:szCs w:val="24"/>
        </w:rPr>
        <w:t xml:space="preserve"> </w:t>
      </w:r>
      <w:r w:rsidR="000C26B2" w:rsidRPr="009C69FE">
        <w:rPr>
          <w:rFonts w:cs="Arial"/>
          <w:b/>
          <w:sz w:val="24"/>
          <w:szCs w:val="24"/>
        </w:rPr>
        <w:t>(art.1(4))</w:t>
      </w:r>
    </w:p>
    <w:p w14:paraId="5DD5C32F" w14:textId="77777777" w:rsidR="00FB19EC" w:rsidRPr="009C69FE" w:rsidRDefault="000C26B2" w:rsidP="000C26B2">
      <w:pPr>
        <w:rPr>
          <w:rFonts w:cs="Arial"/>
          <w:sz w:val="24"/>
          <w:szCs w:val="24"/>
        </w:rPr>
      </w:pPr>
      <w:r w:rsidRPr="009C69FE">
        <w:rPr>
          <w:rFonts w:cs="Arial"/>
          <w:sz w:val="24"/>
          <w:szCs w:val="24"/>
        </w:rPr>
        <w:t>CMR does not apply to:</w:t>
      </w:r>
      <w:r w:rsidR="00BD4930">
        <w:rPr>
          <w:rFonts w:cs="Arial"/>
          <w:sz w:val="24"/>
          <w:szCs w:val="24"/>
        </w:rPr>
        <w:br/>
      </w:r>
      <w:r w:rsidR="00907ED9" w:rsidRPr="009C69FE">
        <w:rPr>
          <w:rFonts w:cs="Arial"/>
          <w:sz w:val="24"/>
          <w:szCs w:val="24"/>
        </w:rPr>
        <w:br/>
      </w:r>
      <w:r w:rsidRPr="009C69FE">
        <w:rPr>
          <w:rFonts w:cs="Arial"/>
          <w:sz w:val="24"/>
          <w:szCs w:val="24"/>
        </w:rPr>
        <w:t xml:space="preserve">Carriage under international postal </w:t>
      </w:r>
      <w:r w:rsidR="00FB19EC" w:rsidRPr="009C69FE">
        <w:rPr>
          <w:rFonts w:cs="Arial"/>
          <w:sz w:val="24"/>
          <w:szCs w:val="24"/>
        </w:rPr>
        <w:t>convention</w:t>
      </w:r>
      <w:r w:rsidR="002C3484" w:rsidRPr="009C69FE">
        <w:rPr>
          <w:rFonts w:cs="Arial"/>
          <w:sz w:val="24"/>
          <w:szCs w:val="24"/>
        </w:rPr>
        <w:br/>
      </w:r>
      <w:r w:rsidR="00FB19EC" w:rsidRPr="009C69FE">
        <w:rPr>
          <w:rFonts w:cs="Arial"/>
          <w:sz w:val="24"/>
          <w:szCs w:val="24"/>
        </w:rPr>
        <w:t>Funeral consignments</w:t>
      </w:r>
      <w:r w:rsidR="00FB19EC" w:rsidRPr="009C69FE">
        <w:rPr>
          <w:rFonts w:cs="Arial"/>
          <w:sz w:val="24"/>
          <w:szCs w:val="24"/>
        </w:rPr>
        <w:br/>
      </w:r>
      <w:r w:rsidRPr="009C69FE">
        <w:rPr>
          <w:rFonts w:cs="Arial"/>
          <w:sz w:val="24"/>
          <w:szCs w:val="24"/>
        </w:rPr>
        <w:t>Furniture removal</w:t>
      </w:r>
      <w:r w:rsidR="00925395" w:rsidRPr="009C69FE">
        <w:rPr>
          <w:rFonts w:cs="Arial"/>
          <w:sz w:val="24"/>
          <w:szCs w:val="24"/>
        </w:rPr>
        <w:t xml:space="preserve"> (see</w:t>
      </w:r>
      <w:r w:rsidR="00925395" w:rsidRPr="009C69FE">
        <w:rPr>
          <w:rFonts w:cs="Arial"/>
          <w:b/>
          <w:sz w:val="24"/>
          <w:szCs w:val="24"/>
        </w:rPr>
        <w:t xml:space="preserve"> Parr v Clark &amp; Rose Ltd</w:t>
      </w:r>
      <w:r w:rsidR="00925395" w:rsidRPr="009C69FE">
        <w:rPr>
          <w:rFonts w:cs="Arial"/>
          <w:sz w:val="24"/>
          <w:szCs w:val="24"/>
        </w:rPr>
        <w:t xml:space="preserve"> [2002] SCLR 222)</w:t>
      </w:r>
    </w:p>
    <w:p w14:paraId="6CADD323" w14:textId="1DA5BEFA" w:rsidR="000C26B2" w:rsidRPr="009C69FE" w:rsidRDefault="00FB19EC" w:rsidP="000C26B2">
      <w:pPr>
        <w:rPr>
          <w:rFonts w:cs="Arial"/>
          <w:b/>
          <w:sz w:val="24"/>
          <w:szCs w:val="24"/>
        </w:rPr>
      </w:pPr>
      <w:r w:rsidRPr="009C69FE">
        <w:rPr>
          <w:rFonts w:cs="Arial"/>
          <w:b/>
          <w:sz w:val="24"/>
          <w:szCs w:val="24"/>
        </w:rPr>
        <w:t>Q</w:t>
      </w:r>
      <w:r w:rsidR="00C016B5">
        <w:rPr>
          <w:rFonts w:cs="Arial"/>
          <w:b/>
          <w:sz w:val="24"/>
          <w:szCs w:val="24"/>
        </w:rPr>
        <w:t>3</w:t>
      </w:r>
      <w:r w:rsidR="006629E6" w:rsidRPr="009C69FE">
        <w:rPr>
          <w:rFonts w:cs="Arial"/>
          <w:b/>
          <w:sz w:val="24"/>
          <w:szCs w:val="24"/>
        </w:rPr>
        <w:t>. F</w:t>
      </w:r>
      <w:r w:rsidRPr="009C69FE">
        <w:rPr>
          <w:rFonts w:cs="Arial"/>
          <w:b/>
          <w:sz w:val="24"/>
          <w:szCs w:val="24"/>
        </w:rPr>
        <w:t>urniture removal</w:t>
      </w:r>
      <w:r w:rsidR="006629E6" w:rsidRPr="009C69FE">
        <w:rPr>
          <w:rFonts w:cs="Arial"/>
          <w:b/>
          <w:sz w:val="24"/>
          <w:szCs w:val="24"/>
        </w:rPr>
        <w:t xml:space="preserve"> is not defined in the Convention.  </w:t>
      </w:r>
      <w:r w:rsidR="003A07EE" w:rsidRPr="009C69FE">
        <w:rPr>
          <w:rFonts w:cs="Arial"/>
          <w:b/>
          <w:sz w:val="24"/>
          <w:szCs w:val="24"/>
        </w:rPr>
        <w:t xml:space="preserve">What criteria do you think might be </w:t>
      </w:r>
      <w:r w:rsidR="00D456E4" w:rsidRPr="009C69FE">
        <w:rPr>
          <w:rFonts w:cs="Arial"/>
          <w:b/>
          <w:sz w:val="24"/>
          <w:szCs w:val="24"/>
        </w:rPr>
        <w:t>use</w:t>
      </w:r>
      <w:r w:rsidR="003A07EE" w:rsidRPr="009C69FE">
        <w:rPr>
          <w:rFonts w:cs="Arial"/>
          <w:b/>
          <w:sz w:val="24"/>
          <w:szCs w:val="24"/>
        </w:rPr>
        <w:t>d</w:t>
      </w:r>
      <w:r w:rsidR="00D456E4" w:rsidRPr="009C69FE">
        <w:rPr>
          <w:rFonts w:cs="Arial"/>
          <w:b/>
          <w:sz w:val="24"/>
          <w:szCs w:val="24"/>
        </w:rPr>
        <w:t xml:space="preserve"> to</w:t>
      </w:r>
      <w:r w:rsidR="006629E6" w:rsidRPr="009C69FE">
        <w:rPr>
          <w:rFonts w:cs="Arial"/>
          <w:b/>
          <w:sz w:val="24"/>
          <w:szCs w:val="24"/>
        </w:rPr>
        <w:t xml:space="preserve"> distinguis</w:t>
      </w:r>
      <w:r w:rsidR="00D456E4" w:rsidRPr="009C69FE">
        <w:rPr>
          <w:rFonts w:cs="Arial"/>
          <w:b/>
          <w:sz w:val="24"/>
          <w:szCs w:val="24"/>
        </w:rPr>
        <w:t>h it</w:t>
      </w:r>
      <w:r w:rsidR="006629E6" w:rsidRPr="009C69FE">
        <w:rPr>
          <w:rFonts w:cs="Arial"/>
          <w:b/>
          <w:sz w:val="24"/>
          <w:szCs w:val="24"/>
        </w:rPr>
        <w:t xml:space="preserve"> from carriage of goods by road generally? </w:t>
      </w:r>
      <w:r w:rsidR="000C26B2" w:rsidRPr="009C69FE">
        <w:rPr>
          <w:rFonts w:cs="Arial"/>
          <w:b/>
          <w:sz w:val="24"/>
          <w:szCs w:val="24"/>
        </w:rPr>
        <w:br/>
      </w:r>
      <w:r w:rsidR="00A3656F" w:rsidRPr="009C69FE">
        <w:rPr>
          <w:rFonts w:cs="Arial"/>
          <w:b/>
          <w:sz w:val="24"/>
          <w:szCs w:val="24"/>
        </w:rPr>
        <w:br/>
      </w:r>
      <w:r w:rsidR="000C26B2" w:rsidRPr="009C69FE">
        <w:rPr>
          <w:rFonts w:cs="Arial"/>
          <w:sz w:val="24"/>
          <w:szCs w:val="24"/>
        </w:rPr>
        <w:t>By a protocol of signature CMR does not apply to traffic between UK and Eire.</w:t>
      </w:r>
    </w:p>
    <w:p w14:paraId="6389E996" w14:textId="77777777" w:rsidR="000C26B2" w:rsidRDefault="007B0946" w:rsidP="000C26B2">
      <w:pPr>
        <w:rPr>
          <w:rFonts w:cs="Arial"/>
          <w:b/>
          <w:sz w:val="24"/>
          <w:szCs w:val="24"/>
        </w:rPr>
      </w:pPr>
      <w:r w:rsidRPr="009C69FE">
        <w:rPr>
          <w:rFonts w:cs="Arial"/>
          <w:b/>
          <w:sz w:val="24"/>
          <w:szCs w:val="24"/>
        </w:rPr>
        <w:t>3.3.3</w:t>
      </w:r>
      <w:r w:rsidR="00FB19EC" w:rsidRPr="009C69FE">
        <w:rPr>
          <w:rFonts w:cs="Arial"/>
          <w:b/>
          <w:sz w:val="24"/>
          <w:szCs w:val="24"/>
        </w:rPr>
        <w:t xml:space="preserve"> </w:t>
      </w:r>
      <w:r w:rsidR="000C26B2" w:rsidRPr="009C69FE">
        <w:rPr>
          <w:rFonts w:cs="Arial"/>
          <w:b/>
          <w:sz w:val="24"/>
          <w:szCs w:val="24"/>
        </w:rPr>
        <w:t>Documentation</w:t>
      </w:r>
    </w:p>
    <w:p w14:paraId="3CD313B5" w14:textId="432ABDCC" w:rsidR="00335BE5" w:rsidRDefault="00091643" w:rsidP="000C26B2">
      <w:pPr>
        <w:rPr>
          <w:rFonts w:cs="Arial"/>
          <w:bCs/>
          <w:sz w:val="24"/>
          <w:szCs w:val="24"/>
        </w:rPr>
      </w:pPr>
      <w:r>
        <w:rPr>
          <w:rFonts w:cs="Arial"/>
          <w:bCs/>
          <w:sz w:val="24"/>
          <w:szCs w:val="24"/>
        </w:rPr>
        <w:t xml:space="preserve">The road and rail conventions envisage the use of consignment notes.  The use of this type of documentation is common generally in national and international road and rail carriage. </w:t>
      </w:r>
      <w:r w:rsidR="00930B02">
        <w:rPr>
          <w:rFonts w:cs="Arial"/>
          <w:bCs/>
          <w:sz w:val="24"/>
          <w:szCs w:val="24"/>
        </w:rPr>
        <w:t xml:space="preserve"> An alternative term for a similar document is a waybill.  This is commonly used in air transport</w:t>
      </w:r>
      <w:r w:rsidR="00287C18">
        <w:rPr>
          <w:rFonts w:cs="Arial"/>
          <w:bCs/>
          <w:sz w:val="24"/>
          <w:szCs w:val="24"/>
        </w:rPr>
        <w:t>.  In sea transport the classic document is the bill of lading</w:t>
      </w:r>
      <w:r w:rsidR="00AF0CF0">
        <w:rPr>
          <w:rFonts w:cs="Arial"/>
          <w:bCs/>
          <w:sz w:val="24"/>
          <w:szCs w:val="24"/>
        </w:rPr>
        <w:t xml:space="preserve"> although</w:t>
      </w:r>
      <w:r w:rsidR="00287C18">
        <w:rPr>
          <w:rFonts w:cs="Arial"/>
          <w:bCs/>
          <w:sz w:val="24"/>
          <w:szCs w:val="24"/>
        </w:rPr>
        <w:t xml:space="preserve"> </w:t>
      </w:r>
      <w:proofErr w:type="spellStart"/>
      <w:r w:rsidR="00AF0CF0">
        <w:rPr>
          <w:rFonts w:cs="Arial"/>
          <w:bCs/>
          <w:sz w:val="24"/>
          <w:szCs w:val="24"/>
        </w:rPr>
        <w:t>sea</w:t>
      </w:r>
      <w:r w:rsidR="00287C18">
        <w:rPr>
          <w:rFonts w:cs="Arial"/>
          <w:bCs/>
          <w:sz w:val="24"/>
          <w:szCs w:val="24"/>
        </w:rPr>
        <w:t>waybills</w:t>
      </w:r>
      <w:proofErr w:type="spellEnd"/>
      <w:r w:rsidR="00287C18">
        <w:rPr>
          <w:rFonts w:cs="Arial"/>
          <w:bCs/>
          <w:sz w:val="24"/>
          <w:szCs w:val="24"/>
        </w:rPr>
        <w:t xml:space="preserve"> are commonly available as an alternative</w:t>
      </w:r>
      <w:r w:rsidR="00880FBB">
        <w:rPr>
          <w:rFonts w:cs="Arial"/>
          <w:bCs/>
          <w:sz w:val="24"/>
          <w:szCs w:val="24"/>
        </w:rPr>
        <w:t xml:space="preserve"> </w:t>
      </w:r>
      <w:r w:rsidR="001F6019">
        <w:rPr>
          <w:rFonts w:cs="Arial"/>
          <w:bCs/>
          <w:sz w:val="24"/>
          <w:szCs w:val="24"/>
        </w:rPr>
        <w:t>(even in sea carriage documents called consignment notes are sometimes used)</w:t>
      </w:r>
      <w:r w:rsidR="00930B02">
        <w:rPr>
          <w:rFonts w:cs="Arial"/>
          <w:bCs/>
          <w:sz w:val="24"/>
          <w:szCs w:val="24"/>
        </w:rPr>
        <w:t>.  Road, rail and air consignment notes or waybill</w:t>
      </w:r>
      <w:r w:rsidR="006971A5">
        <w:rPr>
          <w:rFonts w:cs="Arial"/>
          <w:bCs/>
          <w:sz w:val="24"/>
          <w:szCs w:val="24"/>
        </w:rPr>
        <w:t>s</w:t>
      </w:r>
      <w:r w:rsidR="00930B02">
        <w:rPr>
          <w:rFonts w:cs="Arial"/>
          <w:bCs/>
          <w:sz w:val="24"/>
          <w:szCs w:val="24"/>
        </w:rPr>
        <w:t xml:space="preserve"> used</w:t>
      </w:r>
      <w:r w:rsidR="006971A5">
        <w:rPr>
          <w:rFonts w:cs="Arial"/>
          <w:bCs/>
          <w:sz w:val="24"/>
          <w:szCs w:val="24"/>
        </w:rPr>
        <w:t xml:space="preserve"> in international air carriage </w:t>
      </w:r>
      <w:r w:rsidR="00880FBB">
        <w:rPr>
          <w:rFonts w:cs="Arial"/>
          <w:bCs/>
          <w:sz w:val="24"/>
          <w:szCs w:val="24"/>
        </w:rPr>
        <w:t>operate in similar ways</w:t>
      </w:r>
      <w:r w:rsidR="00287C18">
        <w:rPr>
          <w:rFonts w:cs="Arial"/>
          <w:bCs/>
          <w:sz w:val="24"/>
          <w:szCs w:val="24"/>
        </w:rPr>
        <w:t xml:space="preserve"> with similar rules</w:t>
      </w:r>
      <w:r w:rsidR="00880FBB">
        <w:rPr>
          <w:rFonts w:cs="Arial"/>
          <w:bCs/>
          <w:sz w:val="24"/>
          <w:szCs w:val="24"/>
        </w:rPr>
        <w:t xml:space="preserve">.  </w:t>
      </w:r>
      <w:r w:rsidR="00287C18">
        <w:rPr>
          <w:rFonts w:cs="Arial"/>
          <w:bCs/>
          <w:sz w:val="24"/>
          <w:szCs w:val="24"/>
        </w:rPr>
        <w:t xml:space="preserve">The main difference they have with bills of lading is that they are not transferable (see below).  </w:t>
      </w:r>
      <w:proofErr w:type="spellStart"/>
      <w:r w:rsidR="001F6019">
        <w:rPr>
          <w:rFonts w:cs="Arial"/>
          <w:bCs/>
          <w:sz w:val="24"/>
          <w:szCs w:val="24"/>
        </w:rPr>
        <w:t>Seawaybills</w:t>
      </w:r>
      <w:proofErr w:type="spellEnd"/>
      <w:r w:rsidR="001F6019">
        <w:rPr>
          <w:rFonts w:cs="Arial"/>
          <w:bCs/>
          <w:sz w:val="24"/>
          <w:szCs w:val="24"/>
        </w:rPr>
        <w:t xml:space="preserve"> are </w:t>
      </w:r>
      <w:proofErr w:type="gramStart"/>
      <w:r w:rsidR="001F6019">
        <w:rPr>
          <w:rFonts w:cs="Arial"/>
          <w:bCs/>
          <w:sz w:val="24"/>
          <w:szCs w:val="24"/>
        </w:rPr>
        <w:t xml:space="preserve">similar </w:t>
      </w:r>
      <w:r w:rsidR="00287C18">
        <w:rPr>
          <w:rFonts w:cs="Arial"/>
          <w:bCs/>
          <w:sz w:val="24"/>
          <w:szCs w:val="24"/>
        </w:rPr>
        <w:t>to</w:t>
      </w:r>
      <w:proofErr w:type="gramEnd"/>
      <w:r w:rsidR="00287C18">
        <w:rPr>
          <w:rFonts w:cs="Arial"/>
          <w:bCs/>
          <w:sz w:val="24"/>
          <w:szCs w:val="24"/>
        </w:rPr>
        <w:t xml:space="preserve"> these consignment notes </w:t>
      </w:r>
      <w:r w:rsidR="001F6019">
        <w:rPr>
          <w:rFonts w:cs="Arial"/>
          <w:bCs/>
          <w:sz w:val="24"/>
          <w:szCs w:val="24"/>
        </w:rPr>
        <w:t xml:space="preserve">but since they are not as such subject to any international </w:t>
      </w:r>
      <w:r w:rsidR="00AF0CF0">
        <w:rPr>
          <w:rFonts w:cs="Arial"/>
          <w:bCs/>
          <w:sz w:val="24"/>
          <w:szCs w:val="24"/>
        </w:rPr>
        <w:t>convention,</w:t>
      </w:r>
      <w:r w:rsidR="001F6019">
        <w:rPr>
          <w:rFonts w:cs="Arial"/>
          <w:bCs/>
          <w:sz w:val="24"/>
          <w:szCs w:val="24"/>
        </w:rPr>
        <w:t xml:space="preserve"> </w:t>
      </w:r>
      <w:r w:rsidR="00335BE5">
        <w:rPr>
          <w:rFonts w:cs="Arial"/>
          <w:bCs/>
          <w:sz w:val="24"/>
          <w:szCs w:val="24"/>
        </w:rPr>
        <w:t xml:space="preserve">they will not share </w:t>
      </w:r>
      <w:r w:rsidR="001F6019">
        <w:rPr>
          <w:rFonts w:cs="Arial"/>
          <w:bCs/>
          <w:sz w:val="24"/>
          <w:szCs w:val="24"/>
        </w:rPr>
        <w:t xml:space="preserve">some of the more formal </w:t>
      </w:r>
      <w:r w:rsidR="00335BE5">
        <w:rPr>
          <w:rFonts w:cs="Arial"/>
          <w:bCs/>
          <w:sz w:val="24"/>
          <w:szCs w:val="24"/>
        </w:rPr>
        <w:t>features</w:t>
      </w:r>
      <w:r w:rsidR="001F6019">
        <w:rPr>
          <w:rFonts w:cs="Arial"/>
          <w:bCs/>
          <w:sz w:val="24"/>
          <w:szCs w:val="24"/>
        </w:rPr>
        <w:t xml:space="preserve"> adopted in the road, rail and air conventions. </w:t>
      </w:r>
    </w:p>
    <w:p w14:paraId="08A7D608" w14:textId="77777777" w:rsidR="00091643" w:rsidRPr="00091643" w:rsidRDefault="00880FBB" w:rsidP="000C26B2">
      <w:pPr>
        <w:rPr>
          <w:rFonts w:cs="Arial"/>
          <w:bCs/>
          <w:sz w:val="24"/>
          <w:szCs w:val="24"/>
        </w:rPr>
      </w:pPr>
      <w:r>
        <w:rPr>
          <w:rFonts w:cs="Arial"/>
          <w:bCs/>
          <w:sz w:val="24"/>
          <w:szCs w:val="24"/>
        </w:rPr>
        <w:t xml:space="preserve">We will start with an outline of the basic position </w:t>
      </w:r>
      <w:r w:rsidR="001F6019">
        <w:rPr>
          <w:rFonts w:cs="Arial"/>
          <w:bCs/>
          <w:sz w:val="24"/>
          <w:szCs w:val="24"/>
        </w:rPr>
        <w:t>under the CMR Convention.  This will give an idea of main features of such documents and provide a basis for comparison with bills of lading which will be taken further in para 3.3.3.2 and later enable some problems of the use of carriage documentation in multimodal transport to be drawn out.</w:t>
      </w:r>
      <w:r w:rsidR="00930B02">
        <w:rPr>
          <w:rFonts w:cs="Arial"/>
          <w:bCs/>
          <w:sz w:val="24"/>
          <w:szCs w:val="24"/>
        </w:rPr>
        <w:t xml:space="preserve"> </w:t>
      </w:r>
    </w:p>
    <w:p w14:paraId="29CAAB21" w14:textId="77777777" w:rsidR="000C26B2" w:rsidRPr="009C69FE" w:rsidRDefault="00C54712" w:rsidP="000C26B2">
      <w:pPr>
        <w:rPr>
          <w:rFonts w:cs="Arial"/>
          <w:sz w:val="24"/>
          <w:szCs w:val="24"/>
        </w:rPr>
      </w:pPr>
      <w:proofErr w:type="gramStart"/>
      <w:r w:rsidRPr="009C69FE">
        <w:rPr>
          <w:rFonts w:cs="Arial"/>
          <w:b/>
          <w:sz w:val="24"/>
          <w:szCs w:val="24"/>
        </w:rPr>
        <w:t>3.3.3.1</w:t>
      </w:r>
      <w:r w:rsidRPr="009C69FE">
        <w:rPr>
          <w:rFonts w:cs="Arial"/>
          <w:sz w:val="24"/>
          <w:szCs w:val="24"/>
        </w:rPr>
        <w:t xml:space="preserve"> </w:t>
      </w:r>
      <w:r w:rsidR="001F6019">
        <w:rPr>
          <w:rFonts w:cs="Arial"/>
          <w:sz w:val="24"/>
          <w:szCs w:val="24"/>
        </w:rPr>
        <w:t xml:space="preserve"> As</w:t>
      </w:r>
      <w:proofErr w:type="gramEnd"/>
      <w:r w:rsidR="001F6019">
        <w:rPr>
          <w:rFonts w:cs="Arial"/>
          <w:sz w:val="24"/>
          <w:szCs w:val="24"/>
        </w:rPr>
        <w:t xml:space="preserve"> just noted </w:t>
      </w:r>
      <w:r w:rsidR="001F6019" w:rsidRPr="009C69FE">
        <w:rPr>
          <w:rFonts w:cs="Arial"/>
          <w:sz w:val="24"/>
          <w:szCs w:val="24"/>
        </w:rPr>
        <w:t xml:space="preserve">CMR envisages the issue of a CMR consignment note but its absence or irregularity does not affect the existence or validity of the contract which remains subject </w:t>
      </w:r>
      <w:r w:rsidR="001F6019" w:rsidRPr="009C69FE">
        <w:rPr>
          <w:rFonts w:cs="Arial"/>
          <w:sz w:val="24"/>
          <w:szCs w:val="24"/>
        </w:rPr>
        <w:lastRenderedPageBreak/>
        <w:t>to CMR (art.4</w:t>
      </w:r>
      <w:r w:rsidR="00287C18">
        <w:rPr>
          <w:rFonts w:cs="Arial"/>
          <w:sz w:val="24"/>
          <w:szCs w:val="24"/>
        </w:rPr>
        <w:t xml:space="preserve"> – cf. the Hague-Visby Rules which require the carriage</w:t>
      </w:r>
      <w:r w:rsidR="00335BE5">
        <w:rPr>
          <w:rFonts w:cs="Arial"/>
          <w:sz w:val="24"/>
          <w:szCs w:val="24"/>
        </w:rPr>
        <w:t xml:space="preserve"> of goods by sea </w:t>
      </w:r>
      <w:r w:rsidR="00287C18">
        <w:rPr>
          <w:rFonts w:cs="Arial"/>
          <w:sz w:val="24"/>
          <w:szCs w:val="24"/>
        </w:rPr>
        <w:t>contract to be ‘covered’ by a bill of lading</w:t>
      </w:r>
      <w:r w:rsidR="001F6019" w:rsidRPr="009C69FE">
        <w:rPr>
          <w:rFonts w:cs="Arial"/>
          <w:sz w:val="24"/>
          <w:szCs w:val="24"/>
        </w:rPr>
        <w:t>).</w:t>
      </w:r>
      <w:r w:rsidR="00AC342F">
        <w:rPr>
          <w:rFonts w:cs="Arial"/>
          <w:sz w:val="24"/>
          <w:szCs w:val="24"/>
        </w:rPr>
        <w:t xml:space="preserve">  No particular form is specified by the convention but a model form is provided by the </w:t>
      </w:r>
      <w:r w:rsidR="002C415B">
        <w:rPr>
          <w:rFonts w:cs="Arial"/>
          <w:sz w:val="24"/>
          <w:szCs w:val="24"/>
        </w:rPr>
        <w:t xml:space="preserve">IRU (International Road Transport Union - </w:t>
      </w:r>
      <w:hyperlink r:id="rId23" w:history="1">
        <w:r w:rsidR="002C415B" w:rsidRPr="00041C9A">
          <w:rPr>
            <w:rStyle w:val="Hyperlink"/>
            <w:rFonts w:cs="Arial"/>
            <w:sz w:val="24"/>
            <w:szCs w:val="24"/>
          </w:rPr>
          <w:t>https://www.iru.org/sites/default/files/2017-01/how-to-fill-cmr-model-iru-2007-en.pdf</w:t>
        </w:r>
      </w:hyperlink>
      <w:r w:rsidR="002C415B">
        <w:rPr>
          <w:rFonts w:cs="Arial"/>
          <w:sz w:val="24"/>
          <w:szCs w:val="24"/>
        </w:rPr>
        <w:t>).</w:t>
      </w:r>
      <w:r w:rsidR="00A96A2C">
        <w:rPr>
          <w:rFonts w:cs="Arial"/>
          <w:sz w:val="24"/>
          <w:szCs w:val="24"/>
        </w:rPr>
        <w:br/>
      </w:r>
      <w:r w:rsidR="001F6019" w:rsidRPr="009C69FE">
        <w:rPr>
          <w:rFonts w:cs="Arial"/>
          <w:sz w:val="24"/>
          <w:szCs w:val="24"/>
        </w:rPr>
        <w:br/>
      </w:r>
      <w:r w:rsidR="000C26B2" w:rsidRPr="009C69FE">
        <w:rPr>
          <w:rFonts w:cs="Arial"/>
          <w:sz w:val="24"/>
          <w:szCs w:val="24"/>
        </w:rPr>
        <w:t xml:space="preserve">The consignment note should be made out in 3 original copies, signed by the sender and carrier.  The first copy is for the sender, the second copy accompanies the </w:t>
      </w:r>
      <w:proofErr w:type="gramStart"/>
      <w:r w:rsidR="000C26B2" w:rsidRPr="009C69FE">
        <w:rPr>
          <w:rFonts w:cs="Arial"/>
          <w:sz w:val="24"/>
          <w:szCs w:val="24"/>
        </w:rPr>
        <w:t>goods</w:t>
      </w:r>
      <w:proofErr w:type="gramEnd"/>
      <w:r w:rsidR="000C26B2" w:rsidRPr="009C69FE">
        <w:rPr>
          <w:rFonts w:cs="Arial"/>
          <w:sz w:val="24"/>
          <w:szCs w:val="24"/>
        </w:rPr>
        <w:t xml:space="preserve"> and the third copy is for the carrier (art.5(1)).  On the arrival of the goods the consignee is entitled to require delivery of the goods and the second copy of the consignment note (art.13(1)) subject to payment of any charges shown to be due on it (art.13(2)).  It should contain several details such as the name and address of sender, carrier and consignee, places of taking over and delivery and details of the goods such as their description, number of packages and weight along with details of charges and instructions for customs (art.6(1)).  It should also contain details that may be necessary because of certain features or requirements of the contract </w:t>
      </w:r>
      <w:proofErr w:type="gramStart"/>
      <w:r w:rsidR="000C26B2" w:rsidRPr="009C69FE">
        <w:rPr>
          <w:rFonts w:cs="Arial"/>
          <w:sz w:val="24"/>
          <w:szCs w:val="24"/>
        </w:rPr>
        <w:t>e.g.</w:t>
      </w:r>
      <w:proofErr w:type="gramEnd"/>
      <w:r w:rsidR="000C26B2" w:rsidRPr="009C69FE">
        <w:rPr>
          <w:rFonts w:cs="Arial"/>
          <w:sz w:val="24"/>
          <w:szCs w:val="24"/>
        </w:rPr>
        <w:t xml:space="preserve"> a statement that transhipment is not allowed (if applicable) or of any cash on delivery charges etc. (art.6(2)).  </w:t>
      </w:r>
    </w:p>
    <w:p w14:paraId="5F13C9A2" w14:textId="77777777" w:rsidR="00F30B09" w:rsidRDefault="000C26B2" w:rsidP="000C26B2">
      <w:pPr>
        <w:rPr>
          <w:rFonts w:cs="Arial"/>
          <w:sz w:val="24"/>
          <w:szCs w:val="24"/>
        </w:rPr>
      </w:pPr>
      <w:r w:rsidRPr="009C69FE">
        <w:rPr>
          <w:rFonts w:cs="Arial"/>
          <w:sz w:val="24"/>
          <w:szCs w:val="24"/>
        </w:rPr>
        <w:t xml:space="preserve">An important requirement is that the note should contain a statement that CMR is applicable (art.6(1)(k)), with a potential liability for the carrier if it does not (art.7(3)).  The sender can incur liability for inaccuracies or inadequacies of the note (art.7(1)) except in respect of matters which the carrier is specifically required to check. </w:t>
      </w:r>
      <w:r w:rsidRPr="009C69FE">
        <w:rPr>
          <w:rFonts w:cs="Arial"/>
          <w:sz w:val="24"/>
          <w:szCs w:val="24"/>
        </w:rPr>
        <w:br/>
      </w:r>
      <w:r w:rsidRPr="009C69FE">
        <w:rPr>
          <w:rFonts w:cs="Arial"/>
          <w:sz w:val="24"/>
          <w:szCs w:val="24"/>
        </w:rPr>
        <w:br/>
      </w:r>
      <w:r w:rsidRPr="00592C11">
        <w:rPr>
          <w:rFonts w:cs="Arial"/>
          <w:b/>
          <w:bCs/>
          <w:sz w:val="24"/>
          <w:szCs w:val="24"/>
        </w:rPr>
        <w:t>The main roles performed by the consignment note are:</w:t>
      </w:r>
      <w:r w:rsidRPr="00592C11">
        <w:rPr>
          <w:rFonts w:cs="Arial"/>
          <w:b/>
          <w:bCs/>
          <w:sz w:val="24"/>
          <w:szCs w:val="24"/>
        </w:rPr>
        <w:br/>
        <w:t xml:space="preserve"> </w:t>
      </w:r>
      <w:r w:rsidR="00D456E4" w:rsidRPr="00592C11">
        <w:rPr>
          <w:rFonts w:cs="Arial"/>
          <w:b/>
          <w:bCs/>
          <w:sz w:val="24"/>
          <w:szCs w:val="24"/>
        </w:rPr>
        <w:br/>
      </w:r>
      <w:proofErr w:type="spellStart"/>
      <w:r w:rsidRPr="00592C11">
        <w:rPr>
          <w:rFonts w:cs="Arial"/>
          <w:b/>
          <w:bCs/>
          <w:sz w:val="24"/>
          <w:szCs w:val="24"/>
        </w:rPr>
        <w:t>i</w:t>
      </w:r>
      <w:proofErr w:type="spellEnd"/>
      <w:r w:rsidRPr="00592C11">
        <w:rPr>
          <w:rFonts w:cs="Arial"/>
          <w:b/>
          <w:bCs/>
          <w:sz w:val="24"/>
          <w:szCs w:val="24"/>
        </w:rPr>
        <w:t xml:space="preserve">) </w:t>
      </w:r>
      <w:r w:rsidR="00592C11">
        <w:rPr>
          <w:rFonts w:cs="Arial"/>
          <w:sz w:val="24"/>
          <w:szCs w:val="24"/>
        </w:rPr>
        <w:t>P</w:t>
      </w:r>
      <w:r w:rsidRPr="00592C11">
        <w:rPr>
          <w:rFonts w:cs="Arial"/>
          <w:sz w:val="24"/>
          <w:szCs w:val="24"/>
        </w:rPr>
        <w:t>roviding proof</w:t>
      </w:r>
      <w:r w:rsidRPr="009C69FE">
        <w:rPr>
          <w:rFonts w:cs="Arial"/>
          <w:sz w:val="24"/>
          <w:szCs w:val="24"/>
        </w:rPr>
        <w:t xml:space="preserve"> –</w:t>
      </w:r>
      <w:r w:rsidR="00853F3B">
        <w:rPr>
          <w:rFonts w:cs="Arial"/>
          <w:sz w:val="24"/>
          <w:szCs w:val="24"/>
        </w:rPr>
        <w:t xml:space="preserve"> </w:t>
      </w:r>
      <w:r w:rsidRPr="009C69FE">
        <w:rPr>
          <w:rFonts w:cs="Arial"/>
          <w:sz w:val="24"/>
          <w:szCs w:val="24"/>
        </w:rPr>
        <w:t>it is prima facie evidence of the making of the contract, its conditions and receipt of the goods (art.9</w:t>
      </w:r>
      <w:r w:rsidR="00853F3B">
        <w:rPr>
          <w:rFonts w:cs="Arial"/>
          <w:sz w:val="24"/>
          <w:szCs w:val="24"/>
        </w:rPr>
        <w:t>(1)</w:t>
      </w:r>
      <w:r w:rsidR="00335BE5">
        <w:rPr>
          <w:rFonts w:cs="Arial"/>
          <w:sz w:val="24"/>
          <w:szCs w:val="24"/>
        </w:rPr>
        <w:t xml:space="preserve"> – which links with art</w:t>
      </w:r>
      <w:r w:rsidR="00F30B09">
        <w:rPr>
          <w:rFonts w:cs="Arial"/>
          <w:sz w:val="24"/>
          <w:szCs w:val="24"/>
        </w:rPr>
        <w:t>.</w:t>
      </w:r>
      <w:r w:rsidR="00335BE5">
        <w:rPr>
          <w:rFonts w:cs="Arial"/>
          <w:sz w:val="24"/>
          <w:szCs w:val="24"/>
        </w:rPr>
        <w:t>6</w:t>
      </w:r>
      <w:r w:rsidRPr="009C69FE">
        <w:rPr>
          <w:rFonts w:cs="Arial"/>
          <w:sz w:val="24"/>
          <w:szCs w:val="24"/>
        </w:rPr>
        <w:t xml:space="preserve">) </w:t>
      </w:r>
      <w:r w:rsidR="00853F3B">
        <w:rPr>
          <w:rFonts w:cs="Arial"/>
          <w:sz w:val="24"/>
          <w:szCs w:val="24"/>
        </w:rPr>
        <w:t xml:space="preserve">and generates a presumption that the goods and their packaging appeared to be in good condition </w:t>
      </w:r>
      <w:r w:rsidR="00CC6594">
        <w:rPr>
          <w:rFonts w:cs="Arial"/>
          <w:sz w:val="24"/>
          <w:szCs w:val="24"/>
        </w:rPr>
        <w:t xml:space="preserve">and that the number of packages, their marks and numbers corresponded with the statements in the consignment note (art.9(2)).  That is, </w:t>
      </w:r>
      <w:r w:rsidRPr="009C69FE">
        <w:rPr>
          <w:rFonts w:cs="Arial"/>
          <w:sz w:val="24"/>
          <w:szCs w:val="24"/>
        </w:rPr>
        <w:t>unless the carrier has entered reservations which he might make having checked the numbers of packages and their apparent condition (which he is required to do if he can (art.8(1)) or if he has no reasonable means of checking</w:t>
      </w:r>
      <w:r w:rsidR="00736B95">
        <w:rPr>
          <w:rFonts w:cs="Arial"/>
          <w:sz w:val="24"/>
          <w:szCs w:val="24"/>
        </w:rPr>
        <w:t xml:space="preserve">.  </w:t>
      </w:r>
      <w:r w:rsidR="00853F3B">
        <w:rPr>
          <w:rFonts w:cs="Arial"/>
          <w:sz w:val="24"/>
          <w:szCs w:val="24"/>
        </w:rPr>
        <w:t xml:space="preserve">Article 8(2) states that such reservations are not binding on the sender unless he has agreed to them.  However, the fact that the sender has not agreed to them does not seem to affect their ability to remove </w:t>
      </w:r>
      <w:r w:rsidR="00CC6594">
        <w:rPr>
          <w:rFonts w:cs="Arial"/>
          <w:sz w:val="24"/>
          <w:szCs w:val="24"/>
        </w:rPr>
        <w:t>the presumption in art.9(2). Article 8(3) entitles the sender to require the carrier to check the gross weight of the goods or their quantity otherwise expressed, and to enter the results in the consignment note.  Nothing is indicated, however,</w:t>
      </w:r>
      <w:r w:rsidR="00853F3B">
        <w:rPr>
          <w:rFonts w:cs="Arial"/>
          <w:sz w:val="24"/>
          <w:szCs w:val="24"/>
        </w:rPr>
        <w:t xml:space="preserve"> </w:t>
      </w:r>
      <w:r w:rsidR="00CC6594">
        <w:rPr>
          <w:rFonts w:cs="Arial"/>
          <w:sz w:val="24"/>
          <w:szCs w:val="24"/>
        </w:rPr>
        <w:t>about the effect of such checks and their entry in the consignment note.</w:t>
      </w:r>
      <w:r w:rsidRPr="009C69FE">
        <w:rPr>
          <w:rFonts w:cs="Arial"/>
          <w:sz w:val="24"/>
          <w:szCs w:val="24"/>
        </w:rPr>
        <w:br/>
      </w:r>
      <w:r w:rsidRPr="009C69FE">
        <w:rPr>
          <w:rFonts w:cs="Arial"/>
          <w:sz w:val="24"/>
          <w:szCs w:val="24"/>
        </w:rPr>
        <w:br/>
      </w:r>
      <w:r w:rsidRPr="00592C11">
        <w:rPr>
          <w:rFonts w:cs="Arial"/>
          <w:b/>
          <w:bCs/>
          <w:sz w:val="24"/>
          <w:szCs w:val="24"/>
        </w:rPr>
        <w:t>ii)</w:t>
      </w:r>
      <w:r w:rsidRPr="009C69FE">
        <w:rPr>
          <w:rFonts w:cs="Arial"/>
          <w:sz w:val="24"/>
          <w:szCs w:val="24"/>
        </w:rPr>
        <w:t xml:space="preserve"> </w:t>
      </w:r>
      <w:r w:rsidR="00592C11">
        <w:rPr>
          <w:rFonts w:cs="Arial"/>
          <w:sz w:val="24"/>
          <w:szCs w:val="24"/>
        </w:rPr>
        <w:t>E</w:t>
      </w:r>
      <w:r w:rsidRPr="009C69FE">
        <w:rPr>
          <w:rFonts w:cs="Arial"/>
          <w:sz w:val="24"/>
          <w:szCs w:val="24"/>
        </w:rPr>
        <w:t>nabling the sender to make a special declaration of the value of the goods or amount representing a special interest in delivery (art.6(2)(d)) – which relates to limitation of liability</w:t>
      </w:r>
      <w:r w:rsidR="00335BE5">
        <w:rPr>
          <w:rFonts w:cs="Arial"/>
          <w:sz w:val="24"/>
          <w:szCs w:val="24"/>
        </w:rPr>
        <w:t xml:space="preserve">, or other information that needs to be </w:t>
      </w:r>
      <w:r w:rsidR="00F30B09">
        <w:rPr>
          <w:rFonts w:cs="Arial"/>
          <w:sz w:val="24"/>
          <w:szCs w:val="24"/>
        </w:rPr>
        <w:t>i</w:t>
      </w:r>
      <w:r w:rsidR="00335BE5">
        <w:rPr>
          <w:rFonts w:cs="Arial"/>
          <w:sz w:val="24"/>
          <w:szCs w:val="24"/>
        </w:rPr>
        <w:t xml:space="preserve">ndicated on the consignment note </w:t>
      </w:r>
      <w:r w:rsidRPr="009C69FE">
        <w:rPr>
          <w:rFonts w:cs="Arial"/>
          <w:sz w:val="24"/>
          <w:szCs w:val="24"/>
        </w:rPr>
        <w:t xml:space="preserve"> </w:t>
      </w:r>
      <w:r w:rsidR="00335BE5">
        <w:rPr>
          <w:rFonts w:cs="Arial"/>
          <w:sz w:val="24"/>
          <w:szCs w:val="24"/>
        </w:rPr>
        <w:t xml:space="preserve">e.g. whether </w:t>
      </w:r>
      <w:r w:rsidR="00F30B09">
        <w:rPr>
          <w:rFonts w:cs="Arial"/>
          <w:sz w:val="24"/>
          <w:szCs w:val="24"/>
        </w:rPr>
        <w:t xml:space="preserve">an open vehicle is to be used (see art.17(4)(a)), or attached to it e.g. customs documentation (art.11).  </w:t>
      </w:r>
    </w:p>
    <w:p w14:paraId="152B31FB" w14:textId="77777777" w:rsidR="0028287F" w:rsidRDefault="000C26B2" w:rsidP="000C26B2">
      <w:pPr>
        <w:rPr>
          <w:rFonts w:cs="Arial"/>
          <w:sz w:val="24"/>
          <w:szCs w:val="24"/>
        </w:rPr>
      </w:pPr>
      <w:r w:rsidRPr="00592C11">
        <w:rPr>
          <w:rFonts w:cs="Arial"/>
          <w:b/>
          <w:bCs/>
          <w:sz w:val="24"/>
          <w:szCs w:val="24"/>
        </w:rPr>
        <w:t>iii)</w:t>
      </w:r>
      <w:r w:rsidRPr="009C69FE">
        <w:rPr>
          <w:rFonts w:cs="Arial"/>
          <w:sz w:val="24"/>
          <w:szCs w:val="24"/>
        </w:rPr>
        <w:t xml:space="preserve"> </w:t>
      </w:r>
      <w:r w:rsidR="00592C11">
        <w:rPr>
          <w:rFonts w:cs="Arial"/>
          <w:sz w:val="24"/>
          <w:szCs w:val="24"/>
        </w:rPr>
        <w:t>E</w:t>
      </w:r>
      <w:r w:rsidRPr="009C69FE">
        <w:rPr>
          <w:rFonts w:cs="Arial"/>
          <w:sz w:val="24"/>
          <w:szCs w:val="24"/>
        </w:rPr>
        <w:t>nabling the exercise of rights of disposal (art.12) or dealing with difficulties arising during carriage (art.14)</w:t>
      </w:r>
      <w:r w:rsidR="00505E90" w:rsidRPr="009C69FE">
        <w:rPr>
          <w:rFonts w:cs="Arial"/>
          <w:sz w:val="24"/>
          <w:szCs w:val="24"/>
        </w:rPr>
        <w:t xml:space="preserve">. The sender has the initial right of disposal which passes to the consignee when the second copy of the consignment note is handed over at the destination.  The consignee might be given the right initially if this is indicated in the consignment note </w:t>
      </w:r>
      <w:r w:rsidR="00505E90" w:rsidRPr="009C69FE">
        <w:rPr>
          <w:rFonts w:cs="Arial"/>
          <w:sz w:val="24"/>
          <w:szCs w:val="24"/>
        </w:rPr>
        <w:lastRenderedPageBreak/>
        <w:t>when it is drawn up</w:t>
      </w:r>
      <w:r w:rsidR="00CA1C44">
        <w:rPr>
          <w:rFonts w:cs="Arial"/>
          <w:sz w:val="24"/>
          <w:szCs w:val="24"/>
        </w:rPr>
        <w:t xml:space="preserve"> (art.12(3))</w:t>
      </w:r>
      <w:r w:rsidR="00505E90" w:rsidRPr="009C69FE">
        <w:rPr>
          <w:rFonts w:cs="Arial"/>
          <w:sz w:val="24"/>
          <w:szCs w:val="24"/>
        </w:rPr>
        <w:t xml:space="preserve">.  The right of disposal can be used to stop the goods in transit, change the place of delivery or the consignee.  </w:t>
      </w:r>
      <w:r w:rsidR="00A048B7" w:rsidRPr="009C69FE">
        <w:rPr>
          <w:rFonts w:cs="Arial"/>
          <w:sz w:val="24"/>
          <w:szCs w:val="24"/>
        </w:rPr>
        <w:t>The first copy must be produced to make a change and to make changes that might be necessary if there are problems in transit or in making delivery (art</w:t>
      </w:r>
      <w:r w:rsidR="007A6833">
        <w:rPr>
          <w:rFonts w:cs="Arial"/>
          <w:sz w:val="24"/>
          <w:szCs w:val="24"/>
        </w:rPr>
        <w:t>.</w:t>
      </w:r>
      <w:r w:rsidR="00A048B7" w:rsidRPr="009C69FE">
        <w:rPr>
          <w:rFonts w:cs="Arial"/>
          <w:sz w:val="24"/>
          <w:szCs w:val="24"/>
        </w:rPr>
        <w:t>15) although it does not have to be produced if the consignee has refused the goods.</w:t>
      </w:r>
      <w:r w:rsidR="00177EA6" w:rsidRPr="009C69FE">
        <w:rPr>
          <w:rFonts w:cs="Arial"/>
          <w:sz w:val="24"/>
          <w:szCs w:val="24"/>
        </w:rPr>
        <w:br/>
      </w:r>
      <w:r w:rsidR="00177EA6" w:rsidRPr="009C69FE">
        <w:rPr>
          <w:rFonts w:cs="Arial"/>
          <w:sz w:val="24"/>
          <w:szCs w:val="24"/>
        </w:rPr>
        <w:br/>
      </w:r>
      <w:r w:rsidR="00A048B7" w:rsidRPr="009C69FE">
        <w:rPr>
          <w:rFonts w:cs="Arial"/>
          <w:sz w:val="24"/>
          <w:szCs w:val="24"/>
        </w:rPr>
        <w:t xml:space="preserve">The first copy therefore acts as a control document but in a much more limited way than a bill of lading (see </w:t>
      </w:r>
      <w:r w:rsidR="00781F72">
        <w:rPr>
          <w:rFonts w:cs="Arial"/>
          <w:sz w:val="24"/>
          <w:szCs w:val="24"/>
        </w:rPr>
        <w:t>below</w:t>
      </w:r>
      <w:r w:rsidR="00A048B7" w:rsidRPr="009C69FE">
        <w:rPr>
          <w:rFonts w:cs="Arial"/>
          <w:sz w:val="24"/>
          <w:szCs w:val="24"/>
        </w:rPr>
        <w:t>).</w:t>
      </w:r>
      <w:r w:rsidR="00505E90" w:rsidRPr="009C69FE">
        <w:rPr>
          <w:rFonts w:cs="Arial"/>
          <w:sz w:val="24"/>
          <w:szCs w:val="24"/>
        </w:rPr>
        <w:t xml:space="preserve"> </w:t>
      </w:r>
      <w:r w:rsidR="00975818" w:rsidRPr="009C69FE">
        <w:rPr>
          <w:rFonts w:cs="Arial"/>
          <w:sz w:val="24"/>
          <w:szCs w:val="24"/>
        </w:rPr>
        <w:t xml:space="preserve">UCP 600 recognises </w:t>
      </w:r>
      <w:r w:rsidR="0028287F" w:rsidRPr="009C69FE">
        <w:rPr>
          <w:rFonts w:cs="Arial"/>
          <w:sz w:val="24"/>
          <w:szCs w:val="24"/>
        </w:rPr>
        <w:t>t</w:t>
      </w:r>
      <w:r w:rsidR="00975818" w:rsidRPr="009C69FE">
        <w:rPr>
          <w:rFonts w:cs="Arial"/>
          <w:sz w:val="24"/>
          <w:szCs w:val="24"/>
        </w:rPr>
        <w:t xml:space="preserve">he possible use of a road transport document, see art.24 </w:t>
      </w:r>
      <w:r w:rsidR="007A6833">
        <w:rPr>
          <w:rFonts w:cs="Arial"/>
          <w:sz w:val="24"/>
          <w:szCs w:val="24"/>
        </w:rPr>
        <w:t xml:space="preserve">of UCP </w:t>
      </w:r>
      <w:r w:rsidR="00975818" w:rsidRPr="009C69FE">
        <w:rPr>
          <w:rFonts w:cs="Arial"/>
          <w:sz w:val="24"/>
          <w:szCs w:val="24"/>
        </w:rPr>
        <w:t xml:space="preserve">and note particularly </w:t>
      </w:r>
      <w:r w:rsidR="0028287F" w:rsidRPr="009C69FE">
        <w:rPr>
          <w:rFonts w:cs="Arial"/>
          <w:sz w:val="24"/>
          <w:szCs w:val="24"/>
        </w:rPr>
        <w:t>art</w:t>
      </w:r>
      <w:r w:rsidR="007A6833">
        <w:rPr>
          <w:rFonts w:cs="Arial"/>
          <w:sz w:val="24"/>
          <w:szCs w:val="24"/>
        </w:rPr>
        <w:t>.</w:t>
      </w:r>
      <w:r w:rsidR="0028287F" w:rsidRPr="009C69FE">
        <w:rPr>
          <w:rFonts w:cs="Arial"/>
          <w:sz w:val="24"/>
          <w:szCs w:val="24"/>
        </w:rPr>
        <w:t>24b.i.</w:t>
      </w:r>
      <w:r w:rsidR="00237966">
        <w:rPr>
          <w:rFonts w:cs="Arial"/>
          <w:sz w:val="24"/>
          <w:szCs w:val="24"/>
        </w:rPr>
        <w:t xml:space="preserve"> </w:t>
      </w:r>
      <w:r w:rsidR="00177EA6" w:rsidRPr="009C69FE">
        <w:rPr>
          <w:rFonts w:cs="Arial"/>
          <w:sz w:val="24"/>
          <w:szCs w:val="24"/>
        </w:rPr>
        <w:t xml:space="preserve"> </w:t>
      </w:r>
      <w:r w:rsidR="00A048B7" w:rsidRPr="009C69FE">
        <w:rPr>
          <w:rFonts w:cs="Arial"/>
          <w:sz w:val="24"/>
          <w:szCs w:val="24"/>
        </w:rPr>
        <w:t>Note the important right of the carrier in art</w:t>
      </w:r>
      <w:r w:rsidR="007A6833">
        <w:rPr>
          <w:rFonts w:cs="Arial"/>
          <w:sz w:val="24"/>
          <w:szCs w:val="24"/>
        </w:rPr>
        <w:t>.</w:t>
      </w:r>
      <w:r w:rsidR="00A048B7" w:rsidRPr="009C69FE">
        <w:rPr>
          <w:rFonts w:cs="Arial"/>
          <w:sz w:val="24"/>
          <w:szCs w:val="24"/>
        </w:rPr>
        <w:t>16(2) to unload the goods and bring the carriage to an end where circumstances prevent the contract being carried out in accordance with its terms or the making of delivery;</w:t>
      </w:r>
      <w:r w:rsidRPr="009C69FE">
        <w:rPr>
          <w:rFonts w:cs="Arial"/>
          <w:sz w:val="24"/>
          <w:szCs w:val="24"/>
        </w:rPr>
        <w:br/>
      </w:r>
      <w:r w:rsidR="00D456E4" w:rsidRPr="009C69FE">
        <w:rPr>
          <w:rFonts w:cs="Arial"/>
          <w:sz w:val="24"/>
          <w:szCs w:val="24"/>
        </w:rPr>
        <w:br/>
      </w:r>
      <w:r w:rsidRPr="00592C11">
        <w:rPr>
          <w:rFonts w:cs="Arial"/>
          <w:b/>
          <w:bCs/>
          <w:sz w:val="24"/>
          <w:szCs w:val="24"/>
        </w:rPr>
        <w:t>iv)</w:t>
      </w:r>
      <w:r w:rsidRPr="009C69FE">
        <w:rPr>
          <w:rFonts w:cs="Arial"/>
          <w:sz w:val="24"/>
          <w:szCs w:val="24"/>
        </w:rPr>
        <w:t xml:space="preserve"> </w:t>
      </w:r>
      <w:r w:rsidR="00592C11">
        <w:rPr>
          <w:rFonts w:cs="Arial"/>
          <w:sz w:val="24"/>
          <w:szCs w:val="24"/>
        </w:rPr>
        <w:t>E</w:t>
      </w:r>
      <w:r w:rsidRPr="009C69FE">
        <w:rPr>
          <w:rFonts w:cs="Arial"/>
          <w:sz w:val="24"/>
          <w:szCs w:val="24"/>
        </w:rPr>
        <w:t>nabling further carriers to be drawn into the contract as successive carriers (see below).</w:t>
      </w:r>
    </w:p>
    <w:p w14:paraId="55905255" w14:textId="5744827D" w:rsidR="00C746B3" w:rsidRDefault="00C746B3" w:rsidP="00C746B3">
      <w:pPr>
        <w:rPr>
          <w:rFonts w:cs="Arial"/>
          <w:sz w:val="24"/>
          <w:szCs w:val="24"/>
        </w:rPr>
      </w:pPr>
      <w:r w:rsidRPr="009C69FE">
        <w:rPr>
          <w:rFonts w:cs="Arial"/>
          <w:sz w:val="24"/>
          <w:szCs w:val="24"/>
        </w:rPr>
        <w:t>The extent to which a CMR consignment note (or a completely regular one) is essential to perform these functions ha</w:t>
      </w:r>
      <w:r>
        <w:rPr>
          <w:rFonts w:cs="Arial"/>
          <w:sz w:val="24"/>
          <w:szCs w:val="24"/>
        </w:rPr>
        <w:t>s</w:t>
      </w:r>
      <w:r w:rsidRPr="009C69FE">
        <w:rPr>
          <w:rFonts w:cs="Arial"/>
          <w:sz w:val="24"/>
          <w:szCs w:val="24"/>
        </w:rPr>
        <w:t xml:space="preserve"> produced different approaches by the courts</w:t>
      </w:r>
      <w:r>
        <w:rPr>
          <w:rFonts w:cs="Arial"/>
          <w:sz w:val="24"/>
          <w:szCs w:val="24"/>
        </w:rPr>
        <w:t xml:space="preserve">.  Sometimes the existence and regularity of the consignment note is considered essential but at other times a court may feel able to apply a national law solution to fill the gap left by the absence or irregularity of the consignment note.  So </w:t>
      </w:r>
      <w:r w:rsidRPr="009C69FE">
        <w:rPr>
          <w:rFonts w:cs="Arial"/>
          <w:sz w:val="24"/>
          <w:szCs w:val="24"/>
        </w:rPr>
        <w:t xml:space="preserve">e.g., </w:t>
      </w:r>
      <w:r>
        <w:rPr>
          <w:rFonts w:cs="Arial"/>
          <w:sz w:val="24"/>
          <w:szCs w:val="24"/>
        </w:rPr>
        <w:t>whilst courts regularly require a special declaration to be made in a CMR consignment note ((ii) above), national law may be applied to enable other documents to provide prima facie evidence of the receipt of the goods in the absence of a CMR consignment note as in</w:t>
      </w:r>
      <w:r w:rsidRPr="009C69FE">
        <w:rPr>
          <w:rFonts w:cs="Arial"/>
          <w:sz w:val="24"/>
          <w:szCs w:val="24"/>
        </w:rPr>
        <w:t xml:space="preserve"> </w:t>
      </w:r>
      <w:r>
        <w:rPr>
          <w:rFonts w:cs="Arial"/>
          <w:sz w:val="24"/>
          <w:szCs w:val="24"/>
        </w:rPr>
        <w:t xml:space="preserve">a German case: </w:t>
      </w:r>
      <w:proofErr w:type="spellStart"/>
      <w:r w:rsidRPr="009C69FE">
        <w:rPr>
          <w:rFonts w:cs="Arial"/>
          <w:sz w:val="24"/>
          <w:szCs w:val="24"/>
        </w:rPr>
        <w:t>Bundesgerichtshof</w:t>
      </w:r>
      <w:proofErr w:type="spellEnd"/>
      <w:r w:rsidRPr="009C69FE">
        <w:rPr>
          <w:rFonts w:cs="Arial"/>
          <w:sz w:val="24"/>
          <w:szCs w:val="24"/>
        </w:rPr>
        <w:t xml:space="preserve"> (BGH) 22.5.2015 (2015) </w:t>
      </w:r>
      <w:proofErr w:type="spellStart"/>
      <w:r w:rsidRPr="009C69FE">
        <w:rPr>
          <w:rFonts w:cs="Arial"/>
          <w:sz w:val="24"/>
          <w:szCs w:val="24"/>
        </w:rPr>
        <w:t>Transportrecht</w:t>
      </w:r>
      <w:proofErr w:type="spellEnd"/>
      <w:r w:rsidRPr="009C69FE">
        <w:rPr>
          <w:rFonts w:cs="Arial"/>
          <w:sz w:val="24"/>
          <w:szCs w:val="24"/>
        </w:rPr>
        <w:t xml:space="preserve"> 33, IDIT No. 41741.</w:t>
      </w:r>
    </w:p>
    <w:p w14:paraId="05044AA7" w14:textId="77777777" w:rsidR="00A84654" w:rsidRPr="009C69FE" w:rsidRDefault="00A84654" w:rsidP="000C26B2">
      <w:pPr>
        <w:rPr>
          <w:rFonts w:cs="Arial"/>
          <w:sz w:val="24"/>
          <w:szCs w:val="24"/>
        </w:rPr>
      </w:pPr>
    </w:p>
    <w:p w14:paraId="08B3A7EB" w14:textId="77777777" w:rsidR="00781F72" w:rsidRDefault="00781F72" w:rsidP="000C26B2">
      <w:pPr>
        <w:rPr>
          <w:rFonts w:cs="Arial"/>
          <w:sz w:val="24"/>
          <w:szCs w:val="24"/>
        </w:rPr>
      </w:pPr>
      <w:r w:rsidRPr="00781F72">
        <w:rPr>
          <w:rFonts w:cs="Arial"/>
          <w:b/>
          <w:bCs/>
          <w:sz w:val="24"/>
          <w:szCs w:val="24"/>
        </w:rPr>
        <w:t>3.3.3.2 Comparison with Bills of Lading</w:t>
      </w:r>
      <w:r>
        <w:rPr>
          <w:rFonts w:cs="Arial"/>
          <w:b/>
          <w:bCs/>
          <w:sz w:val="24"/>
          <w:szCs w:val="24"/>
        </w:rPr>
        <w:br/>
      </w:r>
      <w:r w:rsidR="009917CB">
        <w:rPr>
          <w:rFonts w:cs="Arial"/>
          <w:b/>
          <w:bCs/>
          <w:sz w:val="24"/>
          <w:szCs w:val="24"/>
        </w:rPr>
        <w:br/>
      </w:r>
      <w:r>
        <w:rPr>
          <w:rFonts w:cs="Arial"/>
          <w:sz w:val="24"/>
          <w:szCs w:val="24"/>
        </w:rPr>
        <w:t xml:space="preserve">The essential feature of a bill of lading is its nature as a transferable document.  Traditionally the fact that goods could spend long periods of time at sea meant that without some means to continue trading in goods or raising security on them the value they represented would be frozen until they eventually arrived.  Merchants needed the facility to be able transfer </w:t>
      </w:r>
      <w:r w:rsidR="00801755">
        <w:rPr>
          <w:rFonts w:cs="Arial"/>
          <w:sz w:val="24"/>
          <w:szCs w:val="24"/>
        </w:rPr>
        <w:t xml:space="preserve">secure </w:t>
      </w:r>
      <w:r>
        <w:rPr>
          <w:rFonts w:cs="Arial"/>
          <w:sz w:val="24"/>
          <w:szCs w:val="24"/>
        </w:rPr>
        <w:t xml:space="preserve">rights in goods </w:t>
      </w:r>
      <w:r w:rsidR="00801755">
        <w:rPr>
          <w:rFonts w:cs="Arial"/>
          <w:sz w:val="24"/>
          <w:szCs w:val="24"/>
        </w:rPr>
        <w:t xml:space="preserve">in return for payment or a loan </w:t>
      </w:r>
      <w:r>
        <w:rPr>
          <w:rFonts w:cs="Arial"/>
          <w:sz w:val="24"/>
          <w:szCs w:val="24"/>
        </w:rPr>
        <w:t>notwithstanding that the</w:t>
      </w:r>
      <w:r w:rsidR="00801755">
        <w:rPr>
          <w:rFonts w:cs="Arial"/>
          <w:sz w:val="24"/>
          <w:szCs w:val="24"/>
        </w:rPr>
        <w:t xml:space="preserve"> goods</w:t>
      </w:r>
      <w:r>
        <w:rPr>
          <w:rFonts w:cs="Arial"/>
          <w:sz w:val="24"/>
          <w:szCs w:val="24"/>
        </w:rPr>
        <w:t xml:space="preserve"> were in possession of a third party.  This was </w:t>
      </w:r>
      <w:r w:rsidR="00BF7B2D">
        <w:rPr>
          <w:rFonts w:cs="Arial"/>
          <w:sz w:val="24"/>
          <w:szCs w:val="24"/>
        </w:rPr>
        <w:t>manageable</w:t>
      </w:r>
      <w:r>
        <w:rPr>
          <w:rFonts w:cs="Arial"/>
          <w:sz w:val="24"/>
          <w:szCs w:val="24"/>
        </w:rPr>
        <w:t xml:space="preserve"> if the goods were on land</w:t>
      </w:r>
      <w:r w:rsidR="00125911">
        <w:rPr>
          <w:rFonts w:cs="Arial"/>
          <w:sz w:val="24"/>
          <w:szCs w:val="24"/>
        </w:rPr>
        <w:t xml:space="preserve"> </w:t>
      </w:r>
      <w:proofErr w:type="gramStart"/>
      <w:r>
        <w:rPr>
          <w:rFonts w:cs="Arial"/>
          <w:sz w:val="24"/>
          <w:szCs w:val="24"/>
        </w:rPr>
        <w:t>e.g.</w:t>
      </w:r>
      <w:proofErr w:type="gramEnd"/>
      <w:r>
        <w:rPr>
          <w:rFonts w:cs="Arial"/>
          <w:sz w:val="24"/>
          <w:szCs w:val="24"/>
        </w:rPr>
        <w:t xml:space="preserve"> in a warehouse since it was possible to contact the warehouse keeper </w:t>
      </w:r>
      <w:r w:rsidR="00801755">
        <w:rPr>
          <w:rFonts w:cs="Arial"/>
          <w:sz w:val="24"/>
          <w:szCs w:val="24"/>
        </w:rPr>
        <w:t xml:space="preserve">in control of the goods </w:t>
      </w:r>
      <w:r>
        <w:rPr>
          <w:rFonts w:cs="Arial"/>
          <w:sz w:val="24"/>
          <w:szCs w:val="24"/>
        </w:rPr>
        <w:t xml:space="preserve">and ensure </w:t>
      </w:r>
      <w:r w:rsidR="00125911">
        <w:rPr>
          <w:rFonts w:cs="Arial"/>
          <w:sz w:val="24"/>
          <w:szCs w:val="24"/>
        </w:rPr>
        <w:t xml:space="preserve">that any changes in delivery instructions were carried out.  </w:t>
      </w:r>
      <w:r w:rsidR="00BF7B2D">
        <w:rPr>
          <w:rFonts w:cs="Arial"/>
          <w:sz w:val="24"/>
          <w:szCs w:val="24"/>
        </w:rPr>
        <w:t>It</w:t>
      </w:r>
      <w:r w:rsidR="00125911">
        <w:rPr>
          <w:rFonts w:cs="Arial"/>
          <w:sz w:val="24"/>
          <w:szCs w:val="24"/>
        </w:rPr>
        <w:t xml:space="preserve"> was </w:t>
      </w:r>
      <w:r w:rsidR="00BF7B2D">
        <w:rPr>
          <w:rFonts w:cs="Arial"/>
          <w:sz w:val="24"/>
          <w:szCs w:val="24"/>
        </w:rPr>
        <w:t xml:space="preserve">less </w:t>
      </w:r>
      <w:r w:rsidR="00125911">
        <w:rPr>
          <w:rFonts w:cs="Arial"/>
          <w:sz w:val="24"/>
          <w:szCs w:val="24"/>
        </w:rPr>
        <w:t>practical in the early days of shipping given the difficulty of communications so that an alternative means of changing delivery instructions w</w:t>
      </w:r>
      <w:r w:rsidR="004D1028">
        <w:rPr>
          <w:rFonts w:cs="Arial"/>
          <w:sz w:val="24"/>
          <w:szCs w:val="24"/>
        </w:rPr>
        <w:t>as</w:t>
      </w:r>
      <w:r w:rsidR="00125911">
        <w:rPr>
          <w:rFonts w:cs="Arial"/>
          <w:sz w:val="24"/>
          <w:szCs w:val="24"/>
        </w:rPr>
        <w:t xml:space="preserve"> needed.  An early practical feature of the bill of lading was that it needed to</w:t>
      </w:r>
      <w:r w:rsidR="00C33D0A">
        <w:rPr>
          <w:rFonts w:cs="Arial"/>
          <w:sz w:val="24"/>
          <w:szCs w:val="24"/>
        </w:rPr>
        <w:t xml:space="preserve"> be surrendered</w:t>
      </w:r>
      <w:r w:rsidR="00801755">
        <w:rPr>
          <w:rFonts w:cs="Arial"/>
          <w:sz w:val="24"/>
          <w:szCs w:val="24"/>
        </w:rPr>
        <w:t xml:space="preserve"> to the carrier before the carrier would deliver the goods.  This made it a control document </w:t>
      </w:r>
      <w:r w:rsidR="004D1028">
        <w:rPr>
          <w:rFonts w:cs="Arial"/>
          <w:sz w:val="24"/>
          <w:szCs w:val="24"/>
        </w:rPr>
        <w:t xml:space="preserve">so that the document carried its own delivery instruction </w:t>
      </w:r>
      <w:r w:rsidR="00C33D0A">
        <w:rPr>
          <w:rFonts w:cs="Arial"/>
          <w:sz w:val="24"/>
          <w:szCs w:val="24"/>
        </w:rPr>
        <w:t>meaning</w:t>
      </w:r>
      <w:r w:rsidR="004D1028">
        <w:rPr>
          <w:rFonts w:cs="Arial"/>
          <w:sz w:val="24"/>
          <w:szCs w:val="24"/>
        </w:rPr>
        <w:t xml:space="preserve"> that a direct communication to the carrier during or after the voyage was not necessary.  </w:t>
      </w:r>
      <w:r w:rsidR="00801755">
        <w:rPr>
          <w:rFonts w:cs="Arial"/>
          <w:sz w:val="24"/>
          <w:szCs w:val="24"/>
        </w:rPr>
        <w:t>Further the general transferability of the bill was recognised by mercantile custom so that as long as the bill was originally issued in transferable form it was treated as a symbolic representation of the goods</w:t>
      </w:r>
      <w:r w:rsidR="00C33D0A">
        <w:rPr>
          <w:rFonts w:cs="Arial"/>
          <w:sz w:val="24"/>
          <w:szCs w:val="24"/>
        </w:rPr>
        <w:t>.</w:t>
      </w:r>
      <w:r w:rsidR="00801755">
        <w:rPr>
          <w:rFonts w:cs="Arial"/>
          <w:sz w:val="24"/>
          <w:szCs w:val="24"/>
        </w:rPr>
        <w:t xml:space="preserve"> </w:t>
      </w:r>
      <w:r w:rsidR="00C33D0A">
        <w:rPr>
          <w:rFonts w:cs="Arial"/>
          <w:sz w:val="24"/>
          <w:szCs w:val="24"/>
        </w:rPr>
        <w:t>A</w:t>
      </w:r>
      <w:r w:rsidR="00801755">
        <w:rPr>
          <w:rFonts w:cs="Arial"/>
          <w:sz w:val="24"/>
          <w:szCs w:val="24"/>
        </w:rPr>
        <w:t xml:space="preserve"> person in possession of a bill w</w:t>
      </w:r>
      <w:r w:rsidR="00D173E1">
        <w:rPr>
          <w:rFonts w:cs="Arial"/>
          <w:sz w:val="24"/>
          <w:szCs w:val="24"/>
        </w:rPr>
        <w:t xml:space="preserve">ould then have </w:t>
      </w:r>
      <w:r w:rsidR="00801755">
        <w:rPr>
          <w:rFonts w:cs="Arial"/>
          <w:sz w:val="24"/>
          <w:szCs w:val="24"/>
        </w:rPr>
        <w:t xml:space="preserve">symbolic possession of the goods.   These aspects together gave the bill the quality of being able to control the delivery of the goods </w:t>
      </w:r>
      <w:r w:rsidR="004D1028">
        <w:rPr>
          <w:rFonts w:cs="Arial"/>
          <w:sz w:val="24"/>
          <w:szCs w:val="24"/>
        </w:rPr>
        <w:t xml:space="preserve">by </w:t>
      </w:r>
      <w:r w:rsidR="00801755">
        <w:rPr>
          <w:rFonts w:cs="Arial"/>
          <w:sz w:val="24"/>
          <w:szCs w:val="24"/>
        </w:rPr>
        <w:t xml:space="preserve">use of the document itself.  The recognition of the custom of merchants as to transferability in </w:t>
      </w:r>
      <w:proofErr w:type="spellStart"/>
      <w:r w:rsidR="00801755" w:rsidRPr="00F30B09">
        <w:rPr>
          <w:rFonts w:cs="Arial"/>
          <w:b/>
          <w:bCs/>
          <w:sz w:val="24"/>
          <w:szCs w:val="24"/>
        </w:rPr>
        <w:t>Lickbarrow</w:t>
      </w:r>
      <w:proofErr w:type="spellEnd"/>
      <w:r w:rsidR="00801755" w:rsidRPr="00F30B09">
        <w:rPr>
          <w:rFonts w:cs="Arial"/>
          <w:b/>
          <w:bCs/>
          <w:sz w:val="24"/>
          <w:szCs w:val="24"/>
        </w:rPr>
        <w:t xml:space="preserve"> v Mason</w:t>
      </w:r>
      <w:r w:rsidR="00801755">
        <w:rPr>
          <w:rFonts w:cs="Arial"/>
          <w:sz w:val="24"/>
          <w:szCs w:val="24"/>
        </w:rPr>
        <w:t xml:space="preserve"> </w:t>
      </w:r>
      <w:r w:rsidR="00BF7B2D">
        <w:rPr>
          <w:rFonts w:cs="Arial"/>
          <w:sz w:val="24"/>
          <w:szCs w:val="24"/>
        </w:rPr>
        <w:t xml:space="preserve">(1787) 2 </w:t>
      </w:r>
      <w:r w:rsidR="00BF7B2D">
        <w:rPr>
          <w:rFonts w:cs="Arial"/>
          <w:sz w:val="24"/>
          <w:szCs w:val="24"/>
        </w:rPr>
        <w:lastRenderedPageBreak/>
        <w:t xml:space="preserve">Term Rep 63 </w:t>
      </w:r>
      <w:r w:rsidR="004D1028">
        <w:rPr>
          <w:rFonts w:cs="Arial"/>
          <w:sz w:val="24"/>
          <w:szCs w:val="24"/>
        </w:rPr>
        <w:t xml:space="preserve">meant that the bill became the first (and only) document of title recognised at common law and enabled it to have the legal effect of being able to transfer symbolic possession from the holder to the transferee.  This symbolic possession enables its transfer to support an effective transfer of </w:t>
      </w:r>
      <w:r w:rsidR="00C33D0A">
        <w:rPr>
          <w:rFonts w:cs="Arial"/>
          <w:sz w:val="24"/>
          <w:szCs w:val="24"/>
        </w:rPr>
        <w:t>a proprietary interest</w:t>
      </w:r>
      <w:r w:rsidR="004D1028">
        <w:rPr>
          <w:rFonts w:cs="Arial"/>
          <w:sz w:val="24"/>
          <w:szCs w:val="24"/>
        </w:rPr>
        <w:t xml:space="preserve"> where this is the intention behind the transfer (even in some cases with the effect of defeating previous but less secure transfers of property, see </w:t>
      </w:r>
      <w:proofErr w:type="gramStart"/>
      <w:r w:rsidR="004D1028">
        <w:rPr>
          <w:rFonts w:cs="Arial"/>
          <w:sz w:val="24"/>
          <w:szCs w:val="24"/>
        </w:rPr>
        <w:t>e.g.</w:t>
      </w:r>
      <w:proofErr w:type="gramEnd"/>
      <w:r w:rsidR="004D1028">
        <w:rPr>
          <w:rFonts w:cs="Arial"/>
          <w:sz w:val="24"/>
          <w:szCs w:val="24"/>
        </w:rPr>
        <w:t xml:space="preserve"> ss 24 &amp; 25 of the </w:t>
      </w:r>
      <w:r w:rsidR="004D1028" w:rsidRPr="00F30B09">
        <w:rPr>
          <w:rFonts w:cs="Arial"/>
          <w:b/>
          <w:bCs/>
          <w:sz w:val="24"/>
          <w:szCs w:val="24"/>
        </w:rPr>
        <w:t>Sale of Goods Act 1979</w:t>
      </w:r>
      <w:r w:rsidR="004D1028">
        <w:rPr>
          <w:rFonts w:cs="Arial"/>
          <w:sz w:val="24"/>
          <w:szCs w:val="24"/>
        </w:rPr>
        <w:t xml:space="preserve">).  </w:t>
      </w:r>
    </w:p>
    <w:p w14:paraId="6F3DA14F" w14:textId="77777777" w:rsidR="00CC6594" w:rsidRDefault="004D1028" w:rsidP="00CC6594">
      <w:pPr>
        <w:rPr>
          <w:rFonts w:cs="Arial"/>
          <w:sz w:val="24"/>
          <w:szCs w:val="24"/>
        </w:rPr>
      </w:pPr>
      <w:r>
        <w:rPr>
          <w:rFonts w:cs="Arial"/>
          <w:sz w:val="24"/>
          <w:szCs w:val="24"/>
        </w:rPr>
        <w:t xml:space="preserve">The transferability of the bill is indicated where the bill is made out to order </w:t>
      </w:r>
      <w:r w:rsidR="00AD29A4">
        <w:rPr>
          <w:rFonts w:cs="Arial"/>
          <w:sz w:val="24"/>
          <w:szCs w:val="24"/>
        </w:rPr>
        <w:t xml:space="preserve">(to shipper or consignee or other party or just to order) or to bearer. Transfer is achieved by endorsement and delivery of the bill or simply by delivery to the consignee </w:t>
      </w:r>
      <w:proofErr w:type="gramStart"/>
      <w:r w:rsidR="00AD29A4">
        <w:rPr>
          <w:rFonts w:cs="Arial"/>
          <w:sz w:val="24"/>
          <w:szCs w:val="24"/>
        </w:rPr>
        <w:t>where</w:t>
      </w:r>
      <w:proofErr w:type="gramEnd"/>
      <w:r w:rsidR="00AD29A4">
        <w:rPr>
          <w:rFonts w:cs="Arial"/>
          <w:sz w:val="24"/>
          <w:szCs w:val="24"/>
        </w:rPr>
        <w:t xml:space="preserve"> made to her order or by simply delivery where the bill is a bearer bill.   Where the bill is not made out to order but simply names the consignee it becomes a straight bill of lading.  This means that it is not </w:t>
      </w:r>
      <w:r w:rsidR="00BF7B2D">
        <w:rPr>
          <w:rFonts w:cs="Arial"/>
          <w:sz w:val="24"/>
          <w:szCs w:val="24"/>
        </w:rPr>
        <w:t xml:space="preserve">generally </w:t>
      </w:r>
      <w:r w:rsidR="00AD29A4">
        <w:rPr>
          <w:rFonts w:cs="Arial"/>
          <w:sz w:val="24"/>
          <w:szCs w:val="24"/>
        </w:rPr>
        <w:t xml:space="preserve">transferable and is more like a consignment note.  However, unlike a consignment note a straight bill must still be presented to the carrier to obtain delivery so it still </w:t>
      </w:r>
      <w:r w:rsidR="00F30B09">
        <w:rPr>
          <w:rFonts w:cs="Arial"/>
          <w:sz w:val="24"/>
          <w:szCs w:val="24"/>
        </w:rPr>
        <w:t xml:space="preserve">has a role as </w:t>
      </w:r>
      <w:r w:rsidR="00AD29A4">
        <w:rPr>
          <w:rFonts w:cs="Arial"/>
          <w:sz w:val="24"/>
          <w:szCs w:val="24"/>
        </w:rPr>
        <w:t xml:space="preserve">a </w:t>
      </w:r>
      <w:r w:rsidR="00F30B09">
        <w:rPr>
          <w:rFonts w:cs="Arial"/>
          <w:sz w:val="24"/>
          <w:szCs w:val="24"/>
        </w:rPr>
        <w:t xml:space="preserve">limited </w:t>
      </w:r>
      <w:r w:rsidR="00AD29A4">
        <w:rPr>
          <w:rFonts w:cs="Arial"/>
          <w:sz w:val="24"/>
          <w:szCs w:val="24"/>
        </w:rPr>
        <w:t xml:space="preserve">control document.  The consignee will need to have received the bill </w:t>
      </w:r>
      <w:proofErr w:type="gramStart"/>
      <w:r w:rsidR="00AD29A4">
        <w:rPr>
          <w:rFonts w:cs="Arial"/>
          <w:sz w:val="24"/>
          <w:szCs w:val="24"/>
        </w:rPr>
        <w:t>in order to</w:t>
      </w:r>
      <w:proofErr w:type="gramEnd"/>
      <w:r w:rsidR="00AD29A4">
        <w:rPr>
          <w:rFonts w:cs="Arial"/>
          <w:sz w:val="24"/>
          <w:szCs w:val="24"/>
        </w:rPr>
        <w:t xml:space="preserve"> </w:t>
      </w:r>
      <w:r w:rsidR="00C33D0A">
        <w:rPr>
          <w:rFonts w:cs="Arial"/>
          <w:sz w:val="24"/>
          <w:szCs w:val="24"/>
        </w:rPr>
        <w:t>surrender</w:t>
      </w:r>
      <w:r w:rsidR="00AD29A4">
        <w:rPr>
          <w:rFonts w:cs="Arial"/>
          <w:sz w:val="24"/>
          <w:szCs w:val="24"/>
        </w:rPr>
        <w:t xml:space="preserve"> it and obtain the goods.  </w:t>
      </w:r>
      <w:r w:rsidR="00976CE7">
        <w:rPr>
          <w:rFonts w:cs="Arial"/>
          <w:sz w:val="24"/>
          <w:szCs w:val="24"/>
        </w:rPr>
        <w:t>The straight bill does not fit easily into much of the traditional thinking about the nature of documents of title</w:t>
      </w:r>
      <w:r w:rsidR="00866762">
        <w:rPr>
          <w:rFonts w:cs="Arial"/>
          <w:sz w:val="24"/>
          <w:szCs w:val="24"/>
        </w:rPr>
        <w:t>,</w:t>
      </w:r>
      <w:r w:rsidR="00976CE7">
        <w:rPr>
          <w:rFonts w:cs="Arial"/>
          <w:sz w:val="24"/>
          <w:szCs w:val="24"/>
        </w:rPr>
        <w:t xml:space="preserve"> but it is recognised as such for the purposes of the </w:t>
      </w:r>
      <w:r w:rsidR="00976CE7" w:rsidRPr="00F30B09">
        <w:rPr>
          <w:rFonts w:cs="Arial"/>
          <w:b/>
          <w:bCs/>
          <w:sz w:val="24"/>
          <w:szCs w:val="24"/>
        </w:rPr>
        <w:t>Hague-Visby Rules</w:t>
      </w:r>
      <w:r w:rsidR="0096565C">
        <w:rPr>
          <w:rFonts w:cs="Arial"/>
          <w:b/>
          <w:bCs/>
          <w:sz w:val="24"/>
          <w:szCs w:val="24"/>
        </w:rPr>
        <w:t xml:space="preserve"> </w:t>
      </w:r>
      <w:r w:rsidR="0096565C" w:rsidRPr="0096565C">
        <w:rPr>
          <w:rFonts w:cs="Arial"/>
          <w:sz w:val="24"/>
          <w:szCs w:val="24"/>
        </w:rPr>
        <w:t>(see below)</w:t>
      </w:r>
      <w:r w:rsidR="00976CE7">
        <w:rPr>
          <w:rFonts w:cs="Arial"/>
          <w:sz w:val="24"/>
          <w:szCs w:val="24"/>
        </w:rPr>
        <w:t xml:space="preserve"> – see the </w:t>
      </w:r>
      <w:r w:rsidR="00976CE7" w:rsidRPr="00F30B09">
        <w:rPr>
          <w:rFonts w:cs="Arial"/>
          <w:b/>
          <w:bCs/>
          <w:sz w:val="24"/>
          <w:szCs w:val="24"/>
        </w:rPr>
        <w:t>Ra</w:t>
      </w:r>
      <w:r w:rsidR="00C33D0A" w:rsidRPr="00F30B09">
        <w:rPr>
          <w:rFonts w:cs="Arial"/>
          <w:b/>
          <w:bCs/>
          <w:sz w:val="24"/>
          <w:szCs w:val="24"/>
        </w:rPr>
        <w:t>f</w:t>
      </w:r>
      <w:r w:rsidR="00976CE7" w:rsidRPr="00F30B09">
        <w:rPr>
          <w:rFonts w:cs="Arial"/>
          <w:b/>
          <w:bCs/>
          <w:sz w:val="24"/>
          <w:szCs w:val="24"/>
        </w:rPr>
        <w:t>aella S</w:t>
      </w:r>
      <w:r w:rsidR="007A6833">
        <w:rPr>
          <w:rFonts w:cs="Arial"/>
          <w:b/>
          <w:bCs/>
          <w:sz w:val="24"/>
          <w:szCs w:val="24"/>
        </w:rPr>
        <w:t xml:space="preserve"> </w:t>
      </w:r>
      <w:r w:rsidR="007A6833" w:rsidRPr="007A6833">
        <w:rPr>
          <w:rFonts w:cs="Arial"/>
          <w:sz w:val="24"/>
          <w:szCs w:val="24"/>
        </w:rPr>
        <w:t xml:space="preserve">[2005] UKHL 11, [2005] 2 AC </w:t>
      </w:r>
      <w:r w:rsidR="00CC6594">
        <w:rPr>
          <w:rFonts w:cs="Arial"/>
          <w:sz w:val="24"/>
          <w:szCs w:val="24"/>
        </w:rPr>
        <w:t>423.</w:t>
      </w:r>
    </w:p>
    <w:p w14:paraId="2A6243B8" w14:textId="77777777" w:rsidR="00CC6594" w:rsidRPr="007A6833" w:rsidRDefault="00CC6594" w:rsidP="000C26B2">
      <w:pPr>
        <w:rPr>
          <w:rFonts w:cs="Arial"/>
          <w:sz w:val="24"/>
          <w:szCs w:val="24"/>
        </w:rPr>
      </w:pPr>
      <w:r>
        <w:rPr>
          <w:rFonts w:cs="Arial"/>
          <w:sz w:val="24"/>
          <w:szCs w:val="24"/>
        </w:rPr>
        <w:t>A CMR consignment note is neither a control document in the same way as a bill nor is it transferable.  It does not have to be surrendered at the destination to obtain the goods.  Indeed, the position is that, as noted above, the consignee is entitled to receive the second copy of the consignment note along with the goods.  It is having the position of consignee that is crucial.  Even being named originally in the consignment note as consignee does not necessarily guarantee delivery since the sender normally has a right of control until the goods reach the destination (although as noted above the right can be given initially to the consignee) although there is a limited in control in that the sender</w:t>
      </w:r>
      <w:r w:rsidR="00CA1C44">
        <w:rPr>
          <w:rFonts w:cs="Arial"/>
          <w:sz w:val="24"/>
          <w:szCs w:val="24"/>
        </w:rPr>
        <w:t xml:space="preserve"> (or consignee if given the right of disposal initially)</w:t>
      </w:r>
      <w:r>
        <w:rPr>
          <w:rFonts w:cs="Arial"/>
          <w:sz w:val="24"/>
          <w:szCs w:val="24"/>
        </w:rPr>
        <w:t xml:space="preserve"> is supposed to present  the first copy of the consignment note to the carrier when making changes to the delivery instructions (the position with a bill of lading is similar since a shipper who has not yet transferred the bill of lading can make changes affecting transit and delivery such as changing the name of the consignee – the same is true of a sea waybill unless a no-disposal clause has been included in it).  </w:t>
      </w:r>
    </w:p>
    <w:p w14:paraId="16CCB29A" w14:textId="77777777" w:rsidR="00C33D0A" w:rsidRDefault="00CC6594" w:rsidP="000C26B2">
      <w:pPr>
        <w:rPr>
          <w:rFonts w:cs="Arial"/>
          <w:sz w:val="24"/>
          <w:szCs w:val="24"/>
        </w:rPr>
      </w:pPr>
      <w:r>
        <w:rPr>
          <w:rFonts w:cs="Arial"/>
          <w:sz w:val="24"/>
          <w:szCs w:val="24"/>
        </w:rPr>
        <w:t>More specific points of comparison can be made as follows</w:t>
      </w:r>
      <w:r w:rsidR="00C33D0A">
        <w:rPr>
          <w:rFonts w:cs="Arial"/>
          <w:sz w:val="24"/>
          <w:szCs w:val="24"/>
        </w:rPr>
        <w:t>:</w:t>
      </w:r>
    </w:p>
    <w:p w14:paraId="45EC7FBB" w14:textId="77777777" w:rsidR="003B7A7E" w:rsidRDefault="00C33D0A" w:rsidP="000C26B2">
      <w:pPr>
        <w:rPr>
          <w:rFonts w:cs="Arial"/>
          <w:sz w:val="24"/>
          <w:szCs w:val="24"/>
        </w:rPr>
      </w:pPr>
      <w:r w:rsidRPr="00592C11">
        <w:rPr>
          <w:rFonts w:cs="Arial"/>
          <w:b/>
          <w:bCs/>
          <w:sz w:val="24"/>
          <w:szCs w:val="24"/>
        </w:rPr>
        <w:t>1.</w:t>
      </w:r>
      <w:r w:rsidR="00A14FE9" w:rsidRPr="00592C11">
        <w:rPr>
          <w:rFonts w:cs="Arial"/>
          <w:b/>
          <w:bCs/>
          <w:sz w:val="24"/>
          <w:szCs w:val="24"/>
        </w:rPr>
        <w:t xml:space="preserve"> </w:t>
      </w:r>
      <w:r w:rsidRPr="00592C11">
        <w:rPr>
          <w:rFonts w:cs="Arial"/>
          <w:b/>
          <w:bCs/>
          <w:sz w:val="24"/>
          <w:szCs w:val="24"/>
        </w:rPr>
        <w:t>Proof.</w:t>
      </w:r>
      <w:r>
        <w:rPr>
          <w:rFonts w:cs="Arial"/>
          <w:sz w:val="24"/>
          <w:szCs w:val="24"/>
        </w:rPr>
        <w:t xml:space="preserve">  </w:t>
      </w:r>
      <w:r w:rsidR="00D341E5">
        <w:rPr>
          <w:rFonts w:cs="Arial"/>
          <w:sz w:val="24"/>
          <w:szCs w:val="24"/>
        </w:rPr>
        <w:t>A</w:t>
      </w:r>
      <w:r w:rsidR="00592C11">
        <w:rPr>
          <w:rFonts w:cs="Arial"/>
          <w:sz w:val="24"/>
          <w:szCs w:val="24"/>
        </w:rPr>
        <w:t>s</w:t>
      </w:r>
      <w:r w:rsidR="00D341E5">
        <w:rPr>
          <w:rFonts w:cs="Arial"/>
          <w:sz w:val="24"/>
          <w:szCs w:val="24"/>
        </w:rPr>
        <w:t xml:space="preserve"> with</w:t>
      </w:r>
      <w:r>
        <w:rPr>
          <w:rFonts w:cs="Arial"/>
          <w:sz w:val="24"/>
          <w:szCs w:val="24"/>
        </w:rPr>
        <w:t xml:space="preserve"> a CMR consignment note the bill of lading will contain statements as to the type</w:t>
      </w:r>
      <w:r w:rsidR="00195BC4">
        <w:rPr>
          <w:rFonts w:cs="Arial"/>
          <w:sz w:val="24"/>
          <w:szCs w:val="24"/>
        </w:rPr>
        <w:t xml:space="preserve"> and</w:t>
      </w:r>
      <w:r>
        <w:rPr>
          <w:rFonts w:cs="Arial"/>
          <w:sz w:val="24"/>
          <w:szCs w:val="24"/>
        </w:rPr>
        <w:t xml:space="preserve"> quantity </w:t>
      </w:r>
      <w:r w:rsidR="00195BC4">
        <w:rPr>
          <w:rFonts w:cs="Arial"/>
          <w:sz w:val="24"/>
          <w:szCs w:val="24"/>
        </w:rPr>
        <w:t xml:space="preserve">of the goods and their apparent good order and condition on shipment.  In the hands of a shipper the bill will be prima facie evidence of the facts stated unless the bill is qualified in some way to show that the carrier is not prepared to accept a bill for some particular </w:t>
      </w:r>
      <w:proofErr w:type="gramStart"/>
      <w:r w:rsidR="00195BC4">
        <w:rPr>
          <w:rFonts w:cs="Arial"/>
          <w:sz w:val="24"/>
          <w:szCs w:val="24"/>
        </w:rPr>
        <w:t>e.g.</w:t>
      </w:r>
      <w:proofErr w:type="gramEnd"/>
      <w:r w:rsidR="00195BC4">
        <w:rPr>
          <w:rFonts w:cs="Arial"/>
          <w:sz w:val="24"/>
          <w:szCs w:val="24"/>
        </w:rPr>
        <w:t xml:space="preserve"> by indications on the bill such as ‘weight unknown’ or ‘shipper’s load and count.’  This reflects the fact that statements about the goods will initially have originated from the shipper and the carrier may not be prepared to accept the</w:t>
      </w:r>
      <w:r w:rsidR="003B7A7E">
        <w:rPr>
          <w:rFonts w:cs="Arial"/>
          <w:sz w:val="24"/>
          <w:szCs w:val="24"/>
        </w:rPr>
        <w:t xml:space="preserve">se </w:t>
      </w:r>
      <w:r w:rsidR="00195BC4">
        <w:rPr>
          <w:rFonts w:cs="Arial"/>
          <w:sz w:val="24"/>
          <w:szCs w:val="24"/>
        </w:rPr>
        <w:t>statemen</w:t>
      </w:r>
      <w:r w:rsidR="003B7A7E">
        <w:rPr>
          <w:rFonts w:cs="Arial"/>
          <w:sz w:val="24"/>
          <w:szCs w:val="24"/>
        </w:rPr>
        <w:t xml:space="preserve">ts </w:t>
      </w:r>
      <w:r w:rsidR="00195BC4">
        <w:rPr>
          <w:rFonts w:cs="Arial"/>
          <w:sz w:val="24"/>
          <w:szCs w:val="24"/>
        </w:rPr>
        <w:t>especially in situations where h</w:t>
      </w:r>
      <w:r w:rsidR="003B7A7E">
        <w:rPr>
          <w:rFonts w:cs="Arial"/>
          <w:sz w:val="24"/>
          <w:szCs w:val="24"/>
        </w:rPr>
        <w:t>e does not have the facility to check them.  Alternatively, it may be that on checking the carrier has found some inaccuracy in the quantity or that the goods are in poor external condition and so some remark may need to be put on the bill.</w:t>
      </w:r>
    </w:p>
    <w:p w14:paraId="1CED1535" w14:textId="77777777" w:rsidR="00C33D0A" w:rsidRDefault="003B7A7E" w:rsidP="000C26B2">
      <w:pPr>
        <w:rPr>
          <w:rFonts w:cs="Arial"/>
          <w:sz w:val="24"/>
          <w:szCs w:val="24"/>
        </w:rPr>
      </w:pPr>
      <w:r>
        <w:rPr>
          <w:rFonts w:cs="Arial"/>
          <w:sz w:val="24"/>
          <w:szCs w:val="24"/>
        </w:rPr>
        <w:t xml:space="preserve">If the bill of lading is unqualified, </w:t>
      </w:r>
      <w:r w:rsidR="00195BC4">
        <w:rPr>
          <w:rFonts w:cs="Arial"/>
          <w:sz w:val="24"/>
          <w:szCs w:val="24"/>
        </w:rPr>
        <w:t xml:space="preserve">transfer of the bill </w:t>
      </w:r>
      <w:r>
        <w:rPr>
          <w:rFonts w:cs="Arial"/>
          <w:sz w:val="24"/>
          <w:szCs w:val="24"/>
        </w:rPr>
        <w:t xml:space="preserve">will make it conclusive evidence in favour of the transferee in respect of statements as to quantity and apparent condition </w:t>
      </w:r>
      <w:r>
        <w:rPr>
          <w:rFonts w:cs="Arial"/>
          <w:sz w:val="24"/>
          <w:szCs w:val="24"/>
        </w:rPr>
        <w:lastRenderedPageBreak/>
        <w:t xml:space="preserve">meaning that the carrier will not be permitted to deny the accuracy of these statements.  This position is confirmed whenever the </w:t>
      </w:r>
      <w:r w:rsidRPr="0096565C">
        <w:rPr>
          <w:rFonts w:cs="Arial"/>
          <w:b/>
          <w:bCs/>
          <w:sz w:val="24"/>
          <w:szCs w:val="24"/>
        </w:rPr>
        <w:t xml:space="preserve">Hague-Visby Rules </w:t>
      </w:r>
      <w:r w:rsidR="0096565C" w:rsidRPr="0096565C">
        <w:rPr>
          <w:rFonts w:cs="Arial"/>
          <w:b/>
          <w:bCs/>
          <w:sz w:val="24"/>
          <w:szCs w:val="24"/>
        </w:rPr>
        <w:t>1968</w:t>
      </w:r>
      <w:r w:rsidR="0096565C">
        <w:rPr>
          <w:rFonts w:cs="Arial"/>
          <w:sz w:val="24"/>
          <w:szCs w:val="24"/>
        </w:rPr>
        <w:t xml:space="preserve"> </w:t>
      </w:r>
      <w:r>
        <w:rPr>
          <w:rFonts w:cs="Arial"/>
          <w:sz w:val="24"/>
          <w:szCs w:val="24"/>
        </w:rPr>
        <w:t>apply</w:t>
      </w:r>
      <w:r w:rsidR="0096565C">
        <w:rPr>
          <w:rFonts w:cs="Arial"/>
          <w:sz w:val="24"/>
          <w:szCs w:val="24"/>
        </w:rPr>
        <w:t xml:space="preserve"> (</w:t>
      </w:r>
      <w:proofErr w:type="gramStart"/>
      <w:r w:rsidR="0096565C">
        <w:rPr>
          <w:rFonts w:cs="Arial"/>
          <w:sz w:val="24"/>
          <w:szCs w:val="24"/>
        </w:rPr>
        <w:t>e.g.</w:t>
      </w:r>
      <w:proofErr w:type="gramEnd"/>
      <w:r w:rsidR="0096565C">
        <w:rPr>
          <w:rFonts w:cs="Arial"/>
          <w:sz w:val="24"/>
          <w:szCs w:val="24"/>
        </w:rPr>
        <w:t xml:space="preserve"> so far as English law is concerned by the </w:t>
      </w:r>
      <w:r w:rsidR="0096565C" w:rsidRPr="0096565C">
        <w:rPr>
          <w:rFonts w:cs="Arial"/>
          <w:b/>
          <w:bCs/>
          <w:sz w:val="24"/>
          <w:szCs w:val="24"/>
        </w:rPr>
        <w:t>Carriage of Goods by Sea Act 1971</w:t>
      </w:r>
      <w:r w:rsidR="0096565C">
        <w:rPr>
          <w:rFonts w:cs="Arial"/>
          <w:sz w:val="24"/>
          <w:szCs w:val="24"/>
        </w:rPr>
        <w:t>).  A</w:t>
      </w:r>
      <w:r>
        <w:rPr>
          <w:rFonts w:cs="Arial"/>
          <w:sz w:val="24"/>
          <w:szCs w:val="24"/>
        </w:rPr>
        <w:t>rt</w:t>
      </w:r>
      <w:r w:rsidR="0096565C">
        <w:rPr>
          <w:rFonts w:cs="Arial"/>
          <w:sz w:val="24"/>
          <w:szCs w:val="24"/>
        </w:rPr>
        <w:t xml:space="preserve">icle </w:t>
      </w:r>
      <w:r>
        <w:rPr>
          <w:rFonts w:cs="Arial"/>
          <w:sz w:val="24"/>
          <w:szCs w:val="24"/>
        </w:rPr>
        <w:t>III r</w:t>
      </w:r>
      <w:r w:rsidR="007A6833">
        <w:rPr>
          <w:rFonts w:cs="Arial"/>
          <w:sz w:val="24"/>
          <w:szCs w:val="24"/>
        </w:rPr>
        <w:t>.</w:t>
      </w:r>
      <w:r>
        <w:rPr>
          <w:rFonts w:cs="Arial"/>
          <w:sz w:val="24"/>
          <w:szCs w:val="24"/>
        </w:rPr>
        <w:t xml:space="preserve"> 3</w:t>
      </w:r>
      <w:r w:rsidR="0096565C">
        <w:rPr>
          <w:rFonts w:cs="Arial"/>
          <w:sz w:val="24"/>
          <w:szCs w:val="24"/>
        </w:rPr>
        <w:t xml:space="preserve"> of the Rules requires the carrier to issue on the demand of the shipper </w:t>
      </w:r>
      <w:r w:rsidR="0055796C">
        <w:rPr>
          <w:rFonts w:cs="Arial"/>
          <w:sz w:val="24"/>
          <w:szCs w:val="24"/>
        </w:rPr>
        <w:t xml:space="preserve">a bill of lading showing (among other things) a) The leading marks necessary for the identification of the goods as furnished by the shipper; </w:t>
      </w:r>
      <w:r w:rsidR="0055796C" w:rsidRPr="0055796C">
        <w:rPr>
          <w:rFonts w:cstheme="minorHAnsi"/>
          <w:sz w:val="24"/>
          <w:szCs w:val="24"/>
        </w:rPr>
        <w:t>b)</w:t>
      </w:r>
      <w:r w:rsidR="0055796C" w:rsidRPr="0055796C">
        <w:rPr>
          <w:rFonts w:cstheme="minorHAnsi"/>
          <w:color w:val="000000"/>
          <w:sz w:val="24"/>
          <w:szCs w:val="24"/>
          <w:shd w:val="clear" w:color="auto" w:fill="FFFFFF"/>
        </w:rPr>
        <w:t xml:space="preserve"> Either the number of packages or pieces, or the quantity, or weight, as the case may be, as furnished in writing by the shipper</w:t>
      </w:r>
      <w:r w:rsidR="0055796C">
        <w:rPr>
          <w:rFonts w:cstheme="minorHAnsi"/>
          <w:color w:val="000000"/>
          <w:sz w:val="24"/>
          <w:szCs w:val="24"/>
          <w:shd w:val="clear" w:color="auto" w:fill="FFFFFF"/>
        </w:rPr>
        <w:t>; c) The apparent good order and condition of the goods</w:t>
      </w:r>
      <w:r w:rsidR="0055796C" w:rsidRPr="0055796C">
        <w:rPr>
          <w:rFonts w:cstheme="minorHAnsi"/>
          <w:color w:val="000000"/>
          <w:sz w:val="24"/>
          <w:szCs w:val="24"/>
          <w:shd w:val="clear" w:color="auto" w:fill="FFFFFF"/>
        </w:rPr>
        <w:t>.</w:t>
      </w:r>
      <w:r w:rsidR="0055796C" w:rsidRPr="0055796C">
        <w:rPr>
          <w:rFonts w:cstheme="minorHAnsi"/>
          <w:sz w:val="24"/>
          <w:szCs w:val="24"/>
        </w:rPr>
        <w:t xml:space="preserve">  </w:t>
      </w:r>
      <w:r w:rsidR="0055796C" w:rsidRPr="0055796C">
        <w:rPr>
          <w:rFonts w:cstheme="minorHAnsi"/>
          <w:color w:val="000000"/>
          <w:sz w:val="24"/>
          <w:szCs w:val="24"/>
          <w:shd w:val="clear" w:color="auto" w:fill="FFFFFF"/>
        </w:rPr>
        <w:t xml:space="preserve">However, the carrier, is not bound to state or show in the bill of lading any marks, number, quantity, or weight which he has reasonable ground for suspecting not accurately to represent the goods </w:t>
      </w:r>
      <w:proofErr w:type="gramStart"/>
      <w:r w:rsidR="0055796C" w:rsidRPr="0055796C">
        <w:rPr>
          <w:rFonts w:cstheme="minorHAnsi"/>
          <w:color w:val="000000"/>
          <w:sz w:val="24"/>
          <w:szCs w:val="24"/>
          <w:shd w:val="clear" w:color="auto" w:fill="FFFFFF"/>
        </w:rPr>
        <w:t>actually received</w:t>
      </w:r>
      <w:proofErr w:type="gramEnd"/>
      <w:r w:rsidR="0055796C" w:rsidRPr="0055796C">
        <w:rPr>
          <w:rFonts w:cstheme="minorHAnsi"/>
          <w:color w:val="000000"/>
          <w:sz w:val="24"/>
          <w:szCs w:val="24"/>
          <w:shd w:val="clear" w:color="auto" w:fill="FFFFFF"/>
        </w:rPr>
        <w:t xml:space="preserve">, or which he has had no reasonable means of checking. </w:t>
      </w:r>
      <w:r w:rsidR="0055796C">
        <w:rPr>
          <w:rFonts w:cstheme="minorHAnsi"/>
          <w:color w:val="000000"/>
          <w:sz w:val="24"/>
          <w:szCs w:val="24"/>
          <w:shd w:val="clear" w:color="auto" w:fill="FFFFFF"/>
        </w:rPr>
        <w:t xml:space="preserve"> This confirms the right of the carrier to make reservations where the carrier is justified in making them but the rights of the transferee as against the carrier depend on the shipper insisting on these details appearing without qualification where the carrier has no grounds for qualifying the bill (see the </w:t>
      </w:r>
      <w:r w:rsidR="0055796C" w:rsidRPr="0055796C">
        <w:rPr>
          <w:rFonts w:cstheme="minorHAnsi"/>
          <w:b/>
          <w:bCs/>
          <w:color w:val="000000"/>
          <w:sz w:val="24"/>
          <w:szCs w:val="24"/>
          <w:shd w:val="clear" w:color="auto" w:fill="FFFFFF"/>
        </w:rPr>
        <w:t>Mata K</w:t>
      </w:r>
      <w:r w:rsidR="0055796C">
        <w:rPr>
          <w:rFonts w:cstheme="minorHAnsi"/>
          <w:color w:val="000000"/>
          <w:sz w:val="24"/>
          <w:szCs w:val="24"/>
          <w:shd w:val="clear" w:color="auto" w:fill="FFFFFF"/>
        </w:rPr>
        <w:t xml:space="preserve"> [1998] </w:t>
      </w:r>
      <w:proofErr w:type="gramStart"/>
      <w:r w:rsidR="0055796C">
        <w:rPr>
          <w:rFonts w:cstheme="minorHAnsi"/>
          <w:color w:val="000000"/>
          <w:sz w:val="24"/>
          <w:szCs w:val="24"/>
          <w:shd w:val="clear" w:color="auto" w:fill="FFFFFF"/>
        </w:rPr>
        <w:t>2  Lloyd’s</w:t>
      </w:r>
      <w:proofErr w:type="gramEnd"/>
      <w:r w:rsidR="0055796C">
        <w:rPr>
          <w:rFonts w:cstheme="minorHAnsi"/>
          <w:color w:val="000000"/>
          <w:sz w:val="24"/>
          <w:szCs w:val="24"/>
          <w:shd w:val="clear" w:color="auto" w:fill="FFFFFF"/>
        </w:rPr>
        <w:t xml:space="preserve"> Rep 614)</w:t>
      </w:r>
      <w:r w:rsidR="00476F12">
        <w:rPr>
          <w:rFonts w:cstheme="minorHAnsi"/>
          <w:color w:val="000000"/>
          <w:sz w:val="24"/>
          <w:szCs w:val="24"/>
          <w:shd w:val="clear" w:color="auto" w:fill="FFFFFF"/>
        </w:rPr>
        <w:t>.  Article</w:t>
      </w:r>
      <w:r>
        <w:rPr>
          <w:rFonts w:cs="Arial"/>
          <w:sz w:val="24"/>
          <w:szCs w:val="24"/>
        </w:rPr>
        <w:t xml:space="preserve"> III r</w:t>
      </w:r>
      <w:r w:rsidR="007A6833">
        <w:rPr>
          <w:rFonts w:cs="Arial"/>
          <w:sz w:val="24"/>
          <w:szCs w:val="24"/>
        </w:rPr>
        <w:t>.</w:t>
      </w:r>
      <w:r>
        <w:rPr>
          <w:rFonts w:cs="Arial"/>
          <w:sz w:val="24"/>
          <w:szCs w:val="24"/>
        </w:rPr>
        <w:t xml:space="preserve"> 4</w:t>
      </w:r>
      <w:r w:rsidR="0096565C">
        <w:rPr>
          <w:rFonts w:cs="Arial"/>
          <w:sz w:val="24"/>
          <w:szCs w:val="24"/>
        </w:rPr>
        <w:t xml:space="preserve"> </w:t>
      </w:r>
      <w:r w:rsidR="00476F12">
        <w:rPr>
          <w:rFonts w:cs="Arial"/>
          <w:sz w:val="24"/>
          <w:szCs w:val="24"/>
        </w:rPr>
        <w:t xml:space="preserve">makes the bill of lading prima facie evidence for these details </w:t>
      </w:r>
      <w:r w:rsidR="00535309">
        <w:rPr>
          <w:rFonts w:cs="Arial"/>
          <w:sz w:val="24"/>
          <w:szCs w:val="24"/>
        </w:rPr>
        <w:t xml:space="preserve">but goes on to provide that </w:t>
      </w:r>
      <w:r w:rsidR="00535309" w:rsidRPr="00535309">
        <w:rPr>
          <w:rFonts w:cstheme="minorHAnsi"/>
          <w:color w:val="000000"/>
          <w:sz w:val="24"/>
          <w:szCs w:val="24"/>
          <w:shd w:val="clear" w:color="auto" w:fill="FFFFFF"/>
        </w:rPr>
        <w:t>proof to the contrary shall not be admissible when the bill of lading has been transferred to a third party acting in good faith</w:t>
      </w:r>
      <w:r w:rsidR="0096565C">
        <w:rPr>
          <w:rFonts w:cs="Arial"/>
          <w:sz w:val="24"/>
          <w:szCs w:val="24"/>
        </w:rPr>
        <w:t xml:space="preserve"> </w:t>
      </w:r>
      <w:r w:rsidR="00535309">
        <w:rPr>
          <w:rFonts w:cs="Arial"/>
          <w:sz w:val="24"/>
          <w:szCs w:val="24"/>
        </w:rPr>
        <w:t xml:space="preserve">(cf. </w:t>
      </w:r>
      <w:r w:rsidR="0096565C">
        <w:rPr>
          <w:rFonts w:cs="Arial"/>
          <w:sz w:val="24"/>
          <w:szCs w:val="24"/>
        </w:rPr>
        <w:t xml:space="preserve">common law </w:t>
      </w:r>
      <w:r w:rsidR="00535309">
        <w:rPr>
          <w:rFonts w:cs="Arial"/>
          <w:sz w:val="24"/>
          <w:szCs w:val="24"/>
        </w:rPr>
        <w:t xml:space="preserve">which requires that the transferee relies on the relevant representation see - </w:t>
      </w:r>
      <w:r w:rsidR="00535309" w:rsidRPr="00535309">
        <w:rPr>
          <w:rFonts w:ascii="Arial" w:hAnsi="Arial" w:cs="Arial"/>
          <w:b/>
          <w:bCs/>
        </w:rPr>
        <w:t>The Dona Mari</w:t>
      </w:r>
      <w:r w:rsidR="00535309">
        <w:rPr>
          <w:rFonts w:ascii="Arial" w:hAnsi="Arial" w:cs="Arial"/>
        </w:rPr>
        <w:t xml:space="preserve"> [1973] 2 Lloyd's Rep</w:t>
      </w:r>
      <w:r w:rsidR="00535309" w:rsidRPr="006E27E2">
        <w:rPr>
          <w:rFonts w:ascii="Arial" w:hAnsi="Arial" w:cs="Arial"/>
        </w:rPr>
        <w:t xml:space="preserve"> 366</w:t>
      </w:r>
      <w:r>
        <w:rPr>
          <w:rFonts w:cs="Arial"/>
          <w:sz w:val="24"/>
          <w:szCs w:val="24"/>
        </w:rPr>
        <w:t>).  At common law this position was clear in respect of the statement of apparent good order and condition</w:t>
      </w:r>
      <w:r w:rsidR="00535309">
        <w:rPr>
          <w:rFonts w:cs="Arial"/>
          <w:sz w:val="24"/>
          <w:szCs w:val="24"/>
        </w:rPr>
        <w:t xml:space="preserve"> (see for a classic e.g. </w:t>
      </w:r>
      <w:r w:rsidR="00535309" w:rsidRPr="002B6172">
        <w:rPr>
          <w:rFonts w:cs="Arial"/>
          <w:b/>
          <w:bCs/>
          <w:sz w:val="24"/>
          <w:szCs w:val="24"/>
        </w:rPr>
        <w:t>Silver v Ocean SS</w:t>
      </w:r>
      <w:r>
        <w:rPr>
          <w:rFonts w:cs="Arial"/>
          <w:sz w:val="24"/>
          <w:szCs w:val="24"/>
        </w:rPr>
        <w:t xml:space="preserve"> </w:t>
      </w:r>
      <w:r w:rsidR="002B6172">
        <w:rPr>
          <w:rFonts w:cs="Arial"/>
          <w:sz w:val="24"/>
          <w:szCs w:val="24"/>
        </w:rPr>
        <w:t xml:space="preserve">[1930] 1 KB 416) </w:t>
      </w:r>
      <w:r>
        <w:rPr>
          <w:rFonts w:cs="Arial"/>
          <w:sz w:val="24"/>
          <w:szCs w:val="24"/>
        </w:rPr>
        <w:t xml:space="preserve">but there was a difficulty created by the decision in </w:t>
      </w:r>
      <w:r w:rsidRPr="00225C11">
        <w:rPr>
          <w:rFonts w:cs="Arial"/>
          <w:b/>
          <w:bCs/>
          <w:sz w:val="24"/>
          <w:szCs w:val="24"/>
        </w:rPr>
        <w:t>Grant v Norway</w:t>
      </w:r>
      <w:r>
        <w:rPr>
          <w:rFonts w:cs="Arial"/>
          <w:sz w:val="24"/>
          <w:szCs w:val="24"/>
        </w:rPr>
        <w:t xml:space="preserve"> </w:t>
      </w:r>
      <w:r w:rsidR="007A6833">
        <w:rPr>
          <w:rFonts w:cs="Arial"/>
          <w:sz w:val="24"/>
          <w:szCs w:val="24"/>
        </w:rPr>
        <w:t xml:space="preserve">(1851) 10 CB 665 </w:t>
      </w:r>
      <w:r>
        <w:rPr>
          <w:rFonts w:cs="Arial"/>
          <w:sz w:val="24"/>
          <w:szCs w:val="24"/>
        </w:rPr>
        <w:t xml:space="preserve">regarding statements of quantity taking the view </w:t>
      </w:r>
      <w:r w:rsidR="00B91441">
        <w:rPr>
          <w:rFonts w:cs="Arial"/>
          <w:sz w:val="24"/>
          <w:szCs w:val="24"/>
        </w:rPr>
        <w:t xml:space="preserve">that a master has no authority to sign a bill of lading for goods which have not actually been shipped.  This is largely regarded as an anomalous </w:t>
      </w:r>
      <w:r w:rsidR="007A6833">
        <w:rPr>
          <w:rFonts w:cs="Arial"/>
          <w:sz w:val="24"/>
          <w:szCs w:val="24"/>
        </w:rPr>
        <w:t>view,</w:t>
      </w:r>
      <w:r w:rsidR="00B91441">
        <w:rPr>
          <w:rFonts w:cs="Arial"/>
          <w:sz w:val="24"/>
          <w:szCs w:val="24"/>
        </w:rPr>
        <w:t xml:space="preserve"> but the decision has not yet been </w:t>
      </w:r>
      <w:r w:rsidR="00225C11">
        <w:rPr>
          <w:rFonts w:cs="Arial"/>
          <w:sz w:val="24"/>
          <w:szCs w:val="24"/>
        </w:rPr>
        <w:t xml:space="preserve">formally </w:t>
      </w:r>
      <w:r w:rsidR="00B91441">
        <w:rPr>
          <w:rFonts w:cs="Arial"/>
          <w:sz w:val="24"/>
          <w:szCs w:val="24"/>
        </w:rPr>
        <w:t>overruled</w:t>
      </w:r>
      <w:r w:rsidR="00225C11">
        <w:rPr>
          <w:rFonts w:cs="Arial"/>
          <w:sz w:val="24"/>
          <w:szCs w:val="24"/>
        </w:rPr>
        <w:t xml:space="preserve"> by a higher court</w:t>
      </w:r>
      <w:r w:rsidR="00B91441">
        <w:rPr>
          <w:rFonts w:cs="Arial"/>
          <w:sz w:val="24"/>
          <w:szCs w:val="24"/>
        </w:rPr>
        <w:t xml:space="preserve">.  Its effect is largely negated by s.4 of the </w:t>
      </w:r>
      <w:r w:rsidR="00B91441" w:rsidRPr="00715788">
        <w:rPr>
          <w:rFonts w:cs="Arial"/>
          <w:b/>
          <w:bCs/>
          <w:sz w:val="24"/>
          <w:szCs w:val="24"/>
        </w:rPr>
        <w:t>Carriage of Goods by Sea Act 1992</w:t>
      </w:r>
      <w:r w:rsidR="00B91441">
        <w:rPr>
          <w:rFonts w:cs="Arial"/>
          <w:sz w:val="24"/>
          <w:szCs w:val="24"/>
        </w:rPr>
        <w:t xml:space="preserve"> which restores the conclusive nature of the bill in respect of such statements in favour of the transferee.</w:t>
      </w:r>
    </w:p>
    <w:p w14:paraId="4E5357C9" w14:textId="77777777" w:rsidR="00CC6594" w:rsidRDefault="00B91441" w:rsidP="000C26B2">
      <w:pPr>
        <w:rPr>
          <w:rFonts w:cs="Arial"/>
          <w:sz w:val="24"/>
          <w:szCs w:val="24"/>
        </w:rPr>
      </w:pPr>
      <w:r>
        <w:rPr>
          <w:rFonts w:cs="Arial"/>
          <w:sz w:val="24"/>
          <w:szCs w:val="24"/>
        </w:rPr>
        <w:t xml:space="preserve">The conclusive effect of a transferred bill of lading has no equivalent in CMR.  </w:t>
      </w:r>
      <w:r w:rsidR="00CC6594">
        <w:rPr>
          <w:rFonts w:cs="Arial"/>
          <w:sz w:val="24"/>
          <w:szCs w:val="24"/>
        </w:rPr>
        <w:t xml:space="preserve">The consignee gets no additional assistance from the consignment note than is available to the sender.  There might be an element of conclusiveness in the note where </w:t>
      </w:r>
      <w:r w:rsidR="00B242F4">
        <w:rPr>
          <w:rFonts w:cs="Arial"/>
          <w:sz w:val="24"/>
          <w:szCs w:val="24"/>
        </w:rPr>
        <w:t>both the carrier and the sender have both made checks and the agreed result is entered in the consignment note (</w:t>
      </w:r>
      <w:proofErr w:type="gramStart"/>
      <w:r w:rsidR="00B242F4">
        <w:rPr>
          <w:rFonts w:cs="Arial"/>
          <w:sz w:val="24"/>
          <w:szCs w:val="24"/>
        </w:rPr>
        <w:t>e.g.</w:t>
      </w:r>
      <w:proofErr w:type="gramEnd"/>
      <w:r w:rsidR="00B242F4">
        <w:rPr>
          <w:rFonts w:cs="Arial"/>
          <w:sz w:val="24"/>
          <w:szCs w:val="24"/>
        </w:rPr>
        <w:t xml:space="preserve"> under art.8(3), see above) but this is not the same as the conclusiveness derived from the transfer of a bill of lading.</w:t>
      </w:r>
    </w:p>
    <w:p w14:paraId="6E5BA96F" w14:textId="77777777" w:rsidR="00564565" w:rsidRPr="00592C11" w:rsidRDefault="00564565" w:rsidP="000C26B2">
      <w:pPr>
        <w:rPr>
          <w:rFonts w:cs="Arial"/>
          <w:b/>
          <w:bCs/>
          <w:sz w:val="24"/>
          <w:szCs w:val="24"/>
        </w:rPr>
      </w:pPr>
      <w:r w:rsidRPr="00592C11">
        <w:rPr>
          <w:rFonts w:cs="Arial"/>
          <w:b/>
          <w:bCs/>
          <w:sz w:val="24"/>
          <w:szCs w:val="24"/>
        </w:rPr>
        <w:t>2. Property rights</w:t>
      </w:r>
    </w:p>
    <w:p w14:paraId="4D800B59" w14:textId="77777777" w:rsidR="00564565" w:rsidRDefault="00564565" w:rsidP="000C26B2">
      <w:pPr>
        <w:rPr>
          <w:rFonts w:cs="Arial"/>
          <w:sz w:val="24"/>
          <w:szCs w:val="24"/>
        </w:rPr>
      </w:pPr>
      <w:r>
        <w:rPr>
          <w:rFonts w:cs="Arial"/>
          <w:sz w:val="24"/>
          <w:szCs w:val="24"/>
        </w:rPr>
        <w:t>The original significance of a bill of lading was its ability to enable effective property right</w:t>
      </w:r>
      <w:r w:rsidR="00710A96">
        <w:rPr>
          <w:rFonts w:cs="Arial"/>
          <w:sz w:val="24"/>
          <w:szCs w:val="24"/>
        </w:rPr>
        <w:t>s</w:t>
      </w:r>
      <w:r>
        <w:rPr>
          <w:rFonts w:cs="Arial"/>
          <w:sz w:val="24"/>
          <w:szCs w:val="24"/>
        </w:rPr>
        <w:t xml:space="preserve"> to be transferred.  Such rights </w:t>
      </w:r>
      <w:r w:rsidR="00710A96">
        <w:rPr>
          <w:rFonts w:cs="Arial"/>
          <w:sz w:val="24"/>
          <w:szCs w:val="24"/>
        </w:rPr>
        <w:t xml:space="preserve">can involve either </w:t>
      </w:r>
      <w:r>
        <w:rPr>
          <w:rFonts w:cs="Arial"/>
          <w:sz w:val="24"/>
          <w:szCs w:val="24"/>
        </w:rPr>
        <w:t xml:space="preserve">general </w:t>
      </w:r>
      <w:r w:rsidR="00710A96">
        <w:rPr>
          <w:rFonts w:cs="Arial"/>
          <w:sz w:val="24"/>
          <w:szCs w:val="24"/>
        </w:rPr>
        <w:t>or</w:t>
      </w:r>
      <w:r>
        <w:rPr>
          <w:rFonts w:cs="Arial"/>
          <w:sz w:val="24"/>
          <w:szCs w:val="24"/>
        </w:rPr>
        <w:t xml:space="preserve"> special property.  General property is the right of ownership such as is transferred between a seller and a buyer so long as the seller in fact has the ownership of the goods.  The transfer of ownership as between a seller and a buyer depends on the intention of the parties (s 17 </w:t>
      </w:r>
      <w:r w:rsidRPr="00D341E5">
        <w:rPr>
          <w:rFonts w:cs="Arial"/>
          <w:b/>
          <w:bCs/>
          <w:sz w:val="24"/>
          <w:szCs w:val="24"/>
        </w:rPr>
        <w:t>Sale of Goods Act 1979</w:t>
      </w:r>
      <w:r>
        <w:rPr>
          <w:rFonts w:cs="Arial"/>
          <w:sz w:val="24"/>
          <w:szCs w:val="24"/>
        </w:rPr>
        <w:t xml:space="preserve">).  There is nothing to stop the general property in goods passing from a seller to a buyer whilst the goods are on a ship.  However, this property is insecure until the carrier </w:t>
      </w:r>
      <w:r w:rsidR="00710A96">
        <w:rPr>
          <w:rFonts w:cs="Arial"/>
          <w:sz w:val="24"/>
          <w:szCs w:val="24"/>
        </w:rPr>
        <w:t xml:space="preserve">(and, in effect, those employed by him to effect delivery) </w:t>
      </w:r>
      <w:r>
        <w:rPr>
          <w:rFonts w:cs="Arial"/>
          <w:sz w:val="24"/>
          <w:szCs w:val="24"/>
        </w:rPr>
        <w:t xml:space="preserve">has notice of the transfer which as noted above may be problematic if communication </w:t>
      </w:r>
      <w:r w:rsidR="00710A96">
        <w:rPr>
          <w:rFonts w:cs="Arial"/>
          <w:sz w:val="24"/>
          <w:szCs w:val="24"/>
        </w:rPr>
        <w:t xml:space="preserve">is difficult.  </w:t>
      </w:r>
      <w:r w:rsidR="00B70B09">
        <w:rPr>
          <w:rFonts w:cs="Arial"/>
          <w:sz w:val="24"/>
          <w:szCs w:val="24"/>
        </w:rPr>
        <w:t xml:space="preserve">This is because a carrier is not liable in conversion for redelivering goods to his contractor </w:t>
      </w:r>
      <w:r w:rsidR="00D341E5">
        <w:rPr>
          <w:rFonts w:cs="Arial"/>
          <w:sz w:val="24"/>
          <w:szCs w:val="24"/>
        </w:rPr>
        <w:t xml:space="preserve">or under his instructions </w:t>
      </w:r>
      <w:r w:rsidR="00B70B09">
        <w:rPr>
          <w:rFonts w:cs="Arial"/>
          <w:sz w:val="24"/>
          <w:szCs w:val="24"/>
        </w:rPr>
        <w:t>without notice</w:t>
      </w:r>
      <w:r w:rsidR="00D341E5">
        <w:rPr>
          <w:rFonts w:cs="Arial"/>
          <w:sz w:val="24"/>
          <w:szCs w:val="24"/>
        </w:rPr>
        <w:t xml:space="preserve"> that someone else</w:t>
      </w:r>
      <w:r w:rsidR="00970CC3">
        <w:rPr>
          <w:rFonts w:cs="Arial"/>
          <w:sz w:val="24"/>
          <w:szCs w:val="24"/>
        </w:rPr>
        <w:t xml:space="preserve"> is interested in the goods</w:t>
      </w:r>
      <w:r w:rsidR="00B70B09">
        <w:rPr>
          <w:rFonts w:cs="Arial"/>
          <w:sz w:val="24"/>
          <w:szCs w:val="24"/>
        </w:rPr>
        <w:t xml:space="preserve"> (</w:t>
      </w:r>
      <w:r w:rsidR="00B70B09" w:rsidRPr="00970CC3">
        <w:rPr>
          <w:rFonts w:cs="Arial"/>
          <w:b/>
          <w:bCs/>
          <w:sz w:val="24"/>
          <w:szCs w:val="24"/>
        </w:rPr>
        <w:t>Hollins v Fowler</w:t>
      </w:r>
      <w:r w:rsidR="00CE47A8">
        <w:rPr>
          <w:rFonts w:cs="Arial"/>
          <w:sz w:val="24"/>
          <w:szCs w:val="24"/>
        </w:rPr>
        <w:t xml:space="preserve"> (1874-75) LR 7 HL 757</w:t>
      </w:r>
      <w:r w:rsidR="00B70B09">
        <w:rPr>
          <w:rFonts w:cs="Arial"/>
          <w:sz w:val="24"/>
          <w:szCs w:val="24"/>
        </w:rPr>
        <w:t xml:space="preserve">).  </w:t>
      </w:r>
      <w:r w:rsidR="00710A96">
        <w:rPr>
          <w:rFonts w:cs="Arial"/>
          <w:sz w:val="24"/>
          <w:szCs w:val="24"/>
        </w:rPr>
        <w:t xml:space="preserve">The transfer of the bill of lading is effective to provide this security since the </w:t>
      </w:r>
      <w:r w:rsidR="00710A96">
        <w:rPr>
          <w:rFonts w:cs="Arial"/>
          <w:sz w:val="24"/>
          <w:szCs w:val="24"/>
        </w:rPr>
        <w:lastRenderedPageBreak/>
        <w:t>carrier</w:t>
      </w:r>
      <w:r w:rsidR="00B70B09">
        <w:rPr>
          <w:rFonts w:cs="Arial"/>
          <w:sz w:val="24"/>
          <w:szCs w:val="24"/>
        </w:rPr>
        <w:t>, having issued a bill of lading</w:t>
      </w:r>
      <w:r w:rsidR="00710A96">
        <w:rPr>
          <w:rFonts w:cs="Arial"/>
          <w:sz w:val="24"/>
          <w:szCs w:val="24"/>
        </w:rPr>
        <w:t xml:space="preserve"> is in danger of committing the tort of conversion </w:t>
      </w:r>
      <w:r w:rsidR="00B70B09">
        <w:rPr>
          <w:rFonts w:cs="Arial"/>
          <w:sz w:val="24"/>
          <w:szCs w:val="24"/>
        </w:rPr>
        <w:t xml:space="preserve">by </w:t>
      </w:r>
      <w:r w:rsidR="00710A96">
        <w:rPr>
          <w:rFonts w:cs="Arial"/>
          <w:sz w:val="24"/>
          <w:szCs w:val="24"/>
        </w:rPr>
        <w:t>deliver</w:t>
      </w:r>
      <w:r w:rsidR="00B70B09">
        <w:rPr>
          <w:rFonts w:cs="Arial"/>
          <w:sz w:val="24"/>
          <w:szCs w:val="24"/>
        </w:rPr>
        <w:t>ing</w:t>
      </w:r>
      <w:r w:rsidR="00710A96">
        <w:rPr>
          <w:rFonts w:cs="Arial"/>
          <w:sz w:val="24"/>
          <w:szCs w:val="24"/>
        </w:rPr>
        <w:t xml:space="preserve"> the goods without the bill of lading being presented (see the discussion in the </w:t>
      </w:r>
      <w:proofErr w:type="spellStart"/>
      <w:r w:rsidR="00710A96" w:rsidRPr="00592C11">
        <w:rPr>
          <w:rFonts w:cs="Arial"/>
          <w:b/>
          <w:bCs/>
          <w:sz w:val="24"/>
          <w:szCs w:val="24"/>
        </w:rPr>
        <w:t>Houda</w:t>
      </w:r>
      <w:proofErr w:type="spellEnd"/>
      <w:r w:rsidR="001F2E06">
        <w:rPr>
          <w:rFonts w:cs="Arial"/>
          <w:b/>
          <w:bCs/>
          <w:sz w:val="24"/>
          <w:szCs w:val="24"/>
        </w:rPr>
        <w:t xml:space="preserve"> </w:t>
      </w:r>
      <w:r w:rsidR="001F2E06" w:rsidRPr="001F2E06">
        <w:rPr>
          <w:rFonts w:cs="Arial"/>
          <w:sz w:val="24"/>
          <w:szCs w:val="24"/>
        </w:rPr>
        <w:t>[1994] 2 Lloyd’s Rep 541</w:t>
      </w:r>
      <w:r w:rsidR="00710A96">
        <w:rPr>
          <w:rFonts w:cs="Arial"/>
          <w:sz w:val="24"/>
          <w:szCs w:val="24"/>
        </w:rPr>
        <w:t xml:space="preserve">).  The transfer of the bill has the same effect as if notice of the transfer had been given to the carrier.  This effect also supports the transfer of a special property which is less than ownership but is a right to the possession of goods.  Especially important is the creation of a pledge which can provide a security in the goods </w:t>
      </w:r>
      <w:proofErr w:type="gramStart"/>
      <w:r w:rsidR="00710A96">
        <w:rPr>
          <w:rFonts w:cs="Arial"/>
          <w:sz w:val="24"/>
          <w:szCs w:val="24"/>
        </w:rPr>
        <w:t>e.g.</w:t>
      </w:r>
      <w:proofErr w:type="gramEnd"/>
      <w:r w:rsidR="00710A96">
        <w:rPr>
          <w:rFonts w:cs="Arial"/>
          <w:sz w:val="24"/>
          <w:szCs w:val="24"/>
        </w:rPr>
        <w:t xml:space="preserve"> for a loan from a ba</w:t>
      </w:r>
      <w:r w:rsidR="00AF5C2A">
        <w:rPr>
          <w:rFonts w:cs="Arial"/>
          <w:sz w:val="24"/>
          <w:szCs w:val="24"/>
        </w:rPr>
        <w:t>n</w:t>
      </w:r>
      <w:r w:rsidR="00710A96">
        <w:rPr>
          <w:rFonts w:cs="Arial"/>
          <w:sz w:val="24"/>
          <w:szCs w:val="24"/>
        </w:rPr>
        <w:t>k.</w:t>
      </w:r>
    </w:p>
    <w:p w14:paraId="44403145" w14:textId="77777777" w:rsidR="00A96A2C" w:rsidRDefault="00AF5C2A" w:rsidP="000C26B2">
      <w:pPr>
        <w:rPr>
          <w:rFonts w:cs="Arial"/>
          <w:sz w:val="24"/>
          <w:szCs w:val="24"/>
        </w:rPr>
      </w:pPr>
      <w:r>
        <w:rPr>
          <w:rFonts w:cs="Arial"/>
          <w:sz w:val="24"/>
          <w:szCs w:val="24"/>
        </w:rPr>
        <w:t>Clearly a CMR consignment note cannot reproduce these effects to their fullest extent.  It does not operate as a document of title and so cannot create any new rights simply by its transfer.  It can have the more limited role of enabling a party to exercise a right of disposal</w:t>
      </w:r>
      <w:r w:rsidR="001F2E06">
        <w:rPr>
          <w:rFonts w:cs="Arial"/>
          <w:sz w:val="24"/>
          <w:szCs w:val="24"/>
        </w:rPr>
        <w:t>,</w:t>
      </w:r>
      <w:r>
        <w:rPr>
          <w:rFonts w:cs="Arial"/>
          <w:sz w:val="24"/>
          <w:szCs w:val="24"/>
        </w:rPr>
        <w:t xml:space="preserve"> but the right must first be in that person and the use of the document is simply to reinforce that right.  It initially resides with the </w:t>
      </w:r>
      <w:r w:rsidR="00A96A2C">
        <w:rPr>
          <w:rFonts w:cs="Arial"/>
          <w:sz w:val="24"/>
          <w:szCs w:val="24"/>
        </w:rPr>
        <w:t>sender</w:t>
      </w:r>
      <w:r>
        <w:rPr>
          <w:rFonts w:cs="Arial"/>
          <w:sz w:val="24"/>
          <w:szCs w:val="24"/>
        </w:rPr>
        <w:t xml:space="preserve"> and does not normally belong to the consignee until the goods have arrived at the destination and the </w:t>
      </w:r>
      <w:r w:rsidR="00A96A2C">
        <w:rPr>
          <w:rFonts w:cs="Arial"/>
          <w:sz w:val="24"/>
          <w:szCs w:val="24"/>
        </w:rPr>
        <w:t>sender</w:t>
      </w:r>
      <w:r>
        <w:rPr>
          <w:rFonts w:cs="Arial"/>
          <w:sz w:val="24"/>
          <w:szCs w:val="24"/>
        </w:rPr>
        <w:t xml:space="preserve"> is free to change the consignee up to that point.  Any ownership or security interest that a</w:t>
      </w:r>
      <w:r w:rsidR="00955D40">
        <w:rPr>
          <w:rFonts w:cs="Arial"/>
          <w:sz w:val="24"/>
          <w:szCs w:val="24"/>
        </w:rPr>
        <w:t>n original</w:t>
      </w:r>
      <w:r>
        <w:rPr>
          <w:rFonts w:cs="Arial"/>
          <w:sz w:val="24"/>
          <w:szCs w:val="24"/>
        </w:rPr>
        <w:t xml:space="preserve"> consignee might have will depend </w:t>
      </w:r>
      <w:r w:rsidR="00CA1D42">
        <w:rPr>
          <w:rFonts w:cs="Arial"/>
          <w:sz w:val="24"/>
          <w:szCs w:val="24"/>
        </w:rPr>
        <w:t xml:space="preserve">(to be completely secure) </w:t>
      </w:r>
      <w:r>
        <w:rPr>
          <w:rFonts w:cs="Arial"/>
          <w:sz w:val="24"/>
          <w:szCs w:val="24"/>
        </w:rPr>
        <w:t xml:space="preserve">on </w:t>
      </w:r>
      <w:r w:rsidR="00D173E1">
        <w:rPr>
          <w:rFonts w:cs="Arial"/>
          <w:sz w:val="24"/>
          <w:szCs w:val="24"/>
        </w:rPr>
        <w:t xml:space="preserve">giving notice to the carrier.  Where however, the consignee is given the right of disposal at the start of the transit which is indicated on the consignment note this will secure any right of property in the consignee enabling the consignee to exercise the right of disposal </w:t>
      </w:r>
      <w:r w:rsidR="004A7A98">
        <w:rPr>
          <w:rFonts w:cs="Arial"/>
          <w:sz w:val="24"/>
          <w:szCs w:val="24"/>
        </w:rPr>
        <w:t xml:space="preserve">and enforce that right under the Convention.  The common law should also recognise this right since a consignee with property rights plus the CMR right of disposal should have a sufficient right </w:t>
      </w:r>
      <w:r w:rsidR="00B70B09">
        <w:rPr>
          <w:rFonts w:cs="Arial"/>
          <w:sz w:val="24"/>
          <w:szCs w:val="24"/>
        </w:rPr>
        <w:t xml:space="preserve">of possession </w:t>
      </w:r>
      <w:r w:rsidR="004A7A98">
        <w:rPr>
          <w:rFonts w:cs="Arial"/>
          <w:sz w:val="24"/>
          <w:szCs w:val="24"/>
        </w:rPr>
        <w:t xml:space="preserve">to sue in </w:t>
      </w:r>
      <w:r w:rsidR="00592C11">
        <w:rPr>
          <w:rFonts w:cs="Arial"/>
          <w:sz w:val="24"/>
          <w:szCs w:val="24"/>
        </w:rPr>
        <w:t>c</w:t>
      </w:r>
      <w:r w:rsidR="004A7A98">
        <w:rPr>
          <w:rFonts w:cs="Arial"/>
          <w:sz w:val="24"/>
          <w:szCs w:val="24"/>
        </w:rPr>
        <w:t xml:space="preserve">onversion if the carrier misdelivers the goods. </w:t>
      </w:r>
    </w:p>
    <w:p w14:paraId="6DAEF908" w14:textId="3146752A" w:rsidR="00AF5C2A" w:rsidRDefault="00A96A2C" w:rsidP="000C26B2">
      <w:pPr>
        <w:rPr>
          <w:rFonts w:cs="Arial"/>
          <w:sz w:val="24"/>
          <w:szCs w:val="24"/>
        </w:rPr>
      </w:pPr>
      <w:r>
        <w:rPr>
          <w:rFonts w:cs="Arial"/>
          <w:sz w:val="24"/>
          <w:szCs w:val="24"/>
        </w:rPr>
        <w:t>Finally, not</w:t>
      </w:r>
      <w:r w:rsidR="00592C11">
        <w:rPr>
          <w:rFonts w:cs="Arial"/>
          <w:sz w:val="24"/>
          <w:szCs w:val="24"/>
        </w:rPr>
        <w:t>e</w:t>
      </w:r>
      <w:r>
        <w:rPr>
          <w:rFonts w:cs="Arial"/>
          <w:sz w:val="24"/>
          <w:szCs w:val="24"/>
        </w:rPr>
        <w:t xml:space="preserve"> that once the goods have arrived and the consignee has exercised the right to receive the second copy of the consignment note, the sender’s right of disposal (if not already given to the consignee) ceases and the consignee now has the right of disposal </w:t>
      </w:r>
      <w:r w:rsidR="00CA1D42">
        <w:rPr>
          <w:rFonts w:cs="Arial"/>
          <w:sz w:val="24"/>
          <w:szCs w:val="24"/>
        </w:rPr>
        <w:t xml:space="preserve">and can order delivery to a new </w:t>
      </w:r>
      <w:proofErr w:type="gramStart"/>
      <w:r w:rsidR="00CA1D42">
        <w:rPr>
          <w:rFonts w:cs="Arial"/>
          <w:sz w:val="24"/>
          <w:szCs w:val="24"/>
        </w:rPr>
        <w:t>consignee</w:t>
      </w:r>
      <w:proofErr w:type="gramEnd"/>
      <w:r w:rsidR="00CA1D42">
        <w:rPr>
          <w:rFonts w:cs="Arial"/>
          <w:sz w:val="24"/>
          <w:szCs w:val="24"/>
        </w:rPr>
        <w:t xml:space="preserve"> but that consignee cannot order delivery to a further consignee (art 12(4)).  </w:t>
      </w:r>
    </w:p>
    <w:p w14:paraId="6C94A75B" w14:textId="77777777" w:rsidR="00B70B09" w:rsidRPr="00592C11" w:rsidRDefault="00B70B09" w:rsidP="000C26B2">
      <w:pPr>
        <w:rPr>
          <w:rFonts w:cs="Arial"/>
          <w:b/>
          <w:bCs/>
          <w:sz w:val="24"/>
          <w:szCs w:val="24"/>
        </w:rPr>
      </w:pPr>
      <w:r w:rsidRPr="00592C11">
        <w:rPr>
          <w:rFonts w:cs="Arial"/>
          <w:b/>
          <w:bCs/>
          <w:sz w:val="24"/>
          <w:szCs w:val="24"/>
        </w:rPr>
        <w:t xml:space="preserve">3.  </w:t>
      </w:r>
      <w:r w:rsidR="00592C11" w:rsidRPr="00592C11">
        <w:rPr>
          <w:rFonts w:cs="Arial"/>
          <w:b/>
          <w:bCs/>
          <w:sz w:val="24"/>
          <w:szCs w:val="24"/>
        </w:rPr>
        <w:t>Evidence of and r</w:t>
      </w:r>
      <w:r w:rsidRPr="00592C11">
        <w:rPr>
          <w:rFonts w:cs="Arial"/>
          <w:b/>
          <w:bCs/>
          <w:sz w:val="24"/>
          <w:szCs w:val="24"/>
        </w:rPr>
        <w:t xml:space="preserve">ights in </w:t>
      </w:r>
      <w:r w:rsidR="00430887">
        <w:rPr>
          <w:rFonts w:cs="Arial"/>
          <w:b/>
          <w:bCs/>
          <w:sz w:val="24"/>
          <w:szCs w:val="24"/>
        </w:rPr>
        <w:t xml:space="preserve">the </w:t>
      </w:r>
      <w:r w:rsidRPr="00592C11">
        <w:rPr>
          <w:rFonts w:cs="Arial"/>
          <w:b/>
          <w:bCs/>
          <w:sz w:val="24"/>
          <w:szCs w:val="24"/>
        </w:rPr>
        <w:t>contract</w:t>
      </w:r>
      <w:r w:rsidR="00430887">
        <w:rPr>
          <w:rFonts w:cs="Arial"/>
          <w:b/>
          <w:bCs/>
          <w:sz w:val="24"/>
          <w:szCs w:val="24"/>
        </w:rPr>
        <w:t xml:space="preserve"> of carriage</w:t>
      </w:r>
    </w:p>
    <w:p w14:paraId="1DE54D37" w14:textId="77777777" w:rsidR="00CA250D" w:rsidRDefault="00AF0CF0" w:rsidP="000C26B2">
      <w:pPr>
        <w:rPr>
          <w:rFonts w:cs="Arial"/>
          <w:sz w:val="24"/>
          <w:szCs w:val="24"/>
        </w:rPr>
      </w:pPr>
      <w:r>
        <w:rPr>
          <w:rFonts w:cs="Arial"/>
          <w:sz w:val="24"/>
          <w:szCs w:val="24"/>
        </w:rPr>
        <w:t xml:space="preserve">In the hands of a shipper (who is not also a charterer) a bill of lading is said to be best evidence of the contract of carriage.  It is presumed that the terms on it are the contractual terms but is subject to proof that terms contradicting what appears on the bill had in fact been agreed as in the </w:t>
      </w:r>
      <w:r w:rsidRPr="00042746">
        <w:rPr>
          <w:rFonts w:cs="Arial"/>
          <w:b/>
          <w:bCs/>
          <w:sz w:val="24"/>
          <w:szCs w:val="24"/>
        </w:rPr>
        <w:t>Ardennes</w:t>
      </w:r>
      <w:r w:rsidR="001F2E06">
        <w:rPr>
          <w:rFonts w:cs="Arial"/>
          <w:b/>
          <w:bCs/>
          <w:sz w:val="24"/>
          <w:szCs w:val="24"/>
        </w:rPr>
        <w:t xml:space="preserve"> </w:t>
      </w:r>
      <w:r w:rsidR="001F2E06" w:rsidRPr="001F2E06">
        <w:rPr>
          <w:rFonts w:cs="Arial"/>
          <w:sz w:val="24"/>
          <w:szCs w:val="24"/>
        </w:rPr>
        <w:t>[1951] 1KB 55</w:t>
      </w:r>
      <w:r>
        <w:rPr>
          <w:rFonts w:cs="Arial"/>
          <w:sz w:val="24"/>
          <w:szCs w:val="24"/>
        </w:rPr>
        <w:t xml:space="preserve">.  This is because, unlike a charterparty which </w:t>
      </w:r>
      <w:r w:rsidR="00042746">
        <w:rPr>
          <w:rFonts w:cs="Arial"/>
          <w:sz w:val="24"/>
          <w:szCs w:val="24"/>
        </w:rPr>
        <w:t>precedes</w:t>
      </w:r>
      <w:r>
        <w:rPr>
          <w:rFonts w:cs="Arial"/>
          <w:sz w:val="24"/>
          <w:szCs w:val="24"/>
        </w:rPr>
        <w:t xml:space="preserve"> </w:t>
      </w:r>
      <w:r w:rsidR="00042746">
        <w:rPr>
          <w:rFonts w:cs="Arial"/>
          <w:sz w:val="24"/>
          <w:szCs w:val="24"/>
        </w:rPr>
        <w:t>the</w:t>
      </w:r>
      <w:r>
        <w:rPr>
          <w:rFonts w:cs="Arial"/>
          <w:sz w:val="24"/>
          <w:szCs w:val="24"/>
        </w:rPr>
        <w:t xml:space="preserve"> voyage, a bill of lading, if </w:t>
      </w:r>
      <w:r w:rsidR="00042746">
        <w:rPr>
          <w:rFonts w:cs="Arial"/>
          <w:sz w:val="24"/>
          <w:szCs w:val="24"/>
        </w:rPr>
        <w:t xml:space="preserve">it is </w:t>
      </w:r>
      <w:r>
        <w:rPr>
          <w:rFonts w:cs="Arial"/>
          <w:sz w:val="24"/>
          <w:szCs w:val="24"/>
        </w:rPr>
        <w:t>a shipped bill is issued a</w:t>
      </w:r>
      <w:r w:rsidR="00042746">
        <w:rPr>
          <w:rFonts w:cs="Arial"/>
          <w:sz w:val="24"/>
          <w:szCs w:val="24"/>
        </w:rPr>
        <w:t xml:space="preserve">fter the goods are already on the ship so that a contract of carriage must already have been made.  It is common for a contract based on a booking note to be made before the issue of the bill, but such notes frequently indicate that </w:t>
      </w:r>
      <w:r w:rsidR="00116FD4">
        <w:rPr>
          <w:rFonts w:cs="Arial"/>
          <w:sz w:val="24"/>
          <w:szCs w:val="24"/>
        </w:rPr>
        <w:t>they are</w:t>
      </w:r>
      <w:r w:rsidR="00042746">
        <w:rPr>
          <w:rFonts w:cs="Arial"/>
          <w:sz w:val="24"/>
          <w:szCs w:val="24"/>
        </w:rPr>
        <w:t xml:space="preserve"> to be superseded by the issue of the bill.  Carriers commonly use standard trading conditions anyhow which may be </w:t>
      </w:r>
      <w:r w:rsidR="00715788">
        <w:rPr>
          <w:rFonts w:cs="Arial"/>
          <w:sz w:val="24"/>
          <w:szCs w:val="24"/>
        </w:rPr>
        <w:t xml:space="preserve">reproduced on or </w:t>
      </w:r>
      <w:r w:rsidR="00042746">
        <w:rPr>
          <w:rFonts w:cs="Arial"/>
          <w:sz w:val="24"/>
          <w:szCs w:val="24"/>
        </w:rPr>
        <w:t>incorporated b</w:t>
      </w:r>
      <w:r w:rsidR="00CA250D">
        <w:rPr>
          <w:rFonts w:cs="Arial"/>
          <w:sz w:val="24"/>
          <w:szCs w:val="24"/>
        </w:rPr>
        <w:t>y</w:t>
      </w:r>
      <w:r w:rsidR="00042746">
        <w:rPr>
          <w:rFonts w:cs="Arial"/>
          <w:sz w:val="24"/>
          <w:szCs w:val="24"/>
        </w:rPr>
        <w:t xml:space="preserve"> the booking note or the bill of lading.  Note that where the shipper is also the charterer the terms of the contract of carriage are already contained in the charter so that the bill of lading will not </w:t>
      </w:r>
      <w:r w:rsidR="00430887">
        <w:rPr>
          <w:rFonts w:cs="Arial"/>
          <w:sz w:val="24"/>
          <w:szCs w:val="24"/>
        </w:rPr>
        <w:t>normally</w:t>
      </w:r>
      <w:r w:rsidR="00042746">
        <w:rPr>
          <w:rFonts w:cs="Arial"/>
          <w:sz w:val="24"/>
          <w:szCs w:val="24"/>
        </w:rPr>
        <w:t xml:space="preserve"> be treated as evidence of the terms.  Once the bill of lading is transferred to a third party </w:t>
      </w:r>
      <w:r w:rsidR="00CA250D">
        <w:rPr>
          <w:rFonts w:cs="Arial"/>
          <w:sz w:val="24"/>
          <w:szCs w:val="24"/>
        </w:rPr>
        <w:t>by the shipper (who might or might not be a charterer) the bill of lading becomes the sole terms of the contract (although it might also incorporate standard trading conditions)</w:t>
      </w:r>
      <w:r w:rsidR="00116FD4">
        <w:rPr>
          <w:rFonts w:cs="Arial"/>
          <w:sz w:val="24"/>
          <w:szCs w:val="24"/>
        </w:rPr>
        <w:t xml:space="preserve"> </w:t>
      </w:r>
      <w:proofErr w:type="gramStart"/>
      <w:r w:rsidR="00116FD4">
        <w:rPr>
          <w:rFonts w:cs="Arial"/>
          <w:sz w:val="24"/>
          <w:szCs w:val="24"/>
        </w:rPr>
        <w:t>so as to</w:t>
      </w:r>
      <w:proofErr w:type="gramEnd"/>
      <w:r w:rsidR="00116FD4">
        <w:rPr>
          <w:rFonts w:cs="Arial"/>
          <w:sz w:val="24"/>
          <w:szCs w:val="24"/>
        </w:rPr>
        <w:t xml:space="preserve"> defeat orally agreed term which contradicts it</w:t>
      </w:r>
      <w:r w:rsidR="00430887">
        <w:rPr>
          <w:rFonts w:cs="Arial"/>
          <w:sz w:val="24"/>
          <w:szCs w:val="24"/>
        </w:rPr>
        <w:t>.</w:t>
      </w:r>
      <w:r w:rsidR="00CA250D">
        <w:rPr>
          <w:rFonts w:cs="Arial"/>
          <w:sz w:val="24"/>
          <w:szCs w:val="24"/>
        </w:rPr>
        <w:t xml:space="preserve"> The classic case is </w:t>
      </w:r>
      <w:r w:rsidR="00CA250D" w:rsidRPr="00CA250D">
        <w:rPr>
          <w:rFonts w:cs="Arial"/>
          <w:b/>
          <w:bCs/>
          <w:sz w:val="24"/>
          <w:szCs w:val="24"/>
        </w:rPr>
        <w:t>Leduc v Ward</w:t>
      </w:r>
      <w:r w:rsidR="00430887">
        <w:rPr>
          <w:rFonts w:cs="Arial"/>
          <w:b/>
          <w:bCs/>
          <w:sz w:val="24"/>
          <w:szCs w:val="24"/>
        </w:rPr>
        <w:t xml:space="preserve"> </w:t>
      </w:r>
      <w:r w:rsidR="00430887" w:rsidRPr="00430887">
        <w:rPr>
          <w:rFonts w:cs="Arial"/>
          <w:sz w:val="24"/>
          <w:szCs w:val="24"/>
        </w:rPr>
        <w:t>(1888) 20 QBD 475</w:t>
      </w:r>
      <w:r w:rsidR="00CA250D">
        <w:rPr>
          <w:rFonts w:cs="Arial"/>
          <w:sz w:val="24"/>
          <w:szCs w:val="24"/>
        </w:rPr>
        <w:t>.</w:t>
      </w:r>
    </w:p>
    <w:p w14:paraId="00CFF3E7" w14:textId="77777777" w:rsidR="00E00B77" w:rsidRDefault="00CA250D" w:rsidP="000C26B2">
      <w:pPr>
        <w:rPr>
          <w:rFonts w:cs="Arial"/>
          <w:sz w:val="24"/>
          <w:szCs w:val="24"/>
        </w:rPr>
      </w:pPr>
      <w:r>
        <w:rPr>
          <w:rFonts w:cs="Arial"/>
          <w:sz w:val="24"/>
          <w:szCs w:val="24"/>
        </w:rPr>
        <w:lastRenderedPageBreak/>
        <w:t xml:space="preserve">As noted above a CMR consignment note is always just prima facie evidence of the conditions of the contract.  </w:t>
      </w:r>
      <w:r w:rsidR="0050436C">
        <w:rPr>
          <w:rFonts w:cs="Arial"/>
          <w:sz w:val="24"/>
          <w:szCs w:val="24"/>
        </w:rPr>
        <w:t>As with a bill of lading it will normally only be made up after the contract of carriage has been made.</w:t>
      </w:r>
      <w:r w:rsidR="00CE6ECF">
        <w:rPr>
          <w:rFonts w:cs="Arial"/>
          <w:sz w:val="24"/>
          <w:szCs w:val="24"/>
        </w:rPr>
        <w:t xml:space="preserve">  There is no reason why it could not contain terms additional to the requirements of CMR </w:t>
      </w:r>
      <w:r w:rsidR="00116FD4">
        <w:rPr>
          <w:rFonts w:cs="Arial"/>
          <w:sz w:val="24"/>
          <w:szCs w:val="24"/>
        </w:rPr>
        <w:t xml:space="preserve">or refer to general trading conditions </w:t>
      </w:r>
      <w:r w:rsidR="00CE6ECF">
        <w:rPr>
          <w:rFonts w:cs="Arial"/>
          <w:sz w:val="24"/>
          <w:szCs w:val="24"/>
        </w:rPr>
        <w:t>so long as they do not breach art. 41.</w:t>
      </w:r>
      <w:r w:rsidR="00116FD4">
        <w:rPr>
          <w:rFonts w:cs="Arial"/>
          <w:sz w:val="24"/>
          <w:szCs w:val="24"/>
        </w:rPr>
        <w:t xml:space="preserve">  Where there is a contract for a series of transports there will normally be a framework agreement which is subject to CMR when the agreed transports fall within it (</w:t>
      </w:r>
      <w:proofErr w:type="spellStart"/>
      <w:r w:rsidR="00116FD4" w:rsidRPr="00CB4CC8">
        <w:rPr>
          <w:rFonts w:cs="Arial"/>
          <w:b/>
          <w:bCs/>
          <w:sz w:val="24"/>
          <w:szCs w:val="24"/>
        </w:rPr>
        <w:t>Gef</w:t>
      </w:r>
      <w:r w:rsidR="00E00B77" w:rsidRPr="00CB4CC8">
        <w:rPr>
          <w:rFonts w:cs="Arial"/>
          <w:b/>
          <w:bCs/>
          <w:sz w:val="24"/>
          <w:szCs w:val="24"/>
        </w:rPr>
        <w:t>co</w:t>
      </w:r>
      <w:proofErr w:type="spellEnd"/>
      <w:r w:rsidR="00CB4CC8" w:rsidRPr="00CB4CC8">
        <w:rPr>
          <w:rFonts w:cs="Arial"/>
          <w:b/>
          <w:bCs/>
          <w:sz w:val="24"/>
          <w:szCs w:val="24"/>
        </w:rPr>
        <w:t xml:space="preserve"> UK Ltd</w:t>
      </w:r>
      <w:r w:rsidR="00E00B77" w:rsidRPr="00CB4CC8">
        <w:rPr>
          <w:rFonts w:cs="Arial"/>
          <w:b/>
          <w:bCs/>
          <w:sz w:val="24"/>
          <w:szCs w:val="24"/>
        </w:rPr>
        <w:t xml:space="preserve"> v Mason</w:t>
      </w:r>
      <w:r w:rsidR="00CB4CC8" w:rsidRPr="00CB4CC8">
        <w:rPr>
          <w:rFonts w:cs="Arial"/>
          <w:b/>
          <w:bCs/>
          <w:sz w:val="24"/>
          <w:szCs w:val="24"/>
        </w:rPr>
        <w:t xml:space="preserve"> (No 1)</w:t>
      </w:r>
      <w:r w:rsidR="00CB4CC8">
        <w:rPr>
          <w:rFonts w:cs="Arial"/>
          <w:sz w:val="24"/>
          <w:szCs w:val="24"/>
        </w:rPr>
        <w:t xml:space="preserve"> [1998] 2 Lloyd’s Rep 585</w:t>
      </w:r>
      <w:r w:rsidR="00E00B77">
        <w:rPr>
          <w:rFonts w:cs="Arial"/>
          <w:sz w:val="24"/>
          <w:szCs w:val="24"/>
        </w:rPr>
        <w:t xml:space="preserve">).  </w:t>
      </w:r>
      <w:r w:rsidR="00116FD4">
        <w:rPr>
          <w:rFonts w:cs="Arial"/>
          <w:sz w:val="24"/>
          <w:szCs w:val="24"/>
        </w:rPr>
        <w:t>It is not entirely clear</w:t>
      </w:r>
      <w:r w:rsidR="00CB4CC8">
        <w:rPr>
          <w:rFonts w:cs="Arial"/>
          <w:sz w:val="24"/>
          <w:szCs w:val="24"/>
        </w:rPr>
        <w:t>,</w:t>
      </w:r>
      <w:r w:rsidR="00116FD4">
        <w:rPr>
          <w:rFonts w:cs="Arial"/>
          <w:sz w:val="24"/>
          <w:szCs w:val="24"/>
        </w:rPr>
        <w:t xml:space="preserve"> but it would seem unlikely that a consignee would be allowed to be prejudiced by an orally agreed term </w:t>
      </w:r>
      <w:r w:rsidR="00E00B77">
        <w:rPr>
          <w:rFonts w:cs="Arial"/>
          <w:sz w:val="24"/>
          <w:szCs w:val="24"/>
        </w:rPr>
        <w:t xml:space="preserve">(or a term in a framework agreement) </w:t>
      </w:r>
      <w:r w:rsidR="00116FD4">
        <w:rPr>
          <w:rFonts w:cs="Arial"/>
          <w:sz w:val="24"/>
          <w:szCs w:val="24"/>
        </w:rPr>
        <w:t xml:space="preserve">which </w:t>
      </w:r>
      <w:r w:rsidR="00E00B77">
        <w:rPr>
          <w:rFonts w:cs="Arial"/>
          <w:sz w:val="24"/>
          <w:szCs w:val="24"/>
        </w:rPr>
        <w:t xml:space="preserve">contradicts what appears in the consignment note.  CMR itself builds in some protection for the consignee who </w:t>
      </w:r>
      <w:proofErr w:type="gramStart"/>
      <w:r w:rsidR="00E00B77">
        <w:rPr>
          <w:rFonts w:cs="Arial"/>
          <w:sz w:val="24"/>
          <w:szCs w:val="24"/>
        </w:rPr>
        <w:t>e.g.</w:t>
      </w:r>
      <w:proofErr w:type="gramEnd"/>
      <w:r w:rsidR="00E00B77">
        <w:rPr>
          <w:rFonts w:cs="Arial"/>
          <w:sz w:val="24"/>
          <w:szCs w:val="24"/>
        </w:rPr>
        <w:t xml:space="preserve"> is only required to pay the charges which appear on the consignment note.</w:t>
      </w:r>
    </w:p>
    <w:p w14:paraId="44CC8BE1" w14:textId="77777777" w:rsidR="00077AB6" w:rsidRDefault="00B70B09" w:rsidP="000C26B2">
      <w:pPr>
        <w:rPr>
          <w:rFonts w:cs="Arial"/>
          <w:sz w:val="24"/>
          <w:szCs w:val="24"/>
        </w:rPr>
      </w:pPr>
      <w:r>
        <w:rPr>
          <w:rFonts w:cs="Arial"/>
          <w:sz w:val="24"/>
          <w:szCs w:val="24"/>
        </w:rPr>
        <w:t>At common law the transfer of a bill of lading only enabled the transfer of property rights to a transferee.  It did not transfer any rights in the contract of carriage which existed only as between the shipper and the carrier (</w:t>
      </w:r>
      <w:r w:rsidRPr="00CB4CC8">
        <w:rPr>
          <w:rFonts w:cs="Arial"/>
          <w:b/>
          <w:bCs/>
          <w:sz w:val="24"/>
          <w:szCs w:val="24"/>
        </w:rPr>
        <w:t xml:space="preserve">Thomson v </w:t>
      </w:r>
      <w:proofErr w:type="spellStart"/>
      <w:r w:rsidRPr="00CB4CC8">
        <w:rPr>
          <w:rFonts w:cs="Arial"/>
          <w:b/>
          <w:bCs/>
          <w:sz w:val="24"/>
          <w:szCs w:val="24"/>
        </w:rPr>
        <w:t>Dominy</w:t>
      </w:r>
      <w:proofErr w:type="spellEnd"/>
      <w:r w:rsidR="002C415B">
        <w:rPr>
          <w:rFonts w:cs="Arial"/>
          <w:b/>
          <w:bCs/>
          <w:sz w:val="24"/>
          <w:szCs w:val="24"/>
        </w:rPr>
        <w:t xml:space="preserve"> </w:t>
      </w:r>
      <w:r w:rsidR="002C415B" w:rsidRPr="002C415B">
        <w:rPr>
          <w:rFonts w:cs="Arial"/>
          <w:sz w:val="24"/>
          <w:szCs w:val="24"/>
        </w:rPr>
        <w:t>(1845) 14 M &amp; W 403</w:t>
      </w:r>
      <w:r>
        <w:rPr>
          <w:rFonts w:cs="Arial"/>
          <w:sz w:val="24"/>
          <w:szCs w:val="24"/>
        </w:rPr>
        <w:t xml:space="preserve">).  This reflected the traditional </w:t>
      </w:r>
      <w:r w:rsidR="009A0233">
        <w:rPr>
          <w:rFonts w:cs="Arial"/>
          <w:sz w:val="24"/>
          <w:szCs w:val="24"/>
        </w:rPr>
        <w:t>prin</w:t>
      </w:r>
      <w:r w:rsidR="009917CB">
        <w:rPr>
          <w:rFonts w:cs="Arial"/>
          <w:sz w:val="24"/>
          <w:szCs w:val="24"/>
        </w:rPr>
        <w:t>ciple which required</w:t>
      </w:r>
      <w:r>
        <w:rPr>
          <w:rFonts w:cs="Arial"/>
          <w:sz w:val="24"/>
          <w:szCs w:val="24"/>
        </w:rPr>
        <w:t xml:space="preserve"> privity of contract</w:t>
      </w:r>
      <w:r w:rsidR="009917CB">
        <w:rPr>
          <w:rFonts w:cs="Arial"/>
          <w:sz w:val="24"/>
          <w:szCs w:val="24"/>
        </w:rPr>
        <w:t xml:space="preserve"> for the enforcement of contractual rights</w:t>
      </w:r>
      <w:r>
        <w:rPr>
          <w:rFonts w:cs="Arial"/>
          <w:sz w:val="24"/>
          <w:szCs w:val="24"/>
        </w:rPr>
        <w:t>.  With the development particularly of CIF contracts in the early-mid C19</w:t>
      </w:r>
      <w:r w:rsidRPr="00B70B09">
        <w:rPr>
          <w:rFonts w:cs="Arial"/>
          <w:sz w:val="24"/>
          <w:szCs w:val="24"/>
          <w:vertAlign w:val="superscript"/>
        </w:rPr>
        <w:t>th</w:t>
      </w:r>
      <w:r>
        <w:rPr>
          <w:rFonts w:cs="Arial"/>
          <w:sz w:val="24"/>
          <w:szCs w:val="24"/>
        </w:rPr>
        <w:t xml:space="preserve"> demand to enable the </w:t>
      </w:r>
      <w:r w:rsidR="00793938">
        <w:rPr>
          <w:rFonts w:cs="Arial"/>
          <w:sz w:val="24"/>
          <w:szCs w:val="24"/>
        </w:rPr>
        <w:t>simple transfer of a bill of lading to transfer the contract of c</w:t>
      </w:r>
      <w:r w:rsidR="00866762">
        <w:rPr>
          <w:rFonts w:cs="Arial"/>
          <w:sz w:val="24"/>
          <w:szCs w:val="24"/>
        </w:rPr>
        <w:t xml:space="preserve">arriage led to the passing of the </w:t>
      </w:r>
      <w:r w:rsidR="00866762" w:rsidRPr="00CB4CC8">
        <w:rPr>
          <w:rFonts w:cs="Arial"/>
          <w:b/>
          <w:bCs/>
          <w:sz w:val="24"/>
          <w:szCs w:val="24"/>
        </w:rPr>
        <w:t xml:space="preserve">Bill of </w:t>
      </w:r>
      <w:r w:rsidR="008B0CBC" w:rsidRPr="00CB4CC8">
        <w:rPr>
          <w:rFonts w:cs="Arial"/>
          <w:b/>
          <w:bCs/>
          <w:sz w:val="24"/>
          <w:szCs w:val="24"/>
        </w:rPr>
        <w:t>La</w:t>
      </w:r>
      <w:r w:rsidR="00866762" w:rsidRPr="00CB4CC8">
        <w:rPr>
          <w:rFonts w:cs="Arial"/>
          <w:b/>
          <w:bCs/>
          <w:sz w:val="24"/>
          <w:szCs w:val="24"/>
        </w:rPr>
        <w:t>ding Act 1855</w:t>
      </w:r>
      <w:r w:rsidR="00866762">
        <w:rPr>
          <w:rFonts w:cs="Arial"/>
          <w:sz w:val="24"/>
          <w:szCs w:val="24"/>
        </w:rPr>
        <w:t xml:space="preserve">.  This enabled the transfer of the contract to occur so long as </w:t>
      </w:r>
      <w:r w:rsidR="008B0CBC">
        <w:rPr>
          <w:rFonts w:cs="Arial"/>
          <w:sz w:val="24"/>
          <w:szCs w:val="24"/>
        </w:rPr>
        <w:t xml:space="preserve">a </w:t>
      </w:r>
      <w:r w:rsidR="00866762">
        <w:rPr>
          <w:rFonts w:cs="Arial"/>
          <w:sz w:val="24"/>
          <w:szCs w:val="24"/>
        </w:rPr>
        <w:t xml:space="preserve">transfer of property </w:t>
      </w:r>
      <w:r w:rsidR="008B0CBC">
        <w:rPr>
          <w:rFonts w:cs="Arial"/>
          <w:sz w:val="24"/>
          <w:szCs w:val="24"/>
        </w:rPr>
        <w:t xml:space="preserve">also </w:t>
      </w:r>
      <w:r w:rsidR="00866762">
        <w:rPr>
          <w:rFonts w:cs="Arial"/>
          <w:sz w:val="24"/>
          <w:szCs w:val="24"/>
        </w:rPr>
        <w:t xml:space="preserve">took place.  This made sense in the context of the original role of the bill of lading to secure </w:t>
      </w:r>
      <w:r w:rsidR="008B0CBC">
        <w:rPr>
          <w:rFonts w:cs="Arial"/>
          <w:sz w:val="24"/>
          <w:szCs w:val="24"/>
        </w:rPr>
        <w:t xml:space="preserve">effective </w:t>
      </w:r>
      <w:r w:rsidR="00866762">
        <w:rPr>
          <w:rFonts w:cs="Arial"/>
          <w:sz w:val="24"/>
          <w:szCs w:val="24"/>
        </w:rPr>
        <w:t>transfers of property.  Un</w:t>
      </w:r>
      <w:r w:rsidR="00077AB6">
        <w:rPr>
          <w:rFonts w:cs="Arial"/>
          <w:sz w:val="24"/>
          <w:szCs w:val="24"/>
        </w:rPr>
        <w:t xml:space="preserve">fortunately, it did not cover transfers of special property </w:t>
      </w:r>
      <w:r w:rsidR="008B0CBC">
        <w:rPr>
          <w:rFonts w:cs="Arial"/>
          <w:sz w:val="24"/>
          <w:szCs w:val="24"/>
        </w:rPr>
        <w:t>(</w:t>
      </w:r>
      <w:r w:rsidR="008B0CBC" w:rsidRPr="00CB4CC8">
        <w:rPr>
          <w:rFonts w:cs="Arial"/>
          <w:b/>
          <w:bCs/>
          <w:sz w:val="24"/>
          <w:szCs w:val="24"/>
        </w:rPr>
        <w:t>Sewell v Burdick</w:t>
      </w:r>
      <w:r w:rsidR="002C415B">
        <w:rPr>
          <w:rFonts w:cs="Arial"/>
          <w:b/>
          <w:bCs/>
          <w:sz w:val="24"/>
          <w:szCs w:val="24"/>
        </w:rPr>
        <w:t xml:space="preserve"> </w:t>
      </w:r>
      <w:r w:rsidR="002C415B" w:rsidRPr="002C415B">
        <w:rPr>
          <w:rFonts w:cs="Arial"/>
          <w:sz w:val="24"/>
          <w:szCs w:val="24"/>
        </w:rPr>
        <w:t>(1884-85) LR 10 App Cas 74</w:t>
      </w:r>
      <w:r w:rsidR="008B0CBC">
        <w:rPr>
          <w:rFonts w:cs="Arial"/>
          <w:sz w:val="24"/>
          <w:szCs w:val="24"/>
        </w:rPr>
        <w:t xml:space="preserve">) </w:t>
      </w:r>
      <w:r w:rsidR="00077AB6">
        <w:rPr>
          <w:rFonts w:cs="Arial"/>
          <w:sz w:val="24"/>
          <w:szCs w:val="24"/>
        </w:rPr>
        <w:t xml:space="preserve">and </w:t>
      </w:r>
      <w:r w:rsidR="00CB4CC8">
        <w:rPr>
          <w:rFonts w:cs="Arial"/>
          <w:sz w:val="24"/>
          <w:szCs w:val="24"/>
        </w:rPr>
        <w:t>it was not entirely clear what the exact link between transfer of the bill of lading and passing of property had to be.  This was problematic with unascertained goods where payment was made against the transfer of the bill</w:t>
      </w:r>
      <w:r w:rsidR="002C415B">
        <w:rPr>
          <w:rFonts w:cs="Arial"/>
          <w:sz w:val="24"/>
          <w:szCs w:val="24"/>
        </w:rPr>
        <w:t>,</w:t>
      </w:r>
      <w:r w:rsidR="00CB4CC8">
        <w:rPr>
          <w:rFonts w:cs="Arial"/>
          <w:sz w:val="24"/>
          <w:szCs w:val="24"/>
        </w:rPr>
        <w:t xml:space="preserve"> but property </w:t>
      </w:r>
      <w:r w:rsidR="00077AB6">
        <w:rPr>
          <w:rFonts w:cs="Arial"/>
          <w:sz w:val="24"/>
          <w:szCs w:val="24"/>
        </w:rPr>
        <w:t xml:space="preserve">did not </w:t>
      </w:r>
      <w:r w:rsidR="00CB4CC8">
        <w:rPr>
          <w:rFonts w:cs="Arial"/>
          <w:sz w:val="24"/>
          <w:szCs w:val="24"/>
        </w:rPr>
        <w:t>pass until the goods were ascertained which would not occur until the ship arrived or not at all if the ship was lost at sea</w:t>
      </w:r>
      <w:r w:rsidR="00BC5902">
        <w:rPr>
          <w:rFonts w:cs="Arial"/>
          <w:sz w:val="24"/>
          <w:szCs w:val="24"/>
        </w:rPr>
        <w:t xml:space="preserve">.  Similarly, if the goods arrived before the bill so that property might pass on discharge before the bill was transferred (as in the </w:t>
      </w:r>
      <w:proofErr w:type="spellStart"/>
      <w:r w:rsidR="00BC5902" w:rsidRPr="00BC5902">
        <w:rPr>
          <w:rFonts w:cs="Arial"/>
          <w:b/>
          <w:bCs/>
          <w:sz w:val="24"/>
          <w:szCs w:val="24"/>
        </w:rPr>
        <w:t>Delfini</w:t>
      </w:r>
      <w:proofErr w:type="spellEnd"/>
      <w:r w:rsidR="002C415B">
        <w:rPr>
          <w:rFonts w:cs="Arial"/>
          <w:b/>
          <w:bCs/>
          <w:sz w:val="24"/>
          <w:szCs w:val="24"/>
        </w:rPr>
        <w:t xml:space="preserve"> </w:t>
      </w:r>
      <w:r w:rsidR="002C415B" w:rsidRPr="002C415B">
        <w:rPr>
          <w:rFonts w:cs="Arial"/>
          <w:sz w:val="24"/>
          <w:szCs w:val="24"/>
        </w:rPr>
        <w:t>[1990] 1 Lloyd’s Rep 252</w:t>
      </w:r>
      <w:r w:rsidR="00BC5902">
        <w:rPr>
          <w:rFonts w:cs="Arial"/>
          <w:sz w:val="24"/>
          <w:szCs w:val="24"/>
        </w:rPr>
        <w:t>)</w:t>
      </w:r>
      <w:r w:rsidR="00077AB6">
        <w:rPr>
          <w:rFonts w:cs="Arial"/>
          <w:sz w:val="24"/>
          <w:szCs w:val="24"/>
        </w:rPr>
        <w:t>.  More recently</w:t>
      </w:r>
      <w:r w:rsidR="008B0CBC">
        <w:rPr>
          <w:rFonts w:cs="Arial"/>
          <w:sz w:val="24"/>
          <w:szCs w:val="24"/>
        </w:rPr>
        <w:t>,</w:t>
      </w:r>
      <w:r w:rsidR="00077AB6">
        <w:rPr>
          <w:rFonts w:cs="Arial"/>
          <w:sz w:val="24"/>
          <w:szCs w:val="24"/>
        </w:rPr>
        <w:t xml:space="preserve"> concerns </w:t>
      </w:r>
      <w:r w:rsidR="008B0CBC">
        <w:rPr>
          <w:rFonts w:cs="Arial"/>
          <w:sz w:val="24"/>
          <w:szCs w:val="24"/>
        </w:rPr>
        <w:t xml:space="preserve">were </w:t>
      </w:r>
      <w:r w:rsidR="00077AB6">
        <w:rPr>
          <w:rFonts w:cs="Arial"/>
          <w:sz w:val="24"/>
          <w:szCs w:val="24"/>
        </w:rPr>
        <w:t>expressed about document</w:t>
      </w:r>
      <w:r w:rsidR="00BC5902">
        <w:rPr>
          <w:rFonts w:cs="Arial"/>
          <w:sz w:val="24"/>
          <w:szCs w:val="24"/>
        </w:rPr>
        <w:t>s</w:t>
      </w:r>
      <w:r w:rsidR="00077AB6">
        <w:rPr>
          <w:rFonts w:cs="Arial"/>
          <w:sz w:val="24"/>
          <w:szCs w:val="24"/>
        </w:rPr>
        <w:t xml:space="preserve"> in regular use other than bills of lading such as ships delivery orders and sea waybills.</w:t>
      </w:r>
    </w:p>
    <w:p w14:paraId="761F21F5" w14:textId="77777777" w:rsidR="00B91441" w:rsidRDefault="00077AB6" w:rsidP="000C26B2">
      <w:pPr>
        <w:rPr>
          <w:rFonts w:cs="Arial"/>
          <w:sz w:val="24"/>
          <w:szCs w:val="24"/>
        </w:rPr>
      </w:pPr>
      <w:r>
        <w:rPr>
          <w:rFonts w:cs="Arial"/>
          <w:sz w:val="24"/>
          <w:szCs w:val="24"/>
        </w:rPr>
        <w:t xml:space="preserve">The </w:t>
      </w:r>
      <w:r w:rsidRPr="00BC5902">
        <w:rPr>
          <w:rFonts w:cs="Arial"/>
          <w:b/>
          <w:bCs/>
          <w:sz w:val="24"/>
          <w:szCs w:val="24"/>
        </w:rPr>
        <w:t xml:space="preserve">Carriage of Goods by Sea Act </w:t>
      </w:r>
      <w:r w:rsidR="008B0CBC" w:rsidRPr="00BC5902">
        <w:rPr>
          <w:rFonts w:cs="Arial"/>
          <w:b/>
          <w:bCs/>
          <w:sz w:val="24"/>
          <w:szCs w:val="24"/>
        </w:rPr>
        <w:t>1992</w:t>
      </w:r>
      <w:r w:rsidR="008B0CBC">
        <w:rPr>
          <w:rFonts w:cs="Arial"/>
          <w:sz w:val="24"/>
          <w:szCs w:val="24"/>
        </w:rPr>
        <w:t xml:space="preserve"> addressed these concerns (see Law Commission Report No 19</w:t>
      </w:r>
      <w:r w:rsidR="002C415B">
        <w:rPr>
          <w:rFonts w:cs="Arial"/>
          <w:sz w:val="24"/>
          <w:szCs w:val="24"/>
        </w:rPr>
        <w:t>6, S</w:t>
      </w:r>
      <w:r w:rsidR="002873B6">
        <w:rPr>
          <w:rFonts w:cs="Arial"/>
          <w:sz w:val="24"/>
          <w:szCs w:val="24"/>
        </w:rPr>
        <w:t>cottish Law Commission Report No 130 (1991))</w:t>
      </w:r>
      <w:r w:rsidR="008B0CBC">
        <w:rPr>
          <w:rFonts w:cs="Arial"/>
          <w:sz w:val="24"/>
          <w:szCs w:val="24"/>
        </w:rPr>
        <w:t>.  It enabled rights in the contract to be transferred from the holder of a bill of lading to the transferee of the bill regardless of whether property in the goods had been transferred at any stage</w:t>
      </w:r>
      <w:r w:rsidR="00F42A6C">
        <w:rPr>
          <w:rFonts w:cs="Arial"/>
          <w:sz w:val="24"/>
          <w:szCs w:val="24"/>
        </w:rPr>
        <w:t xml:space="preserve"> (s.2(1))</w:t>
      </w:r>
      <w:r w:rsidR="008B0CBC">
        <w:rPr>
          <w:rFonts w:cs="Arial"/>
          <w:sz w:val="24"/>
          <w:szCs w:val="24"/>
        </w:rPr>
        <w:t xml:space="preserve">.  The Act covers the situation where property is transferred at any stage of the transport regardless of the time the bill is transferred even if the bill has been transferred </w:t>
      </w:r>
      <w:r w:rsidR="009A0233">
        <w:rPr>
          <w:rFonts w:cs="Arial"/>
          <w:sz w:val="24"/>
          <w:szCs w:val="24"/>
        </w:rPr>
        <w:t xml:space="preserve">after the goods have been delivered to the transferee and the property had passed (s.2(4) – </w:t>
      </w:r>
      <w:proofErr w:type="gramStart"/>
      <w:r w:rsidR="009A0233">
        <w:rPr>
          <w:rFonts w:cs="Arial"/>
          <w:sz w:val="24"/>
          <w:szCs w:val="24"/>
        </w:rPr>
        <w:t>provided that</w:t>
      </w:r>
      <w:proofErr w:type="gramEnd"/>
      <w:r w:rsidR="009A0233">
        <w:rPr>
          <w:rFonts w:cs="Arial"/>
          <w:sz w:val="24"/>
          <w:szCs w:val="24"/>
        </w:rPr>
        <w:t xml:space="preserve"> arrangements had been made beforehand in anticipation of this transfer).  </w:t>
      </w:r>
      <w:r w:rsidR="009917CB">
        <w:rPr>
          <w:rFonts w:cs="Arial"/>
          <w:sz w:val="24"/>
          <w:szCs w:val="24"/>
        </w:rPr>
        <w:t>It also provide</w:t>
      </w:r>
      <w:r w:rsidR="005C3C56">
        <w:rPr>
          <w:rFonts w:cs="Arial"/>
          <w:sz w:val="24"/>
          <w:szCs w:val="24"/>
        </w:rPr>
        <w:t>s</w:t>
      </w:r>
      <w:r w:rsidR="009917CB">
        <w:rPr>
          <w:rFonts w:cs="Arial"/>
          <w:sz w:val="24"/>
          <w:szCs w:val="24"/>
        </w:rPr>
        <w:t xml:space="preserve"> for contractual rights to be recog</w:t>
      </w:r>
      <w:r w:rsidR="00124655">
        <w:rPr>
          <w:rFonts w:cs="Arial"/>
          <w:sz w:val="24"/>
          <w:szCs w:val="24"/>
        </w:rPr>
        <w:t>nised in favour of the consignee under a sea waybill (which include</w:t>
      </w:r>
      <w:r w:rsidR="005C3C56">
        <w:rPr>
          <w:rFonts w:cs="Arial"/>
          <w:sz w:val="24"/>
          <w:szCs w:val="24"/>
        </w:rPr>
        <w:t>s</w:t>
      </w:r>
      <w:r w:rsidR="00124655">
        <w:rPr>
          <w:rFonts w:cs="Arial"/>
          <w:sz w:val="24"/>
          <w:szCs w:val="24"/>
        </w:rPr>
        <w:t xml:space="preserve"> a consignee in possession of a straight bill of lading) </w:t>
      </w:r>
      <w:r w:rsidR="00F42A6C">
        <w:rPr>
          <w:rFonts w:cs="Arial"/>
          <w:sz w:val="24"/>
          <w:szCs w:val="24"/>
        </w:rPr>
        <w:t>or</w:t>
      </w:r>
      <w:r w:rsidR="00124655">
        <w:rPr>
          <w:rFonts w:cs="Arial"/>
          <w:sz w:val="24"/>
          <w:szCs w:val="24"/>
        </w:rPr>
        <w:t xml:space="preserve"> the recipient under a ship</w:t>
      </w:r>
      <w:r w:rsidR="00F42A6C">
        <w:rPr>
          <w:rFonts w:cs="Arial"/>
          <w:sz w:val="24"/>
          <w:szCs w:val="24"/>
        </w:rPr>
        <w:t>’</w:t>
      </w:r>
      <w:r w:rsidR="00124655">
        <w:rPr>
          <w:rFonts w:cs="Arial"/>
          <w:sz w:val="24"/>
          <w:szCs w:val="24"/>
        </w:rPr>
        <w:t>s delivery order.</w:t>
      </w:r>
      <w:r w:rsidR="00F42A6C">
        <w:rPr>
          <w:rFonts w:cs="Arial"/>
          <w:sz w:val="24"/>
          <w:szCs w:val="24"/>
        </w:rPr>
        <w:t xml:space="preserve">  Note that once rights have been transferred the shipper loses any rights to sue under the contract of carriage evidenced by the bill of lading</w:t>
      </w:r>
      <w:r w:rsidR="001D2D83">
        <w:rPr>
          <w:rFonts w:cs="Arial"/>
          <w:sz w:val="24"/>
          <w:szCs w:val="24"/>
        </w:rPr>
        <w:t xml:space="preserve"> (s. 2(5)</w:t>
      </w:r>
      <w:r w:rsidR="00BC5902">
        <w:rPr>
          <w:rFonts w:cs="Arial"/>
          <w:sz w:val="24"/>
          <w:szCs w:val="24"/>
        </w:rPr>
        <w:t xml:space="preserve"> - </w:t>
      </w:r>
      <w:r w:rsidR="001D2D83">
        <w:rPr>
          <w:rFonts w:cs="Arial"/>
          <w:sz w:val="24"/>
          <w:szCs w:val="24"/>
        </w:rPr>
        <w:t xml:space="preserve">cf., however where the shipper is also a charterer the contractual rights under which are retained but they are subject to the need to establish a real loss in order to obtain substantial damages – the </w:t>
      </w:r>
      <w:proofErr w:type="spellStart"/>
      <w:r w:rsidR="001D2D83" w:rsidRPr="00BC5902">
        <w:rPr>
          <w:rFonts w:cs="Arial"/>
          <w:b/>
          <w:bCs/>
          <w:sz w:val="24"/>
          <w:szCs w:val="24"/>
        </w:rPr>
        <w:t>Albazero</w:t>
      </w:r>
      <w:proofErr w:type="spellEnd"/>
      <w:r w:rsidR="001D2D83" w:rsidRPr="00BC5902">
        <w:rPr>
          <w:rFonts w:cs="Arial"/>
          <w:b/>
          <w:bCs/>
          <w:sz w:val="24"/>
          <w:szCs w:val="24"/>
        </w:rPr>
        <w:t xml:space="preserve"> </w:t>
      </w:r>
      <w:r w:rsidR="00BC5902">
        <w:rPr>
          <w:rFonts w:cs="Arial"/>
          <w:sz w:val="24"/>
          <w:szCs w:val="24"/>
        </w:rPr>
        <w:t xml:space="preserve">[1977] AC 774 </w:t>
      </w:r>
      <w:r w:rsidR="001D2D83">
        <w:rPr>
          <w:rFonts w:cs="Arial"/>
          <w:sz w:val="24"/>
          <w:szCs w:val="24"/>
        </w:rPr>
        <w:t xml:space="preserve">– similarly rights to sue in tort are not lost, see </w:t>
      </w:r>
      <w:r w:rsidR="001D2D83" w:rsidRPr="00BC5902">
        <w:rPr>
          <w:rFonts w:cs="Arial"/>
          <w:b/>
          <w:bCs/>
          <w:sz w:val="24"/>
          <w:szCs w:val="24"/>
        </w:rPr>
        <w:t>East West</w:t>
      </w:r>
      <w:r w:rsidR="002873B6">
        <w:rPr>
          <w:rFonts w:cs="Arial"/>
          <w:b/>
          <w:bCs/>
          <w:sz w:val="24"/>
          <w:szCs w:val="24"/>
        </w:rPr>
        <w:t xml:space="preserve"> </w:t>
      </w:r>
      <w:r w:rsidR="002873B6" w:rsidRPr="002873B6">
        <w:rPr>
          <w:rFonts w:cs="Arial"/>
          <w:b/>
          <w:bCs/>
          <w:sz w:val="24"/>
          <w:szCs w:val="24"/>
        </w:rPr>
        <w:t>Corp v DKBS 1912</w:t>
      </w:r>
      <w:r w:rsidR="002873B6">
        <w:rPr>
          <w:rFonts w:cs="Arial"/>
          <w:sz w:val="24"/>
          <w:szCs w:val="24"/>
        </w:rPr>
        <w:t xml:space="preserve"> [2003] EWCA </w:t>
      </w:r>
      <w:proofErr w:type="spellStart"/>
      <w:r w:rsidR="002873B6">
        <w:rPr>
          <w:rFonts w:cs="Arial"/>
          <w:sz w:val="24"/>
          <w:szCs w:val="24"/>
        </w:rPr>
        <w:t>Civ</w:t>
      </w:r>
      <w:proofErr w:type="spellEnd"/>
      <w:r w:rsidR="002873B6">
        <w:rPr>
          <w:rFonts w:cs="Arial"/>
          <w:sz w:val="24"/>
          <w:szCs w:val="24"/>
        </w:rPr>
        <w:t xml:space="preserve"> 83, [2003] QB 1509</w:t>
      </w:r>
      <w:r w:rsidR="001D2D83">
        <w:rPr>
          <w:rFonts w:cs="Arial"/>
          <w:sz w:val="24"/>
          <w:szCs w:val="24"/>
        </w:rPr>
        <w:t>– so long as there remains a substantia</w:t>
      </w:r>
      <w:r w:rsidR="00BC5902">
        <w:rPr>
          <w:rFonts w:cs="Arial"/>
          <w:sz w:val="24"/>
          <w:szCs w:val="24"/>
        </w:rPr>
        <w:t>l</w:t>
      </w:r>
      <w:r w:rsidR="001D2D83">
        <w:rPr>
          <w:rFonts w:cs="Arial"/>
          <w:sz w:val="24"/>
          <w:szCs w:val="24"/>
        </w:rPr>
        <w:t xml:space="preserve"> los</w:t>
      </w:r>
      <w:r w:rsidR="00BC5902">
        <w:rPr>
          <w:rFonts w:cs="Arial"/>
          <w:sz w:val="24"/>
          <w:szCs w:val="24"/>
        </w:rPr>
        <w:t>s</w:t>
      </w:r>
      <w:r w:rsidR="001D2D83">
        <w:rPr>
          <w:rFonts w:cs="Arial"/>
          <w:sz w:val="24"/>
          <w:szCs w:val="24"/>
        </w:rPr>
        <w:t xml:space="preserve"> to be recovered</w:t>
      </w:r>
      <w:r w:rsidR="00BC5902">
        <w:rPr>
          <w:rFonts w:cs="Arial"/>
          <w:sz w:val="24"/>
          <w:szCs w:val="24"/>
        </w:rPr>
        <w:t xml:space="preserve"> based on a proprietary right in the goods</w:t>
      </w:r>
      <w:r w:rsidR="001D2D83">
        <w:rPr>
          <w:rFonts w:cs="Arial"/>
          <w:sz w:val="24"/>
          <w:szCs w:val="24"/>
        </w:rPr>
        <w:t>)</w:t>
      </w:r>
      <w:r w:rsidR="00F42A6C">
        <w:rPr>
          <w:rFonts w:cs="Arial"/>
          <w:sz w:val="24"/>
          <w:szCs w:val="24"/>
        </w:rPr>
        <w:t>.</w:t>
      </w:r>
    </w:p>
    <w:p w14:paraId="2366BCE6" w14:textId="77777777" w:rsidR="00AD76C3" w:rsidRPr="00AD76C3" w:rsidRDefault="00F42A6C" w:rsidP="00AD76C3">
      <w:pPr>
        <w:shd w:val="clear" w:color="auto" w:fill="FFFFFF"/>
        <w:spacing w:line="315" w:lineRule="atLeast"/>
        <w:rPr>
          <w:rFonts w:cstheme="minorHAnsi"/>
          <w:color w:val="262A2D"/>
          <w:sz w:val="24"/>
          <w:szCs w:val="24"/>
        </w:rPr>
      </w:pPr>
      <w:r w:rsidRPr="00AD76C3">
        <w:rPr>
          <w:rFonts w:cstheme="minorHAnsi"/>
          <w:sz w:val="24"/>
          <w:szCs w:val="24"/>
        </w:rPr>
        <w:lastRenderedPageBreak/>
        <w:t>A further feature of the 1992 Act that</w:t>
      </w:r>
      <w:r w:rsidR="001D2D83" w:rsidRPr="00AD76C3">
        <w:rPr>
          <w:rFonts w:cstheme="minorHAnsi"/>
          <w:sz w:val="24"/>
          <w:szCs w:val="24"/>
        </w:rPr>
        <w:t xml:space="preserve"> needs to be noted is the separation of rights from liabilities</w:t>
      </w:r>
      <w:r w:rsidR="00EB10B0" w:rsidRPr="00AD76C3">
        <w:rPr>
          <w:rFonts w:cstheme="minorHAnsi"/>
          <w:sz w:val="24"/>
          <w:szCs w:val="24"/>
        </w:rPr>
        <w:t xml:space="preserve"> which means any rights outstanding in favour of the carrier such as payment of freight</w:t>
      </w:r>
      <w:r w:rsidR="005C3C56" w:rsidRPr="00AD76C3">
        <w:rPr>
          <w:rFonts w:cstheme="minorHAnsi"/>
          <w:sz w:val="24"/>
          <w:szCs w:val="24"/>
        </w:rPr>
        <w:t>, d</w:t>
      </w:r>
      <w:r w:rsidR="00EB10B0" w:rsidRPr="00AD76C3">
        <w:rPr>
          <w:rFonts w:cstheme="minorHAnsi"/>
          <w:sz w:val="24"/>
          <w:szCs w:val="24"/>
        </w:rPr>
        <w:t>emurrage or detention charges o</w:t>
      </w:r>
      <w:r w:rsidR="005C3C56" w:rsidRPr="00AD76C3">
        <w:rPr>
          <w:rFonts w:cstheme="minorHAnsi"/>
          <w:sz w:val="24"/>
          <w:szCs w:val="24"/>
        </w:rPr>
        <w:t>r</w:t>
      </w:r>
      <w:r w:rsidR="00EB10B0" w:rsidRPr="00AD76C3">
        <w:rPr>
          <w:rFonts w:cstheme="minorHAnsi"/>
          <w:sz w:val="24"/>
          <w:szCs w:val="24"/>
        </w:rPr>
        <w:t xml:space="preserve"> liabilities incurred because of damage caused by the defective or dangerous nature of the goods carried</w:t>
      </w:r>
      <w:r w:rsidR="001D2D83" w:rsidRPr="00AD76C3">
        <w:rPr>
          <w:rFonts w:cstheme="minorHAnsi"/>
          <w:sz w:val="24"/>
          <w:szCs w:val="24"/>
        </w:rPr>
        <w:t xml:space="preserve">. Rights are transferred under s. </w:t>
      </w:r>
      <w:r w:rsidR="00EB10B0" w:rsidRPr="00AD76C3">
        <w:rPr>
          <w:rFonts w:cstheme="minorHAnsi"/>
          <w:sz w:val="24"/>
          <w:szCs w:val="24"/>
        </w:rPr>
        <w:t xml:space="preserve">2 of the Act but there is no automatic transfer of liabilities simply by reason of the transfer of </w:t>
      </w:r>
      <w:r w:rsidR="00BC5902" w:rsidRPr="00AD76C3">
        <w:rPr>
          <w:rFonts w:cstheme="minorHAnsi"/>
          <w:sz w:val="24"/>
          <w:szCs w:val="24"/>
        </w:rPr>
        <w:t>the bill of lading</w:t>
      </w:r>
      <w:r w:rsidR="00EB10B0" w:rsidRPr="00AD76C3">
        <w:rPr>
          <w:rFonts w:cstheme="minorHAnsi"/>
          <w:sz w:val="24"/>
          <w:szCs w:val="24"/>
        </w:rPr>
        <w:t xml:space="preserve">.  S.3 of the Act attaches liability where the transferee of the bill, who has received </w:t>
      </w:r>
      <w:r w:rsidR="003B2E19" w:rsidRPr="00AD76C3">
        <w:rPr>
          <w:rFonts w:cstheme="minorHAnsi"/>
          <w:sz w:val="24"/>
          <w:szCs w:val="24"/>
        </w:rPr>
        <w:t>rights through transfer of the bill of lading: (</w:t>
      </w:r>
      <w:r w:rsidR="003B2E19" w:rsidRPr="00AD76C3">
        <w:rPr>
          <w:rStyle w:val="legds"/>
          <w:rFonts w:cstheme="minorHAnsi"/>
          <w:color w:val="000000"/>
          <w:sz w:val="24"/>
          <w:szCs w:val="24"/>
        </w:rPr>
        <w:t>a) takes or demands delivery from the carrier of any of the goods to which the document relates or (b) makes a claim under the contract of carriage against the carrier in respect of any of those goods or</w:t>
      </w:r>
      <w:r w:rsidR="003B2E19" w:rsidRPr="00AD76C3">
        <w:rPr>
          <w:rFonts w:cstheme="minorHAnsi"/>
          <w:color w:val="000000"/>
          <w:sz w:val="24"/>
          <w:szCs w:val="24"/>
        </w:rPr>
        <w:t xml:space="preserve"> </w:t>
      </w:r>
      <w:r w:rsidR="003B2E19" w:rsidRPr="00AD76C3">
        <w:rPr>
          <w:rStyle w:val="legds"/>
          <w:rFonts w:cstheme="minorHAnsi"/>
          <w:color w:val="000000"/>
          <w:sz w:val="24"/>
          <w:szCs w:val="24"/>
        </w:rPr>
        <w:t xml:space="preserve">(c) is a person who, at a time before those rights were vested in him, took or demanded delivery from the carrier of any of those goods (see s. 2(4) and the </w:t>
      </w:r>
      <w:proofErr w:type="spellStart"/>
      <w:r w:rsidR="003B2E19" w:rsidRPr="00AD76C3">
        <w:rPr>
          <w:rStyle w:val="legds"/>
          <w:rFonts w:cstheme="minorHAnsi"/>
          <w:b/>
          <w:bCs/>
          <w:color w:val="000000"/>
          <w:sz w:val="24"/>
          <w:szCs w:val="24"/>
        </w:rPr>
        <w:t>Delfini</w:t>
      </w:r>
      <w:proofErr w:type="spellEnd"/>
      <w:r w:rsidR="00BC5902" w:rsidRPr="00AD76C3">
        <w:rPr>
          <w:rStyle w:val="legds"/>
          <w:rFonts w:cstheme="minorHAnsi"/>
          <w:color w:val="000000"/>
          <w:sz w:val="24"/>
          <w:szCs w:val="24"/>
        </w:rPr>
        <w:t xml:space="preserve"> </w:t>
      </w:r>
      <w:r w:rsidR="002873B6" w:rsidRPr="00AD76C3">
        <w:rPr>
          <w:rStyle w:val="legds"/>
          <w:rFonts w:cstheme="minorHAnsi"/>
          <w:color w:val="000000"/>
          <w:sz w:val="24"/>
          <w:szCs w:val="24"/>
        </w:rPr>
        <w:t>(see above</w:t>
      </w:r>
      <w:r w:rsidR="003B2E19" w:rsidRPr="00AD76C3">
        <w:rPr>
          <w:rStyle w:val="legds"/>
          <w:rFonts w:cstheme="minorHAnsi"/>
          <w:color w:val="000000"/>
          <w:sz w:val="24"/>
          <w:szCs w:val="24"/>
        </w:rPr>
        <w:t xml:space="preserve">).  Regardless of this the shipper (s 3(3)) retains liability so that the carrier is still able to sue both the shipper and the transferee.  </w:t>
      </w:r>
      <w:r w:rsidR="005C3C56" w:rsidRPr="00AD76C3">
        <w:rPr>
          <w:rStyle w:val="legds"/>
          <w:rFonts w:cstheme="minorHAnsi"/>
          <w:color w:val="000000"/>
          <w:sz w:val="24"/>
          <w:szCs w:val="24"/>
        </w:rPr>
        <w:t xml:space="preserve">Two leading cases on the Act are the </w:t>
      </w:r>
      <w:r w:rsidR="005C3C56" w:rsidRPr="00AD76C3">
        <w:rPr>
          <w:rStyle w:val="legds"/>
          <w:rFonts w:cstheme="minorHAnsi"/>
          <w:b/>
          <w:bCs/>
          <w:color w:val="000000"/>
          <w:sz w:val="24"/>
          <w:szCs w:val="24"/>
        </w:rPr>
        <w:t xml:space="preserve">Berge </w:t>
      </w:r>
      <w:proofErr w:type="spellStart"/>
      <w:r w:rsidR="005C3C56" w:rsidRPr="00AD76C3">
        <w:rPr>
          <w:rStyle w:val="legds"/>
          <w:rFonts w:cstheme="minorHAnsi"/>
          <w:b/>
          <w:bCs/>
          <w:color w:val="000000"/>
          <w:sz w:val="24"/>
          <w:szCs w:val="24"/>
        </w:rPr>
        <w:t>Sisar</w:t>
      </w:r>
      <w:proofErr w:type="spellEnd"/>
      <w:r w:rsidR="005C3C56" w:rsidRPr="00AD76C3">
        <w:rPr>
          <w:rStyle w:val="legds"/>
          <w:rFonts w:cstheme="minorHAnsi"/>
          <w:color w:val="000000"/>
          <w:sz w:val="24"/>
          <w:szCs w:val="24"/>
        </w:rPr>
        <w:t xml:space="preserve"> </w:t>
      </w:r>
      <w:r w:rsidR="002873B6" w:rsidRPr="00AD76C3">
        <w:rPr>
          <w:rStyle w:val="legds"/>
          <w:rFonts w:cstheme="minorHAnsi"/>
          <w:color w:val="000000"/>
          <w:sz w:val="24"/>
          <w:szCs w:val="24"/>
        </w:rPr>
        <w:t xml:space="preserve">[2001] UKHL 17, [2002] 2 AC 205 </w:t>
      </w:r>
      <w:r w:rsidR="005C3C56" w:rsidRPr="00AD76C3">
        <w:rPr>
          <w:rStyle w:val="legds"/>
          <w:rFonts w:cstheme="minorHAnsi"/>
          <w:color w:val="000000"/>
          <w:sz w:val="24"/>
          <w:szCs w:val="24"/>
        </w:rPr>
        <w:t xml:space="preserve">and </w:t>
      </w:r>
      <w:r w:rsidR="00AD76C3">
        <w:rPr>
          <w:rFonts w:cstheme="minorHAnsi"/>
          <w:color w:val="262A2D"/>
          <w:sz w:val="24"/>
          <w:szCs w:val="24"/>
        </w:rPr>
        <w:t>t</w:t>
      </w:r>
      <w:r w:rsidR="00AD76C3" w:rsidRPr="00AD76C3">
        <w:rPr>
          <w:rFonts w:cstheme="minorHAnsi"/>
          <w:color w:val="262A2D"/>
          <w:sz w:val="24"/>
          <w:szCs w:val="24"/>
        </w:rPr>
        <w:t xml:space="preserve">he </w:t>
      </w:r>
      <w:r w:rsidR="00AD76C3" w:rsidRPr="00AD76C3">
        <w:rPr>
          <w:rFonts w:cstheme="minorHAnsi"/>
          <w:b/>
          <w:bCs/>
          <w:color w:val="262A2D"/>
          <w:sz w:val="24"/>
          <w:szCs w:val="24"/>
        </w:rPr>
        <w:t>Erin Schulte</w:t>
      </w:r>
      <w:r w:rsidR="00AD76C3" w:rsidRPr="00AD76C3">
        <w:rPr>
          <w:rFonts w:cstheme="minorHAnsi"/>
          <w:color w:val="262A2D"/>
          <w:sz w:val="24"/>
          <w:szCs w:val="24"/>
        </w:rPr>
        <w:t xml:space="preserve"> [2014] EWCA </w:t>
      </w:r>
      <w:proofErr w:type="spellStart"/>
      <w:r w:rsidR="00AD76C3" w:rsidRPr="00AD76C3">
        <w:rPr>
          <w:rFonts w:cstheme="minorHAnsi"/>
          <w:color w:val="262A2D"/>
          <w:sz w:val="24"/>
          <w:szCs w:val="24"/>
        </w:rPr>
        <w:t>Civ</w:t>
      </w:r>
      <w:proofErr w:type="spellEnd"/>
      <w:r w:rsidR="00AD76C3" w:rsidRPr="00AD76C3">
        <w:rPr>
          <w:rFonts w:cstheme="minorHAnsi"/>
          <w:color w:val="262A2D"/>
          <w:sz w:val="24"/>
          <w:szCs w:val="24"/>
        </w:rPr>
        <w:t xml:space="preserve"> 1382</w:t>
      </w:r>
      <w:r w:rsidR="00AD76C3">
        <w:rPr>
          <w:rFonts w:cstheme="minorHAnsi"/>
          <w:color w:val="262A2D"/>
          <w:sz w:val="24"/>
          <w:szCs w:val="24"/>
        </w:rPr>
        <w:t>,</w:t>
      </w:r>
      <w:r w:rsidR="00AD76C3" w:rsidRPr="00AD76C3">
        <w:rPr>
          <w:rFonts w:cstheme="minorHAnsi"/>
          <w:color w:val="262A2D"/>
          <w:sz w:val="24"/>
          <w:szCs w:val="24"/>
        </w:rPr>
        <w:t xml:space="preserve"> [2015] 1 Lloyd’s Rep. 97</w:t>
      </w:r>
      <w:r w:rsidR="00AD76C3">
        <w:rPr>
          <w:rFonts w:cstheme="minorHAnsi"/>
          <w:color w:val="262A2D"/>
          <w:sz w:val="24"/>
          <w:szCs w:val="24"/>
        </w:rPr>
        <w:t>.</w:t>
      </w:r>
    </w:p>
    <w:p w14:paraId="37699800" w14:textId="77777777" w:rsidR="003B2E19" w:rsidRPr="005C3C56" w:rsidRDefault="00EE3788" w:rsidP="003B2E19">
      <w:pPr>
        <w:pStyle w:val="legclearfix"/>
        <w:shd w:val="clear" w:color="auto" w:fill="FFFFFF"/>
        <w:spacing w:before="0" w:beforeAutospacing="0" w:after="90" w:afterAutospacing="0" w:line="270" w:lineRule="atLeast"/>
        <w:rPr>
          <w:rFonts w:asciiTheme="minorHAnsi" w:hAnsiTheme="minorHAnsi" w:cstheme="minorHAnsi"/>
          <w:color w:val="000000"/>
        </w:rPr>
      </w:pPr>
      <w:r>
        <w:rPr>
          <w:rStyle w:val="legds"/>
          <w:rFonts w:asciiTheme="minorHAnsi" w:hAnsiTheme="minorHAnsi" w:cstheme="minorHAnsi"/>
          <w:color w:val="000000"/>
        </w:rPr>
        <w:t xml:space="preserve">Note that when the </w:t>
      </w:r>
      <w:r w:rsidRPr="00180750">
        <w:rPr>
          <w:rStyle w:val="legds"/>
          <w:rFonts w:asciiTheme="minorHAnsi" w:hAnsiTheme="minorHAnsi" w:cstheme="minorHAnsi"/>
          <w:b/>
          <w:bCs/>
          <w:color w:val="000000"/>
        </w:rPr>
        <w:t>Contracts (Rights of Third Parties) Act 1999</w:t>
      </w:r>
      <w:r>
        <w:rPr>
          <w:rStyle w:val="legds"/>
          <w:rFonts w:asciiTheme="minorHAnsi" w:hAnsiTheme="minorHAnsi" w:cstheme="minorHAnsi"/>
          <w:color w:val="000000"/>
        </w:rPr>
        <w:t xml:space="preserve"> was introduced it was </w:t>
      </w:r>
      <w:proofErr w:type="gramStart"/>
      <w:r>
        <w:rPr>
          <w:rStyle w:val="legds"/>
          <w:rFonts w:asciiTheme="minorHAnsi" w:hAnsiTheme="minorHAnsi" w:cstheme="minorHAnsi"/>
          <w:color w:val="000000"/>
        </w:rPr>
        <w:t>provided that</w:t>
      </w:r>
      <w:proofErr w:type="gramEnd"/>
      <w:r>
        <w:rPr>
          <w:rStyle w:val="legds"/>
          <w:rFonts w:asciiTheme="minorHAnsi" w:hAnsiTheme="minorHAnsi" w:cstheme="minorHAnsi"/>
          <w:color w:val="000000"/>
        </w:rPr>
        <w:t xml:space="preserve"> contracts of carriage by sea </w:t>
      </w:r>
      <w:r w:rsidR="003A5A07">
        <w:rPr>
          <w:rStyle w:val="legds"/>
          <w:rFonts w:asciiTheme="minorHAnsi" w:hAnsiTheme="minorHAnsi" w:cstheme="minorHAnsi"/>
          <w:color w:val="000000"/>
        </w:rPr>
        <w:t>(as well as contracts covered by the road, rail and air conventions)</w:t>
      </w:r>
      <w:r>
        <w:rPr>
          <w:rStyle w:val="legds"/>
          <w:rFonts w:asciiTheme="minorHAnsi" w:hAnsiTheme="minorHAnsi" w:cstheme="minorHAnsi"/>
          <w:color w:val="000000"/>
        </w:rPr>
        <w:t xml:space="preserve"> would be exempt </w:t>
      </w:r>
      <w:r w:rsidR="003A5A07">
        <w:rPr>
          <w:rStyle w:val="legds"/>
          <w:rFonts w:asciiTheme="minorHAnsi" w:hAnsiTheme="minorHAnsi" w:cstheme="minorHAnsi"/>
          <w:color w:val="000000"/>
        </w:rPr>
        <w:t>so as not to conflict with their special rules (s.6(5)).</w:t>
      </w:r>
    </w:p>
    <w:p w14:paraId="68F906AC" w14:textId="77777777" w:rsidR="003A5A07" w:rsidRDefault="00124655" w:rsidP="000C26B2">
      <w:pPr>
        <w:rPr>
          <w:rFonts w:cs="Arial"/>
          <w:sz w:val="24"/>
          <w:szCs w:val="24"/>
        </w:rPr>
      </w:pPr>
      <w:r>
        <w:rPr>
          <w:rFonts w:cs="Arial"/>
          <w:sz w:val="24"/>
          <w:szCs w:val="24"/>
        </w:rPr>
        <w:t>Under a CMR consignment note the focus is on th</w:t>
      </w:r>
      <w:r w:rsidR="003C6319">
        <w:rPr>
          <w:rFonts w:cs="Arial"/>
          <w:sz w:val="24"/>
          <w:szCs w:val="24"/>
        </w:rPr>
        <w:t xml:space="preserve">e </w:t>
      </w:r>
      <w:r w:rsidR="00EE4B8D">
        <w:rPr>
          <w:rFonts w:cs="Arial"/>
          <w:sz w:val="24"/>
          <w:szCs w:val="24"/>
        </w:rPr>
        <w:t>sender</w:t>
      </w:r>
      <w:r w:rsidR="0036728A">
        <w:rPr>
          <w:rFonts w:cs="Arial"/>
          <w:sz w:val="24"/>
          <w:szCs w:val="24"/>
        </w:rPr>
        <w:t xml:space="preserve"> and the </w:t>
      </w:r>
      <w:r>
        <w:rPr>
          <w:rFonts w:cs="Arial"/>
          <w:sz w:val="24"/>
          <w:szCs w:val="24"/>
        </w:rPr>
        <w:t xml:space="preserve">consignee.  The </w:t>
      </w:r>
      <w:r w:rsidR="00EE4B8D">
        <w:rPr>
          <w:rFonts w:cs="Arial"/>
          <w:sz w:val="24"/>
          <w:szCs w:val="24"/>
        </w:rPr>
        <w:t>sender</w:t>
      </w:r>
      <w:r>
        <w:rPr>
          <w:rFonts w:cs="Arial"/>
          <w:sz w:val="24"/>
          <w:szCs w:val="24"/>
        </w:rPr>
        <w:t xml:space="preserve"> is the original party</w:t>
      </w:r>
      <w:r w:rsidR="00EE4B8D">
        <w:rPr>
          <w:rFonts w:cs="Arial"/>
          <w:sz w:val="24"/>
          <w:szCs w:val="24"/>
        </w:rPr>
        <w:t xml:space="preserve"> to the contract of carriage</w:t>
      </w:r>
      <w:r w:rsidR="0036728A">
        <w:rPr>
          <w:rFonts w:cs="Arial"/>
          <w:sz w:val="24"/>
          <w:szCs w:val="24"/>
        </w:rPr>
        <w:t xml:space="preserve">.  </w:t>
      </w:r>
      <w:proofErr w:type="gramStart"/>
      <w:r w:rsidR="0036728A">
        <w:rPr>
          <w:rFonts w:cs="Arial"/>
          <w:sz w:val="24"/>
          <w:szCs w:val="24"/>
        </w:rPr>
        <w:t>However</w:t>
      </w:r>
      <w:proofErr w:type="gramEnd"/>
      <w:r w:rsidR="0036728A">
        <w:rPr>
          <w:rFonts w:cs="Arial"/>
          <w:sz w:val="24"/>
          <w:szCs w:val="24"/>
        </w:rPr>
        <w:t xml:space="preserve"> the consignment note is only prima facie evidence so that </w:t>
      </w:r>
      <w:r w:rsidR="00180750">
        <w:rPr>
          <w:rFonts w:cs="Arial"/>
          <w:sz w:val="24"/>
          <w:szCs w:val="24"/>
        </w:rPr>
        <w:t xml:space="preserve">it </w:t>
      </w:r>
      <w:r w:rsidR="0036728A">
        <w:rPr>
          <w:rFonts w:cs="Arial"/>
          <w:sz w:val="24"/>
          <w:szCs w:val="24"/>
        </w:rPr>
        <w:t>is possible that</w:t>
      </w:r>
      <w:r w:rsidR="003C6319">
        <w:rPr>
          <w:rFonts w:cs="Arial"/>
          <w:sz w:val="24"/>
          <w:szCs w:val="24"/>
        </w:rPr>
        <w:t xml:space="preserve"> </w:t>
      </w:r>
      <w:r>
        <w:rPr>
          <w:rFonts w:cs="Arial"/>
          <w:sz w:val="24"/>
          <w:szCs w:val="24"/>
        </w:rPr>
        <w:t xml:space="preserve">the person named as the consignee in the consignment note </w:t>
      </w:r>
      <w:r w:rsidR="0036728A">
        <w:rPr>
          <w:rFonts w:cs="Arial"/>
          <w:sz w:val="24"/>
          <w:szCs w:val="24"/>
        </w:rPr>
        <w:t xml:space="preserve">might actually be treated as the </w:t>
      </w:r>
      <w:r w:rsidR="00EE4B8D">
        <w:rPr>
          <w:rFonts w:cs="Arial"/>
          <w:sz w:val="24"/>
          <w:szCs w:val="24"/>
        </w:rPr>
        <w:t>sender</w:t>
      </w:r>
      <w:r w:rsidR="0036728A">
        <w:rPr>
          <w:rFonts w:cs="Arial"/>
          <w:sz w:val="24"/>
          <w:szCs w:val="24"/>
        </w:rPr>
        <w:t xml:space="preserve"> since</w:t>
      </w:r>
      <w:r w:rsidR="00F42A6C">
        <w:rPr>
          <w:rFonts w:cs="Arial"/>
          <w:sz w:val="24"/>
          <w:szCs w:val="24"/>
        </w:rPr>
        <w:t xml:space="preserve"> the person </w:t>
      </w:r>
      <w:r w:rsidR="0036728A">
        <w:rPr>
          <w:rFonts w:cs="Arial"/>
          <w:sz w:val="24"/>
          <w:szCs w:val="24"/>
        </w:rPr>
        <w:t xml:space="preserve">actually </w:t>
      </w:r>
      <w:r w:rsidR="00F42A6C">
        <w:rPr>
          <w:rFonts w:cs="Arial"/>
          <w:sz w:val="24"/>
          <w:szCs w:val="24"/>
        </w:rPr>
        <w:t xml:space="preserve">named as the </w:t>
      </w:r>
      <w:r w:rsidR="00EE4B8D">
        <w:rPr>
          <w:rFonts w:cs="Arial"/>
          <w:sz w:val="24"/>
          <w:szCs w:val="24"/>
        </w:rPr>
        <w:t>sender</w:t>
      </w:r>
      <w:r w:rsidR="00F42A6C">
        <w:rPr>
          <w:rFonts w:cs="Arial"/>
          <w:sz w:val="24"/>
          <w:szCs w:val="24"/>
        </w:rPr>
        <w:t xml:space="preserve"> in the note might be a mere agent or a seller who has already been paid and has no further interest in the goods.  The assu</w:t>
      </w:r>
      <w:r w:rsidR="00EB10B0">
        <w:rPr>
          <w:rFonts w:cs="Arial"/>
          <w:sz w:val="24"/>
          <w:szCs w:val="24"/>
        </w:rPr>
        <w:t>mp</w:t>
      </w:r>
      <w:r w:rsidR="00F42A6C">
        <w:rPr>
          <w:rFonts w:cs="Arial"/>
          <w:sz w:val="24"/>
          <w:szCs w:val="24"/>
        </w:rPr>
        <w:t xml:space="preserve">tion made </w:t>
      </w:r>
      <w:r w:rsidR="003B2E19">
        <w:rPr>
          <w:rFonts w:cs="Arial"/>
          <w:sz w:val="24"/>
          <w:szCs w:val="24"/>
        </w:rPr>
        <w:t>is that the consignee</w:t>
      </w:r>
      <w:r w:rsidR="0036728A">
        <w:rPr>
          <w:rFonts w:cs="Arial"/>
          <w:sz w:val="24"/>
          <w:szCs w:val="24"/>
        </w:rPr>
        <w:t xml:space="preserve"> </w:t>
      </w:r>
      <w:r w:rsidR="003B2E19">
        <w:rPr>
          <w:rFonts w:cs="Arial"/>
          <w:sz w:val="24"/>
          <w:szCs w:val="24"/>
        </w:rPr>
        <w:t xml:space="preserve">is an additional party to the contract of carriage along with the </w:t>
      </w:r>
      <w:r w:rsidR="00EE4B8D">
        <w:rPr>
          <w:rFonts w:cs="Arial"/>
          <w:sz w:val="24"/>
          <w:szCs w:val="24"/>
        </w:rPr>
        <w:t>sender</w:t>
      </w:r>
      <w:r w:rsidR="003C6319">
        <w:rPr>
          <w:rFonts w:cs="Arial"/>
          <w:sz w:val="24"/>
          <w:szCs w:val="24"/>
        </w:rPr>
        <w:t>.  If the goods have arrived the consign</w:t>
      </w:r>
      <w:r w:rsidR="00EE4B8D">
        <w:rPr>
          <w:rFonts w:cs="Arial"/>
          <w:sz w:val="24"/>
          <w:szCs w:val="24"/>
        </w:rPr>
        <w:t>ee</w:t>
      </w:r>
      <w:r w:rsidR="003C6319">
        <w:rPr>
          <w:rFonts w:cs="Arial"/>
          <w:sz w:val="24"/>
          <w:szCs w:val="24"/>
        </w:rPr>
        <w:t xml:space="preserve"> is entitled to their delivery but if the goods are lost, then the consignee is granted the right to sue for their loss under art 13.  CMR does not deal with potential conflicts between the rights of the </w:t>
      </w:r>
      <w:r w:rsidR="00EE4B8D">
        <w:rPr>
          <w:rFonts w:cs="Arial"/>
          <w:sz w:val="24"/>
          <w:szCs w:val="24"/>
        </w:rPr>
        <w:t>sender</w:t>
      </w:r>
      <w:r w:rsidR="003C6319">
        <w:rPr>
          <w:rFonts w:cs="Arial"/>
          <w:sz w:val="24"/>
          <w:szCs w:val="24"/>
        </w:rPr>
        <w:t xml:space="preserve"> and the consignee regarding the right to sue the </w:t>
      </w:r>
      <w:r w:rsidR="00AD76C3">
        <w:rPr>
          <w:rFonts w:cs="Arial"/>
          <w:sz w:val="24"/>
          <w:szCs w:val="24"/>
        </w:rPr>
        <w:t>carrier,</w:t>
      </w:r>
      <w:r w:rsidR="003C6319">
        <w:rPr>
          <w:rFonts w:cs="Arial"/>
          <w:sz w:val="24"/>
          <w:szCs w:val="24"/>
        </w:rPr>
        <w:t xml:space="preserve"> which is effectively left to national law</w:t>
      </w:r>
      <w:r w:rsidR="00180750">
        <w:rPr>
          <w:rFonts w:cs="Arial"/>
          <w:sz w:val="24"/>
          <w:szCs w:val="24"/>
        </w:rPr>
        <w:t>,</w:t>
      </w:r>
      <w:r w:rsidR="003C6319">
        <w:rPr>
          <w:rFonts w:cs="Arial"/>
          <w:sz w:val="24"/>
          <w:szCs w:val="24"/>
        </w:rPr>
        <w:t xml:space="preserve"> but national law is required to recognise the rights of the consignee who falls within art 13.</w:t>
      </w:r>
      <w:r w:rsidR="005C3C56">
        <w:rPr>
          <w:rFonts w:cs="Arial"/>
          <w:sz w:val="24"/>
          <w:szCs w:val="24"/>
        </w:rPr>
        <w:t xml:space="preserve"> </w:t>
      </w:r>
    </w:p>
    <w:p w14:paraId="3481EA0C" w14:textId="77777777" w:rsidR="00180750" w:rsidRPr="00781F72" w:rsidRDefault="003A5A07" w:rsidP="000C26B2">
      <w:pPr>
        <w:rPr>
          <w:rFonts w:cs="Arial"/>
          <w:sz w:val="24"/>
          <w:szCs w:val="24"/>
        </w:rPr>
      </w:pPr>
      <w:r>
        <w:rPr>
          <w:rFonts w:cs="Arial"/>
          <w:sz w:val="24"/>
          <w:szCs w:val="24"/>
        </w:rPr>
        <w:t>In respect of liabilities a consignee who exercises the rights contained in art 13(1) (to require delivery of the second copy of the consignment note and the goods</w:t>
      </w:r>
      <w:r w:rsidR="00C15F7B">
        <w:rPr>
          <w:rFonts w:cs="Arial"/>
          <w:sz w:val="24"/>
          <w:szCs w:val="24"/>
        </w:rPr>
        <w:t xml:space="preserve">) is </w:t>
      </w:r>
      <w:r w:rsidR="00EE4B8D">
        <w:rPr>
          <w:rFonts w:cs="Arial"/>
          <w:sz w:val="24"/>
          <w:szCs w:val="24"/>
        </w:rPr>
        <w:t>required</w:t>
      </w:r>
      <w:r w:rsidR="00180750">
        <w:rPr>
          <w:rFonts w:cs="Arial"/>
          <w:sz w:val="24"/>
          <w:szCs w:val="24"/>
        </w:rPr>
        <w:t>, as noted above,</w:t>
      </w:r>
      <w:r w:rsidR="00EE4B8D">
        <w:rPr>
          <w:rFonts w:cs="Arial"/>
          <w:sz w:val="24"/>
          <w:szCs w:val="24"/>
        </w:rPr>
        <w:t xml:space="preserve"> to pay the charges shown to be due on the consignment note (if any). </w:t>
      </w:r>
    </w:p>
    <w:p w14:paraId="76FCA7F8" w14:textId="77777777" w:rsidR="000C26B2" w:rsidRPr="009C69FE" w:rsidRDefault="00C54712" w:rsidP="000C26B2">
      <w:pPr>
        <w:rPr>
          <w:rFonts w:cs="Arial"/>
          <w:b/>
          <w:sz w:val="24"/>
          <w:szCs w:val="24"/>
        </w:rPr>
      </w:pPr>
      <w:r w:rsidRPr="009C69FE">
        <w:rPr>
          <w:rFonts w:cs="Arial"/>
          <w:b/>
          <w:sz w:val="24"/>
          <w:szCs w:val="24"/>
        </w:rPr>
        <w:t>3.3.3.</w:t>
      </w:r>
      <w:r w:rsidR="00781F72">
        <w:rPr>
          <w:rFonts w:cs="Arial"/>
          <w:b/>
          <w:sz w:val="24"/>
          <w:szCs w:val="24"/>
        </w:rPr>
        <w:t>3</w:t>
      </w:r>
      <w:r w:rsidRPr="009C69FE">
        <w:rPr>
          <w:rFonts w:cs="Arial"/>
          <w:b/>
          <w:sz w:val="24"/>
          <w:szCs w:val="24"/>
        </w:rPr>
        <w:t xml:space="preserve"> </w:t>
      </w:r>
      <w:r w:rsidR="000C26B2" w:rsidRPr="009C69FE">
        <w:rPr>
          <w:rFonts w:cs="Arial"/>
          <w:b/>
          <w:sz w:val="24"/>
          <w:szCs w:val="24"/>
        </w:rPr>
        <w:t>E-</w:t>
      </w:r>
      <w:r w:rsidRPr="009C69FE">
        <w:rPr>
          <w:rFonts w:cs="Arial"/>
          <w:b/>
          <w:sz w:val="24"/>
          <w:szCs w:val="24"/>
        </w:rPr>
        <w:t>consignment notes</w:t>
      </w:r>
      <w:r w:rsidR="00FA73C6">
        <w:rPr>
          <w:rFonts w:cs="Arial"/>
          <w:b/>
          <w:sz w:val="24"/>
          <w:szCs w:val="24"/>
        </w:rPr>
        <w:t xml:space="preserve"> and a note on e-bills of lading</w:t>
      </w:r>
    </w:p>
    <w:p w14:paraId="55C4DE96" w14:textId="33ACDB98" w:rsidR="00FA73C6" w:rsidRDefault="00FB19EC" w:rsidP="000C26B2">
      <w:pPr>
        <w:rPr>
          <w:rFonts w:cs="Arial"/>
          <w:sz w:val="24"/>
          <w:szCs w:val="24"/>
        </w:rPr>
      </w:pPr>
      <w:r w:rsidRPr="009C69FE">
        <w:rPr>
          <w:rFonts w:cs="Arial"/>
          <w:sz w:val="24"/>
          <w:szCs w:val="24"/>
        </w:rPr>
        <w:t>In 2008 the UNECE adopted</w:t>
      </w:r>
      <w:r w:rsidR="000C26B2" w:rsidRPr="009C69FE">
        <w:rPr>
          <w:rFonts w:cs="Arial"/>
          <w:sz w:val="24"/>
          <w:szCs w:val="24"/>
        </w:rPr>
        <w:t xml:space="preserve"> an additional protocol for adoption by CMR states (see </w:t>
      </w:r>
      <w:hyperlink r:id="rId24" w:history="1">
        <w:r w:rsidR="000C26B2" w:rsidRPr="009C69FE">
          <w:rPr>
            <w:rStyle w:val="Hyperlink"/>
            <w:sz w:val="24"/>
            <w:szCs w:val="24"/>
          </w:rPr>
          <w:t>http://www.unece.org/trans/doc/2008/sc1/ECE-TRANS-2008-CRP-01a1e.pdf</w:t>
        </w:r>
      </w:hyperlink>
      <w:r w:rsidR="000C26B2" w:rsidRPr="009C69FE">
        <w:rPr>
          <w:sz w:val="24"/>
          <w:szCs w:val="24"/>
        </w:rPr>
        <w:t xml:space="preserve">). </w:t>
      </w:r>
      <w:r w:rsidRPr="009C69FE">
        <w:rPr>
          <w:rFonts w:cs="Arial"/>
          <w:sz w:val="24"/>
          <w:szCs w:val="24"/>
        </w:rPr>
        <w:t xml:space="preserve">This </w:t>
      </w:r>
      <w:r w:rsidR="000C26B2" w:rsidRPr="009C69FE">
        <w:rPr>
          <w:rFonts w:cs="Arial"/>
          <w:sz w:val="24"/>
          <w:szCs w:val="24"/>
        </w:rPr>
        <w:t>provide</w:t>
      </w:r>
      <w:r w:rsidRPr="009C69FE">
        <w:rPr>
          <w:rFonts w:cs="Arial"/>
          <w:sz w:val="24"/>
          <w:szCs w:val="24"/>
        </w:rPr>
        <w:t>s</w:t>
      </w:r>
      <w:r w:rsidR="000C26B2" w:rsidRPr="009C69FE">
        <w:rPr>
          <w:rFonts w:cs="Arial"/>
          <w:sz w:val="24"/>
          <w:szCs w:val="24"/>
        </w:rPr>
        <w:t xml:space="preserve"> a basis both for effective e-consignment notes and electronic alternatives to other written communica</w:t>
      </w:r>
      <w:r w:rsidRPr="009C69FE">
        <w:rPr>
          <w:rFonts w:cs="Arial"/>
          <w:sz w:val="24"/>
          <w:szCs w:val="24"/>
        </w:rPr>
        <w:t xml:space="preserve">tions provided for under CMR. </w:t>
      </w:r>
      <w:r w:rsidR="000C26B2" w:rsidRPr="009C69FE">
        <w:rPr>
          <w:rFonts w:cs="Arial"/>
          <w:sz w:val="24"/>
          <w:szCs w:val="24"/>
        </w:rPr>
        <w:t xml:space="preserve">The electronic consignment note must be authenticated by </w:t>
      </w:r>
      <w:r w:rsidR="00237966">
        <w:rPr>
          <w:rFonts w:cs="Arial"/>
          <w:sz w:val="24"/>
          <w:szCs w:val="24"/>
        </w:rPr>
        <w:t xml:space="preserve">a </w:t>
      </w:r>
      <w:r w:rsidR="000C26B2" w:rsidRPr="009C69FE">
        <w:rPr>
          <w:rFonts w:cs="Arial"/>
          <w:sz w:val="24"/>
          <w:szCs w:val="24"/>
        </w:rPr>
        <w:t xml:space="preserve">reliable electronic </w:t>
      </w:r>
      <w:proofErr w:type="gramStart"/>
      <w:r w:rsidR="000C26B2" w:rsidRPr="009C69FE">
        <w:rPr>
          <w:rFonts w:cs="Arial"/>
          <w:sz w:val="24"/>
          <w:szCs w:val="24"/>
        </w:rPr>
        <w:t>signature</w:t>
      </w:r>
      <w:proofErr w:type="gramEnd"/>
      <w:r w:rsidR="000C26B2" w:rsidRPr="009C69FE">
        <w:rPr>
          <w:rFonts w:cs="Arial"/>
          <w:sz w:val="24"/>
          <w:szCs w:val="24"/>
        </w:rPr>
        <w:t xml:space="preserve"> and it must contain the same particulars as the consignment note referred to in the convention.  It can be supplemented or amended in the cases authorized by the Convention.  Other provisions are concerned with ensuring the integrity of the document and that there is a contractual agreement between the parties interested in the performance of the contract to secure its effective operation including the way in which confirmation is given of delivery to the consignee.  This agreement must also </w:t>
      </w:r>
      <w:r w:rsidR="000C26B2" w:rsidRPr="009C69FE">
        <w:rPr>
          <w:rFonts w:cs="Arial"/>
          <w:sz w:val="24"/>
          <w:szCs w:val="24"/>
        </w:rPr>
        <w:lastRenderedPageBreak/>
        <w:t>lay down the procedures for possible replacement by a consignment note issued by different means (</w:t>
      </w:r>
      <w:proofErr w:type="gramStart"/>
      <w:r w:rsidR="000C26B2" w:rsidRPr="009C69FE">
        <w:rPr>
          <w:rFonts w:cs="Arial"/>
          <w:sz w:val="24"/>
          <w:szCs w:val="24"/>
        </w:rPr>
        <w:t>i.e.</w:t>
      </w:r>
      <w:proofErr w:type="gramEnd"/>
      <w:r w:rsidR="000C26B2" w:rsidRPr="009C69FE">
        <w:rPr>
          <w:rFonts w:cs="Arial"/>
          <w:sz w:val="24"/>
          <w:szCs w:val="24"/>
        </w:rPr>
        <w:t xml:space="preserve"> a paper note).  A further provision entitles the sender to request the handing over of a receipt for the goods and all information necessary for identifying the shipment and for access to the e-consignment note.  </w:t>
      </w:r>
      <w:r w:rsidRPr="009C69FE">
        <w:rPr>
          <w:rFonts w:cs="Arial"/>
          <w:sz w:val="24"/>
          <w:szCs w:val="24"/>
        </w:rPr>
        <w:t xml:space="preserve">The protocol came into force in 2011 </w:t>
      </w:r>
      <w:r w:rsidR="00E715AA">
        <w:rPr>
          <w:rFonts w:cs="Arial"/>
          <w:sz w:val="24"/>
          <w:szCs w:val="24"/>
        </w:rPr>
        <w:t xml:space="preserve">and is ratified by </w:t>
      </w:r>
      <w:r w:rsidR="00FA73C6">
        <w:rPr>
          <w:rFonts w:cs="Arial"/>
          <w:sz w:val="24"/>
          <w:szCs w:val="24"/>
        </w:rPr>
        <w:t>2</w:t>
      </w:r>
      <w:r w:rsidR="00E715AA">
        <w:rPr>
          <w:rFonts w:cs="Arial"/>
          <w:sz w:val="24"/>
          <w:szCs w:val="24"/>
        </w:rPr>
        <w:t xml:space="preserve">1 countries </w:t>
      </w:r>
      <w:r w:rsidR="007C0641">
        <w:rPr>
          <w:rFonts w:cs="Arial"/>
          <w:sz w:val="24"/>
          <w:szCs w:val="24"/>
        </w:rPr>
        <w:t>and was</w:t>
      </w:r>
      <w:r w:rsidRPr="009C69FE">
        <w:rPr>
          <w:rFonts w:cs="Arial"/>
          <w:sz w:val="24"/>
          <w:szCs w:val="24"/>
        </w:rPr>
        <w:t xml:space="preserve"> ratified by the UK</w:t>
      </w:r>
      <w:r w:rsidR="007C0641">
        <w:rPr>
          <w:rFonts w:cs="Arial"/>
          <w:sz w:val="24"/>
          <w:szCs w:val="24"/>
        </w:rPr>
        <w:t xml:space="preserve"> </w:t>
      </w:r>
      <w:r w:rsidR="00B337BB">
        <w:rPr>
          <w:rFonts w:cs="Arial"/>
          <w:sz w:val="24"/>
          <w:szCs w:val="24"/>
        </w:rPr>
        <w:t>o</w:t>
      </w:r>
      <w:r w:rsidR="007C0641">
        <w:rPr>
          <w:rFonts w:cs="Arial"/>
          <w:sz w:val="24"/>
          <w:szCs w:val="24"/>
        </w:rPr>
        <w:t>n</w:t>
      </w:r>
      <w:r w:rsidR="00B337BB">
        <w:rPr>
          <w:rFonts w:cs="Arial"/>
          <w:sz w:val="24"/>
          <w:szCs w:val="24"/>
        </w:rPr>
        <w:t xml:space="preserve"> 3.1.2020</w:t>
      </w:r>
      <w:r w:rsidRPr="009C69FE">
        <w:rPr>
          <w:rFonts w:cs="Arial"/>
          <w:sz w:val="24"/>
          <w:szCs w:val="24"/>
        </w:rPr>
        <w:t>.</w:t>
      </w:r>
      <w:r w:rsidR="005C3C56">
        <w:rPr>
          <w:rFonts w:cs="Arial"/>
          <w:sz w:val="24"/>
          <w:szCs w:val="24"/>
        </w:rPr>
        <w:t xml:space="preserve">  The use of </w:t>
      </w:r>
      <w:r w:rsidR="00E715AA">
        <w:rPr>
          <w:rFonts w:cs="Arial"/>
          <w:sz w:val="24"/>
          <w:szCs w:val="24"/>
        </w:rPr>
        <w:t xml:space="preserve">CMR </w:t>
      </w:r>
      <w:r w:rsidR="005C3C56">
        <w:rPr>
          <w:rFonts w:cs="Arial"/>
          <w:sz w:val="24"/>
          <w:szCs w:val="24"/>
        </w:rPr>
        <w:t xml:space="preserve">e-consignment </w:t>
      </w:r>
      <w:r w:rsidR="00E715AA">
        <w:rPr>
          <w:rFonts w:cs="Arial"/>
          <w:sz w:val="24"/>
          <w:szCs w:val="24"/>
        </w:rPr>
        <w:t>notes</w:t>
      </w:r>
      <w:r w:rsidR="00156DFF">
        <w:rPr>
          <w:rFonts w:cs="Arial"/>
          <w:sz w:val="24"/>
          <w:szCs w:val="24"/>
        </w:rPr>
        <w:t xml:space="preserve"> is becoming increasingly popular </w:t>
      </w:r>
      <w:r w:rsidR="008A0ADC">
        <w:rPr>
          <w:rFonts w:cs="Arial"/>
          <w:sz w:val="24"/>
          <w:szCs w:val="24"/>
        </w:rPr>
        <w:t>especially</w:t>
      </w:r>
      <w:r w:rsidR="00E715AA">
        <w:rPr>
          <w:rFonts w:cs="Arial"/>
          <w:sz w:val="24"/>
          <w:szCs w:val="24"/>
        </w:rPr>
        <w:t xml:space="preserve"> on the continent</w:t>
      </w:r>
      <w:r w:rsidR="008A0ADC">
        <w:rPr>
          <w:rFonts w:cs="Arial"/>
          <w:sz w:val="24"/>
          <w:szCs w:val="24"/>
        </w:rPr>
        <w:t xml:space="preserve"> (see further </w:t>
      </w:r>
      <w:hyperlink r:id="rId25" w:history="1">
        <w:r w:rsidR="008A0ADC" w:rsidRPr="008A0ADC">
          <w:rPr>
            <w:color w:val="0000FF"/>
            <w:u w:val="single"/>
          </w:rPr>
          <w:t>e-CMR | IRU | World Road Transport Organisation</w:t>
        </w:r>
      </w:hyperlink>
      <w:r w:rsidR="008A0ADC">
        <w:rPr>
          <w:rFonts w:cs="Arial"/>
          <w:sz w:val="24"/>
          <w:szCs w:val="24"/>
        </w:rPr>
        <w:t xml:space="preserve">; </w:t>
      </w:r>
      <w:hyperlink r:id="rId26" w:history="1">
        <w:r w:rsidR="007815A5" w:rsidRPr="007815A5">
          <w:rPr>
            <w:color w:val="0000FF"/>
            <w:u w:val="single"/>
          </w:rPr>
          <w:t>How eCMRs are changing the game for road transportation (shippeo.com)</w:t>
        </w:r>
      </w:hyperlink>
      <w:r w:rsidR="007815A5">
        <w:t>.</w:t>
      </w:r>
      <w:r w:rsidR="00E715AA">
        <w:rPr>
          <w:rFonts w:cs="Arial"/>
          <w:sz w:val="24"/>
          <w:szCs w:val="24"/>
        </w:rPr>
        <w:t xml:space="preserve"> </w:t>
      </w:r>
      <w:r w:rsidR="007815A5">
        <w:rPr>
          <w:rFonts w:cs="Arial"/>
          <w:sz w:val="24"/>
          <w:szCs w:val="24"/>
        </w:rPr>
        <w:t xml:space="preserve">The first </w:t>
      </w:r>
      <w:r w:rsidR="00B43329">
        <w:rPr>
          <w:rFonts w:cs="Arial"/>
          <w:sz w:val="24"/>
          <w:szCs w:val="24"/>
        </w:rPr>
        <w:t xml:space="preserve">crossing involving the UK occurred </w:t>
      </w:r>
      <w:r w:rsidR="007815A5">
        <w:rPr>
          <w:rFonts w:cs="Arial"/>
          <w:sz w:val="24"/>
          <w:szCs w:val="24"/>
        </w:rPr>
        <w:t>in 2019</w:t>
      </w:r>
      <w:r w:rsidR="00B43329">
        <w:rPr>
          <w:rFonts w:cs="Arial"/>
          <w:sz w:val="24"/>
          <w:szCs w:val="24"/>
        </w:rPr>
        <w:t xml:space="preserve">:  </w:t>
      </w:r>
      <w:hyperlink r:id="rId27" w:history="1">
        <w:r w:rsidR="00B43329" w:rsidRPr="006B6D34">
          <w:rPr>
            <w:rStyle w:val="Hyperlink"/>
            <w:rFonts w:cs="Arial"/>
            <w:sz w:val="24"/>
            <w:szCs w:val="24"/>
          </w:rPr>
          <w:t>https://www.ukhaulier.co.uk/news/road-transport/haulage/first-border-crossing-to-use-united-nations-e-cmr-electronic-consignment-note-involving-the-uk-france-and-the-netherlands/</w:t>
        </w:r>
      </w:hyperlink>
      <w:r w:rsidR="00B43329">
        <w:rPr>
          <w:rFonts w:cs="Arial"/>
          <w:sz w:val="24"/>
          <w:szCs w:val="24"/>
        </w:rPr>
        <w:t xml:space="preserve">   </w:t>
      </w:r>
      <w:r w:rsidR="00E715AA">
        <w:rPr>
          <w:rFonts w:cs="Arial"/>
          <w:sz w:val="24"/>
          <w:szCs w:val="24"/>
        </w:rPr>
        <w:t>The extent to which an e-CMR would be taken to comply with CMR in those countries outside the protocol is uncertain</w:t>
      </w:r>
      <w:r w:rsidR="004E06BC">
        <w:rPr>
          <w:rFonts w:cs="Arial"/>
          <w:sz w:val="24"/>
          <w:szCs w:val="24"/>
        </w:rPr>
        <w:t xml:space="preserve"> and may well produce difficulty.  The assumption is that the provisions in the original convention only apply to a paper </w:t>
      </w:r>
      <w:proofErr w:type="gramStart"/>
      <w:r w:rsidR="004E06BC">
        <w:rPr>
          <w:rFonts w:cs="Arial"/>
          <w:sz w:val="24"/>
          <w:szCs w:val="24"/>
        </w:rPr>
        <w:t>document</w:t>
      </w:r>
      <w:proofErr w:type="gramEnd"/>
      <w:r w:rsidR="004E06BC">
        <w:rPr>
          <w:rFonts w:cs="Arial"/>
          <w:sz w:val="24"/>
          <w:szCs w:val="24"/>
        </w:rPr>
        <w:t xml:space="preserve"> </w:t>
      </w:r>
      <w:r w:rsidR="00E715AA">
        <w:rPr>
          <w:rFonts w:cs="Arial"/>
          <w:sz w:val="24"/>
          <w:szCs w:val="24"/>
        </w:rPr>
        <w:t xml:space="preserve">but it </w:t>
      </w:r>
      <w:r w:rsidR="004E06BC">
        <w:rPr>
          <w:rFonts w:cs="Arial"/>
          <w:sz w:val="24"/>
          <w:szCs w:val="24"/>
        </w:rPr>
        <w:t xml:space="preserve">may be that in respect of particular </w:t>
      </w:r>
      <w:r w:rsidR="00997FA5">
        <w:rPr>
          <w:rFonts w:cs="Arial"/>
          <w:sz w:val="24"/>
          <w:szCs w:val="24"/>
        </w:rPr>
        <w:t>functions a court might be prepared to accept that a particular requirement is satisfied by an electronic process which provides “functional equivalence”</w:t>
      </w:r>
      <w:r w:rsidR="00FA73C6">
        <w:rPr>
          <w:rFonts w:cs="Arial"/>
          <w:sz w:val="24"/>
          <w:szCs w:val="24"/>
        </w:rPr>
        <w:t>.</w:t>
      </w:r>
      <w:r w:rsidR="007815A5">
        <w:rPr>
          <w:rFonts w:cs="Arial"/>
          <w:sz w:val="24"/>
          <w:szCs w:val="24"/>
        </w:rPr>
        <w:t xml:space="preserve"> Thi</w:t>
      </w:r>
      <w:r w:rsidR="00AC6B2A">
        <w:rPr>
          <w:rFonts w:cs="Arial"/>
          <w:sz w:val="24"/>
          <w:szCs w:val="24"/>
        </w:rPr>
        <w:t xml:space="preserve">s could prove important for the UK since, although the UK has ratified the protocol, it has not passed </w:t>
      </w:r>
      <w:r w:rsidR="005A1C9A">
        <w:rPr>
          <w:rFonts w:cs="Arial"/>
          <w:sz w:val="24"/>
          <w:szCs w:val="24"/>
        </w:rPr>
        <w:t>legislation to give it full legal effect.</w:t>
      </w:r>
    </w:p>
    <w:p w14:paraId="7C9C0651" w14:textId="5C781E92" w:rsidR="00D2467E" w:rsidRDefault="00FA73C6" w:rsidP="000C26B2">
      <w:pPr>
        <w:rPr>
          <w:rFonts w:cs="Arial"/>
          <w:sz w:val="24"/>
          <w:szCs w:val="24"/>
        </w:rPr>
      </w:pPr>
      <w:r>
        <w:rPr>
          <w:rFonts w:cs="Arial"/>
          <w:sz w:val="24"/>
          <w:szCs w:val="24"/>
        </w:rPr>
        <w:t xml:space="preserve">The development of e-bills of lading has </w:t>
      </w:r>
      <w:r w:rsidR="002F38C6">
        <w:rPr>
          <w:rFonts w:cs="Arial"/>
          <w:sz w:val="24"/>
          <w:szCs w:val="24"/>
        </w:rPr>
        <w:t>had a more chequered history given the more complex nature of bills of lading and an even more uncertain legal framework.  The general law has kept up with overall digitisation developments so that rules of contract and evidence are able to accommodate new ways of contracting and recording terms</w:t>
      </w:r>
      <w:r w:rsidR="00D2467E">
        <w:rPr>
          <w:rFonts w:cs="Arial"/>
          <w:sz w:val="24"/>
          <w:szCs w:val="24"/>
        </w:rPr>
        <w:t xml:space="preserve"> (see </w:t>
      </w:r>
      <w:proofErr w:type="gramStart"/>
      <w:r w:rsidR="00D2467E">
        <w:rPr>
          <w:rFonts w:cs="Arial"/>
          <w:sz w:val="24"/>
          <w:szCs w:val="24"/>
        </w:rPr>
        <w:t>e.g.</w:t>
      </w:r>
      <w:proofErr w:type="gramEnd"/>
      <w:r w:rsidR="00D2467E" w:rsidRPr="00D2467E">
        <w:rPr>
          <w:rFonts w:ascii="Times New Roman" w:hAnsi="Times New Roman" w:cs="Times New Roman"/>
        </w:rPr>
        <w:t xml:space="preserve"> </w:t>
      </w:r>
      <w:r w:rsidR="00D2467E">
        <w:rPr>
          <w:rFonts w:ascii="Times New Roman" w:hAnsi="Times New Roman" w:cs="Times New Roman"/>
        </w:rPr>
        <w:t xml:space="preserve">the </w:t>
      </w:r>
      <w:r w:rsidR="00D2467E" w:rsidRPr="00225C11">
        <w:rPr>
          <w:rFonts w:cstheme="minorHAnsi"/>
          <w:b/>
          <w:bCs/>
          <w:sz w:val="24"/>
          <w:szCs w:val="24"/>
        </w:rPr>
        <w:t>Electronic Signatures Regulations 2002 No 318</w:t>
      </w:r>
      <w:r w:rsidR="00997FA5" w:rsidRPr="00997FA5">
        <w:rPr>
          <w:rFonts w:cstheme="minorHAnsi"/>
          <w:sz w:val="24"/>
          <w:szCs w:val="24"/>
        </w:rPr>
        <w:t>)</w:t>
      </w:r>
      <w:r w:rsidR="002F38C6" w:rsidRPr="00997FA5">
        <w:rPr>
          <w:rFonts w:cs="Arial"/>
          <w:sz w:val="24"/>
          <w:szCs w:val="24"/>
        </w:rPr>
        <w:t>.</w:t>
      </w:r>
      <w:r w:rsidR="002F38C6">
        <w:rPr>
          <w:rFonts w:cs="Arial"/>
          <w:sz w:val="24"/>
          <w:szCs w:val="24"/>
        </w:rPr>
        <w:t xml:space="preserve">  </w:t>
      </w:r>
      <w:r w:rsidR="00EE3788">
        <w:rPr>
          <w:rFonts w:cs="Arial"/>
          <w:sz w:val="24"/>
          <w:szCs w:val="24"/>
        </w:rPr>
        <w:t>But a</w:t>
      </w:r>
      <w:r w:rsidR="002F38C6">
        <w:rPr>
          <w:rFonts w:cs="Arial"/>
          <w:sz w:val="24"/>
          <w:szCs w:val="24"/>
        </w:rPr>
        <w:t>s with e-CMR there are additional specialised functional elements that need to be recognised as having equivalent effect to paper counterparts.  Unlike CMR there is currently no equivalent to the additional protocol in force</w:t>
      </w:r>
      <w:r w:rsidR="00CA1D42">
        <w:rPr>
          <w:rFonts w:cs="Arial"/>
          <w:sz w:val="24"/>
          <w:szCs w:val="24"/>
        </w:rPr>
        <w:t xml:space="preserve"> (</w:t>
      </w:r>
      <w:proofErr w:type="spellStart"/>
      <w:r w:rsidR="00CA1D42">
        <w:rPr>
          <w:rFonts w:cs="Arial"/>
          <w:sz w:val="24"/>
          <w:szCs w:val="24"/>
        </w:rPr>
        <w:t>cf</w:t>
      </w:r>
      <w:proofErr w:type="spellEnd"/>
      <w:r w:rsidR="00CA1D42">
        <w:rPr>
          <w:rFonts w:cs="Arial"/>
          <w:sz w:val="24"/>
          <w:szCs w:val="24"/>
        </w:rPr>
        <w:t>, however,</w:t>
      </w:r>
      <w:r w:rsidR="00CA1D42" w:rsidRPr="00CA1D42">
        <w:t xml:space="preserve"> </w:t>
      </w:r>
      <w:r w:rsidR="00CA1D42" w:rsidRPr="00225C11">
        <w:rPr>
          <w:b/>
          <w:bCs/>
          <w:sz w:val="24"/>
          <w:szCs w:val="24"/>
        </w:rPr>
        <w:t xml:space="preserve">the UN Model Law on Electronic Transferable Records 2017 </w:t>
      </w:r>
      <w:r w:rsidR="00CA1D42" w:rsidRPr="00225C11">
        <w:rPr>
          <w:sz w:val="24"/>
          <w:szCs w:val="24"/>
        </w:rPr>
        <w:t>see</w:t>
      </w:r>
      <w:r w:rsidR="00CA1D42" w:rsidRPr="00225C11">
        <w:rPr>
          <w:b/>
          <w:bCs/>
          <w:sz w:val="24"/>
          <w:szCs w:val="24"/>
        </w:rPr>
        <w:t xml:space="preserve"> </w:t>
      </w:r>
      <w:hyperlink r:id="rId28" w:history="1">
        <w:r w:rsidR="00CA1D42" w:rsidRPr="00225C11">
          <w:rPr>
            <w:rStyle w:val="Hyperlink"/>
            <w:b/>
            <w:bCs/>
            <w:sz w:val="24"/>
            <w:szCs w:val="24"/>
          </w:rPr>
          <w:t>https://uncitral.un.org/en/texts/ecommerce/modellaw/electronic_transferable_records</w:t>
        </w:r>
      </w:hyperlink>
      <w:r w:rsidR="00CA1D42">
        <w:t>).</w:t>
      </w:r>
      <w:r w:rsidR="00EE3788">
        <w:rPr>
          <w:rFonts w:cs="Arial"/>
          <w:sz w:val="24"/>
          <w:szCs w:val="24"/>
        </w:rPr>
        <w:t xml:space="preserve">  Current efforts </w:t>
      </w:r>
      <w:r w:rsidR="00D2467E">
        <w:rPr>
          <w:rFonts w:cs="Arial"/>
          <w:sz w:val="24"/>
          <w:szCs w:val="24"/>
        </w:rPr>
        <w:t>seek</w:t>
      </w:r>
      <w:r w:rsidR="00EE3788">
        <w:rPr>
          <w:rFonts w:cs="Arial"/>
          <w:sz w:val="24"/>
          <w:szCs w:val="24"/>
        </w:rPr>
        <w:t xml:space="preserve"> to achieve though contractual arrangements the same legal effects of transferability: conclusive evidence, securing effective property and contractual rights in the transferee.</w:t>
      </w:r>
      <w:r w:rsidR="00D2467E">
        <w:rPr>
          <w:rFonts w:cs="Arial"/>
          <w:sz w:val="24"/>
          <w:szCs w:val="24"/>
        </w:rPr>
        <w:t xml:space="preserve">  </w:t>
      </w:r>
      <w:r w:rsidR="00D404E6">
        <w:rPr>
          <w:rFonts w:cs="Arial"/>
          <w:sz w:val="24"/>
          <w:szCs w:val="24"/>
        </w:rPr>
        <w:t xml:space="preserve">The </w:t>
      </w:r>
      <w:r w:rsidR="002B46D7">
        <w:rPr>
          <w:rFonts w:cs="Arial"/>
          <w:sz w:val="24"/>
          <w:szCs w:val="24"/>
        </w:rPr>
        <w:t>L</w:t>
      </w:r>
      <w:r w:rsidR="00D404E6">
        <w:rPr>
          <w:rFonts w:cs="Arial"/>
          <w:sz w:val="24"/>
          <w:szCs w:val="24"/>
        </w:rPr>
        <w:t xml:space="preserve">aw Commission </w:t>
      </w:r>
      <w:r w:rsidR="002B46D7">
        <w:rPr>
          <w:rFonts w:cs="Arial"/>
          <w:sz w:val="24"/>
          <w:szCs w:val="24"/>
        </w:rPr>
        <w:t>(Law Com 405, 2022) has recently produced a report with re</w:t>
      </w:r>
      <w:r w:rsidR="00BD16D2">
        <w:rPr>
          <w:rFonts w:cs="Arial"/>
          <w:sz w:val="24"/>
          <w:szCs w:val="24"/>
        </w:rPr>
        <w:t xml:space="preserve">commendations regarding reform of the law to accommodate </w:t>
      </w:r>
      <w:r w:rsidR="00C936E6">
        <w:rPr>
          <w:rFonts w:cs="Arial"/>
          <w:sz w:val="24"/>
          <w:szCs w:val="24"/>
        </w:rPr>
        <w:t>electronic trade documents inclu</w:t>
      </w:r>
      <w:r w:rsidR="0009066D">
        <w:rPr>
          <w:rFonts w:cs="Arial"/>
          <w:sz w:val="24"/>
          <w:szCs w:val="24"/>
        </w:rPr>
        <w:t>ding bills of lading</w:t>
      </w:r>
      <w:r w:rsidR="00E40E5B">
        <w:rPr>
          <w:rFonts w:cs="Arial"/>
          <w:sz w:val="24"/>
          <w:szCs w:val="24"/>
        </w:rPr>
        <w:t xml:space="preserve"> (</w:t>
      </w:r>
      <w:hyperlink r:id="rId29" w:history="1">
        <w:r w:rsidR="00E40E5B" w:rsidRPr="00E40E5B">
          <w:rPr>
            <w:color w:val="0000FF"/>
            <w:u w:val="single"/>
          </w:rPr>
          <w:t>Electronic trade documents - Law Commission</w:t>
        </w:r>
      </w:hyperlink>
      <w:r w:rsidR="00E40E5B">
        <w:t>)</w:t>
      </w:r>
      <w:r w:rsidR="0009066D">
        <w:rPr>
          <w:rFonts w:cs="Arial"/>
          <w:sz w:val="24"/>
          <w:szCs w:val="24"/>
        </w:rPr>
        <w:t>.</w:t>
      </w:r>
    </w:p>
    <w:p w14:paraId="08AB4BDD" w14:textId="12081AB7" w:rsidR="002F38C6" w:rsidRDefault="008A28C3" w:rsidP="000C26B2">
      <w:pPr>
        <w:rPr>
          <w:rFonts w:cs="Arial"/>
          <w:sz w:val="24"/>
          <w:szCs w:val="24"/>
        </w:rPr>
      </w:pPr>
      <w:r>
        <w:rPr>
          <w:rFonts w:cs="Arial"/>
          <w:sz w:val="24"/>
          <w:szCs w:val="24"/>
        </w:rPr>
        <w:t xml:space="preserve">After unsuccessful early efforts three E-bill systems are in operation with similar features.  The original system to come into full commercial operation is Bolero (see </w:t>
      </w:r>
      <w:hyperlink r:id="rId30" w:history="1">
        <w:r w:rsidRPr="00865B23">
          <w:rPr>
            <w:rStyle w:val="Hyperlink"/>
            <w:rFonts w:cs="Arial"/>
            <w:sz w:val="24"/>
            <w:szCs w:val="24"/>
          </w:rPr>
          <w:t>http://www.bolero.net/home/electronic-bills-lading/</w:t>
        </w:r>
      </w:hyperlink>
      <w:r w:rsidR="00D2467E">
        <w:rPr>
          <w:rFonts w:cs="Arial"/>
          <w:sz w:val="24"/>
          <w:szCs w:val="24"/>
        </w:rPr>
        <w:t xml:space="preserve"> </w:t>
      </w:r>
      <w:r>
        <w:rPr>
          <w:rFonts w:cs="Arial"/>
          <w:sz w:val="24"/>
          <w:szCs w:val="24"/>
        </w:rPr>
        <w:t xml:space="preserve">) with newer systems developed by ESS </w:t>
      </w:r>
      <w:r w:rsidR="00905631">
        <w:rPr>
          <w:rFonts w:cs="Arial"/>
          <w:sz w:val="24"/>
          <w:szCs w:val="24"/>
        </w:rPr>
        <w:t>(</w:t>
      </w:r>
      <w:hyperlink r:id="rId31" w:history="1">
        <w:r w:rsidR="00905631" w:rsidRPr="00041C9A">
          <w:rPr>
            <w:rStyle w:val="Hyperlink"/>
            <w:rFonts w:cs="Arial"/>
            <w:sz w:val="24"/>
            <w:szCs w:val="24"/>
          </w:rPr>
          <w:t>https://www.essdocs.com/</w:t>
        </w:r>
      </w:hyperlink>
      <w:r w:rsidR="00905631">
        <w:rPr>
          <w:rFonts w:cs="Arial"/>
          <w:sz w:val="24"/>
          <w:szCs w:val="24"/>
        </w:rPr>
        <w:t xml:space="preserve">) </w:t>
      </w:r>
      <w:r>
        <w:rPr>
          <w:rFonts w:cs="Arial"/>
          <w:sz w:val="24"/>
          <w:szCs w:val="24"/>
        </w:rPr>
        <w:t>and E-title</w:t>
      </w:r>
      <w:r w:rsidR="00905631">
        <w:rPr>
          <w:rFonts w:cs="Arial"/>
          <w:sz w:val="24"/>
          <w:szCs w:val="24"/>
        </w:rPr>
        <w:t xml:space="preserve"> (</w:t>
      </w:r>
      <w:hyperlink r:id="rId32" w:history="1">
        <w:r w:rsidR="00905631" w:rsidRPr="00041C9A">
          <w:rPr>
            <w:rStyle w:val="Hyperlink"/>
            <w:rFonts w:cs="Arial"/>
            <w:sz w:val="24"/>
            <w:szCs w:val="24"/>
          </w:rPr>
          <w:t>http://www.e-title.net/</w:t>
        </w:r>
      </w:hyperlink>
      <w:r w:rsidR="00905631">
        <w:rPr>
          <w:rFonts w:cs="Arial"/>
          <w:sz w:val="24"/>
          <w:szCs w:val="24"/>
        </w:rPr>
        <w:t>)</w:t>
      </w:r>
      <w:r>
        <w:rPr>
          <w:rFonts w:cs="Arial"/>
          <w:sz w:val="24"/>
          <w:szCs w:val="24"/>
        </w:rPr>
        <w:t xml:space="preserve">.  </w:t>
      </w:r>
      <w:r w:rsidR="000A2070">
        <w:rPr>
          <w:rFonts w:cs="Arial"/>
          <w:sz w:val="24"/>
          <w:szCs w:val="24"/>
        </w:rPr>
        <w:t>These</w:t>
      </w:r>
      <w:r>
        <w:rPr>
          <w:rFonts w:cs="Arial"/>
          <w:sz w:val="24"/>
          <w:szCs w:val="24"/>
        </w:rPr>
        <w:t xml:space="preserve"> systems use </w:t>
      </w:r>
      <w:r w:rsidR="00B83F24">
        <w:rPr>
          <w:rFonts w:cs="Arial"/>
          <w:sz w:val="24"/>
          <w:szCs w:val="24"/>
        </w:rPr>
        <w:t xml:space="preserve">messaging </w:t>
      </w:r>
      <w:r>
        <w:rPr>
          <w:rFonts w:cs="Arial"/>
          <w:sz w:val="24"/>
          <w:szCs w:val="24"/>
        </w:rPr>
        <w:t>encryption technology for security, a multi-user contract (</w:t>
      </w:r>
      <w:r w:rsidR="00B83F24">
        <w:rPr>
          <w:rFonts w:cs="Arial"/>
          <w:sz w:val="24"/>
          <w:szCs w:val="24"/>
        </w:rPr>
        <w:t>referred to as a</w:t>
      </w:r>
      <w:r>
        <w:rPr>
          <w:rFonts w:cs="Arial"/>
          <w:sz w:val="24"/>
          <w:szCs w:val="24"/>
        </w:rPr>
        <w:t xml:space="preserve"> rule book</w:t>
      </w:r>
      <w:r w:rsidR="00B83F24">
        <w:rPr>
          <w:rFonts w:cs="Arial"/>
          <w:sz w:val="24"/>
          <w:szCs w:val="24"/>
        </w:rPr>
        <w:t xml:space="preserve"> by Bolero</w:t>
      </w:r>
      <w:r>
        <w:rPr>
          <w:rFonts w:cs="Arial"/>
          <w:sz w:val="24"/>
          <w:szCs w:val="24"/>
        </w:rPr>
        <w:t>)</w:t>
      </w:r>
      <w:r w:rsidR="00B83F24">
        <w:rPr>
          <w:rFonts w:cs="Arial"/>
          <w:sz w:val="24"/>
          <w:szCs w:val="24"/>
        </w:rPr>
        <w:t xml:space="preserve"> to provide a contractual basis for functionality, and a title registry system to </w:t>
      </w:r>
      <w:r w:rsidR="00833C14">
        <w:rPr>
          <w:rFonts w:cs="Arial"/>
          <w:sz w:val="24"/>
          <w:szCs w:val="24"/>
        </w:rPr>
        <w:t>maintain a central record of the bill and the transfers made</w:t>
      </w:r>
      <w:r w:rsidR="00B83F24">
        <w:rPr>
          <w:rFonts w:cs="Arial"/>
          <w:sz w:val="24"/>
          <w:szCs w:val="24"/>
        </w:rPr>
        <w:t>.</w:t>
      </w:r>
      <w:r w:rsidR="00785752">
        <w:rPr>
          <w:rFonts w:cs="Arial"/>
          <w:sz w:val="24"/>
          <w:szCs w:val="24"/>
        </w:rPr>
        <w:t xml:space="preserve"> The recent development </w:t>
      </w:r>
      <w:r w:rsidR="00CB1867">
        <w:rPr>
          <w:rFonts w:cs="Arial"/>
          <w:sz w:val="24"/>
          <w:szCs w:val="24"/>
        </w:rPr>
        <w:t>of blockchain technology is already beginning to genera</w:t>
      </w:r>
      <w:r w:rsidR="00833C14">
        <w:rPr>
          <w:rFonts w:cs="Arial"/>
          <w:sz w:val="24"/>
          <w:szCs w:val="24"/>
        </w:rPr>
        <w:t xml:space="preserve">te </w:t>
      </w:r>
      <w:r w:rsidR="00CB1867">
        <w:rPr>
          <w:rFonts w:cs="Arial"/>
          <w:sz w:val="24"/>
          <w:szCs w:val="24"/>
        </w:rPr>
        <w:t xml:space="preserve">new forms of e-bill systems (see </w:t>
      </w:r>
      <w:proofErr w:type="gramStart"/>
      <w:r w:rsidR="00CB1867">
        <w:rPr>
          <w:rFonts w:cs="Arial"/>
          <w:sz w:val="24"/>
          <w:szCs w:val="24"/>
        </w:rPr>
        <w:t>e.g.</w:t>
      </w:r>
      <w:proofErr w:type="gramEnd"/>
      <w:r w:rsidR="00CB1867">
        <w:rPr>
          <w:rFonts w:cs="Arial"/>
          <w:sz w:val="24"/>
          <w:szCs w:val="24"/>
        </w:rPr>
        <w:t xml:space="preserve"> </w:t>
      </w:r>
      <w:proofErr w:type="spellStart"/>
      <w:r w:rsidR="00CB1867">
        <w:rPr>
          <w:rFonts w:cs="Arial"/>
          <w:sz w:val="24"/>
          <w:szCs w:val="24"/>
        </w:rPr>
        <w:t>CargoX</w:t>
      </w:r>
      <w:proofErr w:type="spellEnd"/>
      <w:r w:rsidR="00CB1867">
        <w:rPr>
          <w:rFonts w:cs="Arial"/>
          <w:sz w:val="24"/>
          <w:szCs w:val="24"/>
        </w:rPr>
        <w:t xml:space="preserve"> smart bill of lading - </w:t>
      </w:r>
      <w:hyperlink r:id="rId33" w:history="1">
        <w:r w:rsidR="00CB1867" w:rsidRPr="00865B23">
          <w:rPr>
            <w:rStyle w:val="Hyperlink"/>
            <w:rFonts w:cs="Arial"/>
            <w:sz w:val="24"/>
            <w:szCs w:val="24"/>
          </w:rPr>
          <w:t>https://cargox.io/platform/Smart-BL/</w:t>
        </w:r>
      </w:hyperlink>
      <w:r w:rsidR="00CB1867">
        <w:rPr>
          <w:rFonts w:cs="Arial"/>
          <w:sz w:val="24"/>
          <w:szCs w:val="24"/>
        </w:rPr>
        <w:t xml:space="preserve"> ).  </w:t>
      </w:r>
      <w:r w:rsidR="00311731">
        <w:rPr>
          <w:rFonts w:cs="Arial"/>
          <w:sz w:val="24"/>
          <w:szCs w:val="24"/>
        </w:rPr>
        <w:t>I</w:t>
      </w:r>
      <w:r w:rsidR="00833C14">
        <w:rPr>
          <w:rFonts w:cs="Arial"/>
          <w:sz w:val="24"/>
          <w:szCs w:val="24"/>
        </w:rPr>
        <w:t xml:space="preserve">t seems that it is possible for it to enable direct </w:t>
      </w:r>
      <w:r w:rsidR="00311731">
        <w:rPr>
          <w:rFonts w:cs="Arial"/>
          <w:sz w:val="24"/>
          <w:szCs w:val="24"/>
        </w:rPr>
        <w:t xml:space="preserve">electronic </w:t>
      </w:r>
      <w:r w:rsidR="00833C14">
        <w:rPr>
          <w:rFonts w:cs="Arial"/>
          <w:sz w:val="24"/>
          <w:szCs w:val="24"/>
        </w:rPr>
        <w:t>transfers of</w:t>
      </w:r>
      <w:r w:rsidR="00311731">
        <w:rPr>
          <w:rFonts w:cs="Arial"/>
          <w:sz w:val="24"/>
          <w:szCs w:val="24"/>
        </w:rPr>
        <w:t xml:space="preserve"> the bill of lading ETR </w:t>
      </w:r>
      <w:r w:rsidR="00CB2956">
        <w:rPr>
          <w:rFonts w:cs="Arial"/>
          <w:sz w:val="24"/>
          <w:szCs w:val="24"/>
        </w:rPr>
        <w:t xml:space="preserve">without relying on a central </w:t>
      </w:r>
      <w:r w:rsidR="00D3177B">
        <w:rPr>
          <w:rFonts w:cs="Arial"/>
          <w:sz w:val="24"/>
          <w:szCs w:val="24"/>
        </w:rPr>
        <w:t>registry</w:t>
      </w:r>
      <w:r w:rsidR="00311731">
        <w:rPr>
          <w:rFonts w:cs="Arial"/>
          <w:sz w:val="24"/>
          <w:szCs w:val="24"/>
        </w:rPr>
        <w:t xml:space="preserve"> (see Ong,  </w:t>
      </w:r>
      <w:hyperlink r:id="rId34" w:history="1">
        <w:r w:rsidR="00311731" w:rsidRPr="00605F48">
          <w:rPr>
            <w:rStyle w:val="Hyperlink"/>
            <w:rFonts w:cs="Arial"/>
            <w:sz w:val="24"/>
            <w:szCs w:val="24"/>
          </w:rPr>
          <w:t>https://law.nus.edu.sg/cml/pdfs/wps/CML-WPS-1807.pdf</w:t>
        </w:r>
      </w:hyperlink>
      <w:r w:rsidR="00311731">
        <w:rPr>
          <w:rFonts w:cs="Arial"/>
          <w:sz w:val="24"/>
          <w:szCs w:val="24"/>
        </w:rPr>
        <w:t xml:space="preserve"> ).</w:t>
      </w:r>
      <w:r w:rsidR="00833C14">
        <w:rPr>
          <w:rFonts w:cs="Arial"/>
          <w:sz w:val="24"/>
          <w:szCs w:val="24"/>
        </w:rPr>
        <w:t xml:space="preserve"> </w:t>
      </w:r>
      <w:r w:rsidR="00311731">
        <w:rPr>
          <w:rFonts w:cs="Arial"/>
          <w:sz w:val="24"/>
          <w:szCs w:val="24"/>
        </w:rPr>
        <w:t xml:space="preserve"> It is not clear yet how far this will easily receive legal recognition.</w:t>
      </w:r>
    </w:p>
    <w:p w14:paraId="2E8A0945" w14:textId="77777777" w:rsidR="000C26B2" w:rsidRPr="009C69FE" w:rsidRDefault="000C26B2" w:rsidP="000C26B2">
      <w:pPr>
        <w:rPr>
          <w:rFonts w:cs="Arial"/>
          <w:b/>
          <w:sz w:val="24"/>
          <w:szCs w:val="24"/>
        </w:rPr>
      </w:pPr>
      <w:r w:rsidRPr="009C69FE">
        <w:rPr>
          <w:rFonts w:cs="Arial"/>
          <w:sz w:val="24"/>
          <w:szCs w:val="24"/>
        </w:rPr>
        <w:br/>
      </w:r>
      <w:r w:rsidR="002C3484" w:rsidRPr="009C69FE">
        <w:rPr>
          <w:rFonts w:cs="Arial"/>
          <w:b/>
          <w:sz w:val="24"/>
          <w:szCs w:val="24"/>
        </w:rPr>
        <w:t>3.</w:t>
      </w:r>
      <w:r w:rsidR="007B0946" w:rsidRPr="009C69FE">
        <w:rPr>
          <w:rFonts w:cs="Arial"/>
          <w:b/>
          <w:sz w:val="24"/>
          <w:szCs w:val="24"/>
        </w:rPr>
        <w:t>4</w:t>
      </w:r>
      <w:r w:rsidRPr="009C69FE">
        <w:rPr>
          <w:rFonts w:cs="Arial"/>
          <w:b/>
          <w:sz w:val="24"/>
          <w:szCs w:val="24"/>
        </w:rPr>
        <w:t xml:space="preserve"> Rail – the old and the new</w:t>
      </w:r>
      <w:r w:rsidRPr="009C69FE">
        <w:rPr>
          <w:rFonts w:cs="Arial"/>
          <w:b/>
          <w:sz w:val="24"/>
          <w:szCs w:val="24"/>
        </w:rPr>
        <w:br/>
      </w:r>
      <w:r w:rsidRPr="009C69FE">
        <w:rPr>
          <w:rFonts w:cs="Arial"/>
          <w:sz w:val="24"/>
          <w:szCs w:val="24"/>
        </w:rPr>
        <w:lastRenderedPageBreak/>
        <w:br/>
      </w:r>
      <w:r w:rsidR="007B0946" w:rsidRPr="009C69FE">
        <w:rPr>
          <w:rFonts w:cs="Arial"/>
          <w:b/>
          <w:sz w:val="24"/>
          <w:szCs w:val="24"/>
        </w:rPr>
        <w:t>3.4.1</w:t>
      </w:r>
      <w:r w:rsidR="007B0946" w:rsidRPr="009C69FE">
        <w:rPr>
          <w:rFonts w:cs="Arial"/>
          <w:sz w:val="24"/>
          <w:szCs w:val="24"/>
        </w:rPr>
        <w:t xml:space="preserve"> </w:t>
      </w:r>
      <w:r w:rsidR="00D456E4" w:rsidRPr="009C69FE">
        <w:rPr>
          <w:rFonts w:cs="Arial"/>
          <w:sz w:val="24"/>
          <w:szCs w:val="24"/>
        </w:rPr>
        <w:t>As noted above c</w:t>
      </w:r>
      <w:r w:rsidRPr="009C69FE">
        <w:rPr>
          <w:rFonts w:cs="Arial"/>
          <w:sz w:val="24"/>
          <w:szCs w:val="24"/>
        </w:rPr>
        <w:t>ontracts for international rail transport have been regulated in Europe since the 19</w:t>
      </w:r>
      <w:r w:rsidRPr="009C69FE">
        <w:rPr>
          <w:rFonts w:cs="Arial"/>
          <w:sz w:val="24"/>
          <w:szCs w:val="24"/>
          <w:vertAlign w:val="superscript"/>
        </w:rPr>
        <w:t>th</w:t>
      </w:r>
      <w:r w:rsidRPr="009C69FE">
        <w:rPr>
          <w:rFonts w:cs="Arial"/>
          <w:sz w:val="24"/>
          <w:szCs w:val="24"/>
        </w:rPr>
        <w:t xml:space="preserve"> century.  The last major system was contained in the COTIF Convention 1980 a part of which were the CIM Rules governing international carriage of goods by rail (for passengers there are the CIV Rules).  </w:t>
      </w:r>
      <w:r w:rsidR="00D456E4" w:rsidRPr="009C69FE">
        <w:rPr>
          <w:rFonts w:cs="Arial"/>
          <w:sz w:val="24"/>
          <w:szCs w:val="24"/>
        </w:rPr>
        <w:t xml:space="preserve">This system was still essentially in line with the way the Convention had operated for decades.  </w:t>
      </w:r>
      <w:r w:rsidRPr="009C69FE">
        <w:rPr>
          <w:rFonts w:cs="Arial"/>
          <w:sz w:val="24"/>
          <w:szCs w:val="24"/>
        </w:rPr>
        <w:t>This sys</w:t>
      </w:r>
      <w:r w:rsidR="00D456E4" w:rsidRPr="009C69FE">
        <w:rPr>
          <w:rFonts w:cs="Arial"/>
          <w:sz w:val="24"/>
          <w:szCs w:val="24"/>
        </w:rPr>
        <w:t>tem was</w:t>
      </w:r>
      <w:r w:rsidRPr="009C69FE">
        <w:rPr>
          <w:rFonts w:cs="Arial"/>
          <w:sz w:val="24"/>
          <w:szCs w:val="24"/>
        </w:rPr>
        <w:t xml:space="preserve"> replaced </w:t>
      </w:r>
      <w:r w:rsidR="00D456E4" w:rsidRPr="009C69FE">
        <w:rPr>
          <w:rFonts w:cs="Arial"/>
          <w:sz w:val="24"/>
          <w:szCs w:val="24"/>
        </w:rPr>
        <w:t xml:space="preserve">and radically altered </w:t>
      </w:r>
      <w:r w:rsidRPr="009C69FE">
        <w:rPr>
          <w:rFonts w:cs="Arial"/>
          <w:sz w:val="24"/>
          <w:szCs w:val="24"/>
        </w:rPr>
        <w:t>by a new COTIF convention as contained in the Protocol o</w:t>
      </w:r>
      <w:r w:rsidR="00676211" w:rsidRPr="009C69FE">
        <w:rPr>
          <w:rFonts w:cs="Arial"/>
          <w:sz w:val="24"/>
          <w:szCs w:val="24"/>
        </w:rPr>
        <w:t xml:space="preserve">f Vilnius 1999 and which </w:t>
      </w:r>
      <w:r w:rsidR="00490864" w:rsidRPr="009C69FE">
        <w:rPr>
          <w:rFonts w:cs="Arial"/>
          <w:sz w:val="24"/>
          <w:szCs w:val="24"/>
        </w:rPr>
        <w:t>includes</w:t>
      </w:r>
      <w:r w:rsidRPr="009C69FE">
        <w:rPr>
          <w:rFonts w:cs="Arial"/>
          <w:sz w:val="24"/>
          <w:szCs w:val="24"/>
        </w:rPr>
        <w:t xml:space="preserve"> new CIM uniform rules (URCIM – Appendix B of new COTIF</w:t>
      </w:r>
      <w:r w:rsidR="00676211" w:rsidRPr="009C69FE">
        <w:rPr>
          <w:rFonts w:cs="Arial"/>
          <w:sz w:val="24"/>
          <w:szCs w:val="24"/>
        </w:rPr>
        <w:t>)</w:t>
      </w:r>
      <w:r w:rsidRPr="009C69FE">
        <w:rPr>
          <w:rFonts w:cs="Arial"/>
          <w:sz w:val="24"/>
          <w:szCs w:val="24"/>
        </w:rPr>
        <w:t>.  The new system takes account of EU requirements to liberalise access to rail infrastructure (91/440/EEC) which necessitated control of rail infrastructure to be split from operations.</w:t>
      </w:r>
      <w:r w:rsidR="009C4299" w:rsidRPr="009C69FE">
        <w:rPr>
          <w:rFonts w:cs="Arial"/>
          <w:sz w:val="24"/>
          <w:szCs w:val="24"/>
        </w:rPr>
        <w:t xml:space="preserve"> </w:t>
      </w:r>
      <w:r w:rsidR="002C3484" w:rsidRPr="009C69FE">
        <w:rPr>
          <w:rFonts w:cs="Arial"/>
          <w:sz w:val="24"/>
          <w:szCs w:val="24"/>
        </w:rPr>
        <w:t xml:space="preserve"> It is helpful in understanding the new system to have an idea of how the old system operated.</w:t>
      </w:r>
      <w:r w:rsidRPr="009C69FE">
        <w:rPr>
          <w:rFonts w:cs="Arial"/>
          <w:sz w:val="24"/>
          <w:szCs w:val="24"/>
        </w:rPr>
        <w:br/>
      </w:r>
      <w:r w:rsidRPr="009C69FE">
        <w:rPr>
          <w:rFonts w:cs="Arial"/>
          <w:sz w:val="24"/>
          <w:szCs w:val="24"/>
        </w:rPr>
        <w:br/>
      </w:r>
      <w:r w:rsidR="007B0946" w:rsidRPr="009C69FE">
        <w:rPr>
          <w:rFonts w:cs="Arial"/>
          <w:b/>
          <w:sz w:val="24"/>
          <w:szCs w:val="24"/>
        </w:rPr>
        <w:t>3.4.2</w:t>
      </w:r>
      <w:r w:rsidRPr="009C69FE">
        <w:rPr>
          <w:rFonts w:cs="Arial"/>
          <w:b/>
          <w:sz w:val="24"/>
          <w:szCs w:val="24"/>
        </w:rPr>
        <w:t xml:space="preserve"> Old </w:t>
      </w:r>
      <w:proofErr w:type="gramStart"/>
      <w:r w:rsidRPr="009C69FE">
        <w:rPr>
          <w:rFonts w:cs="Arial"/>
          <w:b/>
          <w:sz w:val="24"/>
          <w:szCs w:val="24"/>
        </w:rPr>
        <w:t>system</w:t>
      </w:r>
      <w:proofErr w:type="gramEnd"/>
    </w:p>
    <w:p w14:paraId="00926773" w14:textId="77777777" w:rsidR="000C26B2" w:rsidRPr="009C69FE" w:rsidRDefault="000C26B2" w:rsidP="000C26B2">
      <w:pPr>
        <w:rPr>
          <w:rFonts w:cs="Arial"/>
          <w:sz w:val="24"/>
          <w:szCs w:val="24"/>
        </w:rPr>
      </w:pPr>
      <w:r w:rsidRPr="009C69FE">
        <w:rPr>
          <w:rFonts w:cs="Arial"/>
          <w:sz w:val="24"/>
          <w:szCs w:val="24"/>
        </w:rPr>
        <w:t xml:space="preserve">The former rules were based on the concept of participating states being members of a collective group (the International Organization for International Carriage by Rail – OTIF).  Over 40 states eventually registered their railways into the system under COTIF 1980 which was administered under a high level of control through the Central Office for International Carriage by Rail (OCTI).  Railways were placed under an obligation to </w:t>
      </w:r>
      <w:proofErr w:type="gramStart"/>
      <w:r w:rsidRPr="009C69FE">
        <w:rPr>
          <w:rFonts w:cs="Arial"/>
          <w:sz w:val="24"/>
          <w:szCs w:val="24"/>
        </w:rPr>
        <w:t>carry</w:t>
      </w:r>
      <w:proofErr w:type="gramEnd"/>
      <w:r w:rsidRPr="009C69FE">
        <w:rPr>
          <w:rFonts w:cs="Arial"/>
          <w:sz w:val="24"/>
          <w:szCs w:val="24"/>
        </w:rPr>
        <w:t xml:space="preserve"> and the operation of their tariffs was regulated through the Convention.  Aspects of the relationship between railways involved with international carriage were dealt with as matters of administration rather than contract.  The older system operated mainly among the countries of Western Europe.  The old soviet </w:t>
      </w:r>
      <w:proofErr w:type="spellStart"/>
      <w:r w:rsidRPr="009C69FE">
        <w:rPr>
          <w:rFonts w:cs="Arial"/>
          <w:sz w:val="24"/>
          <w:szCs w:val="24"/>
        </w:rPr>
        <w:t>block</w:t>
      </w:r>
      <w:proofErr w:type="spellEnd"/>
      <w:r w:rsidRPr="009C69FE">
        <w:rPr>
          <w:rFonts w:cs="Arial"/>
          <w:sz w:val="24"/>
          <w:szCs w:val="24"/>
        </w:rPr>
        <w:t xml:space="preserve"> operated under the SMGS system.  </w:t>
      </w:r>
      <w:r w:rsidR="00C12216">
        <w:rPr>
          <w:rFonts w:cs="Arial"/>
          <w:sz w:val="24"/>
          <w:szCs w:val="24"/>
        </w:rPr>
        <w:t xml:space="preserve">Today countries in Eastern Europe including Russia are </w:t>
      </w:r>
      <w:r w:rsidR="00237966">
        <w:rPr>
          <w:rFonts w:cs="Arial"/>
          <w:sz w:val="24"/>
          <w:szCs w:val="24"/>
        </w:rPr>
        <w:t xml:space="preserve">members of both systems </w:t>
      </w:r>
      <w:r w:rsidRPr="009C69FE">
        <w:rPr>
          <w:rFonts w:cs="Arial"/>
          <w:sz w:val="24"/>
          <w:szCs w:val="24"/>
        </w:rPr>
        <w:t xml:space="preserve">and </w:t>
      </w:r>
      <w:r w:rsidR="002C3484" w:rsidRPr="009C69FE">
        <w:rPr>
          <w:rFonts w:cs="Arial"/>
          <w:sz w:val="24"/>
          <w:szCs w:val="24"/>
        </w:rPr>
        <w:t xml:space="preserve">as noted above </w:t>
      </w:r>
      <w:r w:rsidRPr="009C69FE">
        <w:rPr>
          <w:rFonts w:cs="Arial"/>
          <w:sz w:val="24"/>
          <w:szCs w:val="24"/>
        </w:rPr>
        <w:t xml:space="preserve">there are currently moves to bring the two systems into alignment.    </w:t>
      </w:r>
    </w:p>
    <w:p w14:paraId="0B974FEB" w14:textId="77777777" w:rsidR="000C26B2" w:rsidRPr="009C69FE" w:rsidRDefault="000C26B2" w:rsidP="000C26B2">
      <w:pPr>
        <w:rPr>
          <w:rFonts w:cs="Arial"/>
          <w:sz w:val="24"/>
          <w:szCs w:val="24"/>
        </w:rPr>
      </w:pPr>
      <w:r w:rsidRPr="009C69FE">
        <w:rPr>
          <w:rFonts w:cs="Arial"/>
          <w:sz w:val="24"/>
          <w:szCs w:val="24"/>
        </w:rPr>
        <w:t xml:space="preserve">The application of the convention depended on </w:t>
      </w:r>
      <w:proofErr w:type="gramStart"/>
      <w:r w:rsidRPr="009C69FE">
        <w:rPr>
          <w:rFonts w:cs="Arial"/>
          <w:sz w:val="24"/>
          <w:szCs w:val="24"/>
        </w:rPr>
        <w:t>a number of</w:t>
      </w:r>
      <w:proofErr w:type="gramEnd"/>
      <w:r w:rsidRPr="009C69FE">
        <w:rPr>
          <w:rFonts w:cs="Arial"/>
          <w:sz w:val="24"/>
          <w:szCs w:val="24"/>
        </w:rPr>
        <w:t xml:space="preserve"> practical facts rather than agreement as such although its concern was essentially with the contractual relations between customer and railway.  It applied where a consignment was sent under a through consignment note made out for a route over the territories of at least two states and exclusively over the lines or services included in a list maintained by OCTI.   Correct documentation and registration were therefore crucial to the application of the system. </w:t>
      </w:r>
    </w:p>
    <w:p w14:paraId="46E19322" w14:textId="77777777" w:rsidR="000C26B2" w:rsidRPr="009C69FE" w:rsidRDefault="007B0946" w:rsidP="000C26B2">
      <w:pPr>
        <w:rPr>
          <w:rFonts w:cs="Arial"/>
          <w:b/>
          <w:sz w:val="24"/>
          <w:szCs w:val="24"/>
        </w:rPr>
      </w:pPr>
      <w:r w:rsidRPr="009C69FE">
        <w:rPr>
          <w:rFonts w:cs="Arial"/>
          <w:b/>
          <w:sz w:val="24"/>
          <w:szCs w:val="24"/>
        </w:rPr>
        <w:t>3.4</w:t>
      </w:r>
      <w:r w:rsidR="00985BF1" w:rsidRPr="009C69FE">
        <w:rPr>
          <w:rFonts w:cs="Arial"/>
          <w:b/>
          <w:sz w:val="24"/>
          <w:szCs w:val="24"/>
        </w:rPr>
        <w:t>.</w:t>
      </w:r>
      <w:r w:rsidRPr="009C69FE">
        <w:rPr>
          <w:rFonts w:cs="Arial"/>
          <w:b/>
          <w:sz w:val="24"/>
          <w:szCs w:val="24"/>
        </w:rPr>
        <w:t>3</w:t>
      </w:r>
      <w:r w:rsidR="000C26B2" w:rsidRPr="009C69FE">
        <w:rPr>
          <w:rFonts w:cs="Arial"/>
          <w:b/>
          <w:sz w:val="24"/>
          <w:szCs w:val="24"/>
        </w:rPr>
        <w:t xml:space="preserve"> New system</w:t>
      </w:r>
    </w:p>
    <w:p w14:paraId="56D65D7F" w14:textId="77777777" w:rsidR="000C26B2" w:rsidRPr="009C69FE" w:rsidRDefault="000C26B2" w:rsidP="000C26B2">
      <w:pPr>
        <w:rPr>
          <w:rFonts w:cs="Arial"/>
          <w:sz w:val="24"/>
          <w:szCs w:val="24"/>
        </w:rPr>
      </w:pPr>
      <w:r w:rsidRPr="009C69FE">
        <w:rPr>
          <w:rFonts w:cs="Arial"/>
          <w:sz w:val="24"/>
          <w:szCs w:val="24"/>
        </w:rPr>
        <w:t xml:space="preserve">Under the new system member states still form part of a collective organisation but there is now more emphasis on agreement rather than administration.  OCTI ceased to </w:t>
      </w:r>
      <w:proofErr w:type="gramStart"/>
      <w:r w:rsidRPr="009C69FE">
        <w:rPr>
          <w:rFonts w:cs="Arial"/>
          <w:sz w:val="24"/>
          <w:szCs w:val="24"/>
        </w:rPr>
        <w:t>exist</w:t>
      </w:r>
      <w:proofErr w:type="gramEnd"/>
      <w:r w:rsidRPr="009C69FE">
        <w:rPr>
          <w:rFonts w:cs="Arial"/>
          <w:sz w:val="24"/>
          <w:szCs w:val="24"/>
        </w:rPr>
        <w:t xml:space="preserve"> and its work transferred to the control of a Secretary General elected by the General Assembly of OTIF.  The obligation to carry no longer exists and there is no need for states to register lists of lines.  A list of services is, however, maintained by the Secretary General in respect of complementary maritime and inland waterway services (see later).</w:t>
      </w:r>
    </w:p>
    <w:p w14:paraId="78CDC712" w14:textId="77777777" w:rsidR="000C26B2" w:rsidRPr="009C69FE" w:rsidRDefault="000C26B2" w:rsidP="000C26B2">
      <w:pPr>
        <w:rPr>
          <w:rFonts w:cs="Arial"/>
          <w:sz w:val="24"/>
          <w:szCs w:val="24"/>
        </w:rPr>
      </w:pPr>
      <w:r w:rsidRPr="009C69FE">
        <w:rPr>
          <w:rFonts w:cs="Arial"/>
          <w:sz w:val="24"/>
          <w:szCs w:val="24"/>
        </w:rPr>
        <w:t xml:space="preserve">New </w:t>
      </w:r>
      <w:r w:rsidR="00985BF1" w:rsidRPr="009C69FE">
        <w:rPr>
          <w:rFonts w:cs="Arial"/>
          <w:sz w:val="24"/>
          <w:szCs w:val="24"/>
        </w:rPr>
        <w:t xml:space="preserve">COTIF and the new version of the </w:t>
      </w:r>
      <w:r w:rsidRPr="009C69FE">
        <w:rPr>
          <w:rFonts w:cs="Arial"/>
          <w:sz w:val="24"/>
          <w:szCs w:val="24"/>
        </w:rPr>
        <w:t xml:space="preserve">CIM </w:t>
      </w:r>
      <w:r w:rsidR="00985BF1" w:rsidRPr="009C69FE">
        <w:rPr>
          <w:rFonts w:cs="Arial"/>
          <w:sz w:val="24"/>
          <w:szCs w:val="24"/>
        </w:rPr>
        <w:t xml:space="preserve">Rules </w:t>
      </w:r>
      <w:r w:rsidR="00676211" w:rsidRPr="009C69FE">
        <w:rPr>
          <w:rFonts w:cs="Arial"/>
          <w:sz w:val="24"/>
          <w:szCs w:val="24"/>
        </w:rPr>
        <w:t xml:space="preserve">(URCIM) is in force in the UK </w:t>
      </w:r>
      <w:r w:rsidR="00E3193B" w:rsidRPr="009C69FE">
        <w:rPr>
          <w:rFonts w:cs="Arial"/>
          <w:sz w:val="24"/>
          <w:szCs w:val="24"/>
        </w:rPr>
        <w:t>by virtue of the Railways and Transport Safety Act 2003 and</w:t>
      </w:r>
      <w:r w:rsidR="00676211" w:rsidRPr="009C69FE">
        <w:rPr>
          <w:rFonts w:cs="Arial"/>
          <w:sz w:val="24"/>
          <w:szCs w:val="24"/>
        </w:rPr>
        <w:t xml:space="preserve"> The Railways (Convention on International Carriage by Rail) Regulations 2005, SI 2005 No 2092 </w:t>
      </w:r>
      <w:r w:rsidR="00985BF1" w:rsidRPr="009C69FE">
        <w:rPr>
          <w:rFonts w:cs="Arial"/>
          <w:sz w:val="24"/>
          <w:szCs w:val="24"/>
        </w:rPr>
        <w:t>(Regulation 3(1))</w:t>
      </w:r>
      <w:r w:rsidR="00676211" w:rsidRPr="009C69FE">
        <w:rPr>
          <w:rFonts w:cs="Arial"/>
          <w:sz w:val="24"/>
          <w:szCs w:val="24"/>
        </w:rPr>
        <w:t xml:space="preserve">.  The Rules </w:t>
      </w:r>
      <w:r w:rsidR="00B3550B" w:rsidRPr="009C69FE">
        <w:rPr>
          <w:rFonts w:cs="Arial"/>
          <w:sz w:val="24"/>
          <w:szCs w:val="24"/>
        </w:rPr>
        <w:t>(</w:t>
      </w:r>
      <w:hyperlink r:id="rId35" w:history="1">
        <w:r w:rsidR="004B2C14" w:rsidRPr="009C69FE">
          <w:rPr>
            <w:rStyle w:val="Hyperlink"/>
            <w:rFonts w:cs="Arial"/>
            <w:sz w:val="24"/>
            <w:szCs w:val="24"/>
          </w:rPr>
          <w:t>http://otif.org/fileadmin/user_upload/otif_verlinkte_files/07_veroeff/03_erlaeut/05_Appendix_B.pdf</w:t>
        </w:r>
      </w:hyperlink>
      <w:r w:rsidR="004B2C14" w:rsidRPr="009C69FE">
        <w:rPr>
          <w:rFonts w:cs="Arial"/>
          <w:sz w:val="24"/>
          <w:szCs w:val="24"/>
        </w:rPr>
        <w:t xml:space="preserve">) </w:t>
      </w:r>
      <w:r w:rsidR="00676211" w:rsidRPr="009C69FE">
        <w:rPr>
          <w:rFonts w:cs="Arial"/>
          <w:sz w:val="24"/>
          <w:szCs w:val="24"/>
        </w:rPr>
        <w:t>apply</w:t>
      </w:r>
      <w:r w:rsidRPr="009C69FE">
        <w:rPr>
          <w:rFonts w:cs="Arial"/>
          <w:sz w:val="24"/>
          <w:szCs w:val="24"/>
        </w:rPr>
        <w:t xml:space="preserve"> to contracts of carriage of goods by rail for reward when the place of taking over the goods and the place designated for delivery are situated in two different </w:t>
      </w:r>
      <w:r w:rsidRPr="009C69FE">
        <w:rPr>
          <w:rFonts w:cs="Arial"/>
          <w:sz w:val="24"/>
          <w:szCs w:val="24"/>
        </w:rPr>
        <w:lastRenderedPageBreak/>
        <w:t>member states, irrespective of the place of business and the nationality of the parties (art.1(1)).  Compare CMR.</w:t>
      </w:r>
    </w:p>
    <w:p w14:paraId="095AFA00" w14:textId="77777777" w:rsidR="000C26B2" w:rsidRPr="009C69FE" w:rsidRDefault="000C26B2" w:rsidP="000C26B2">
      <w:pPr>
        <w:rPr>
          <w:rFonts w:cs="Arial"/>
          <w:sz w:val="24"/>
          <w:szCs w:val="24"/>
        </w:rPr>
      </w:pPr>
      <w:r w:rsidRPr="009C69FE">
        <w:rPr>
          <w:rFonts w:cs="Arial"/>
          <w:sz w:val="24"/>
          <w:szCs w:val="24"/>
        </w:rPr>
        <w:t xml:space="preserve">The parties can also expressly agree that the rules can apply when either state is a contracting state (art.1(2)).  This is designed to enable </w:t>
      </w:r>
      <w:r w:rsidR="00985BF1" w:rsidRPr="009C69FE">
        <w:rPr>
          <w:rFonts w:cs="Arial"/>
          <w:sz w:val="24"/>
          <w:szCs w:val="24"/>
        </w:rPr>
        <w:t>UR</w:t>
      </w:r>
      <w:r w:rsidRPr="009C69FE">
        <w:rPr>
          <w:rFonts w:cs="Arial"/>
          <w:sz w:val="24"/>
          <w:szCs w:val="24"/>
        </w:rPr>
        <w:t xml:space="preserve">CIM to cover movements connected to SMGS states.  </w:t>
      </w:r>
    </w:p>
    <w:p w14:paraId="02357A3E" w14:textId="77777777" w:rsidR="00A3656F" w:rsidRPr="009C69FE" w:rsidRDefault="001D4231" w:rsidP="000C26B2">
      <w:pPr>
        <w:rPr>
          <w:rFonts w:cs="Arial"/>
          <w:sz w:val="24"/>
          <w:szCs w:val="24"/>
        </w:rPr>
      </w:pPr>
      <w:r w:rsidRPr="009C69FE">
        <w:rPr>
          <w:rFonts w:cs="Arial"/>
          <w:b/>
          <w:sz w:val="24"/>
          <w:szCs w:val="24"/>
        </w:rPr>
        <w:t>3.4.4</w:t>
      </w:r>
      <w:r w:rsidR="00985BF1" w:rsidRPr="009C69FE">
        <w:rPr>
          <w:rFonts w:cs="Arial"/>
          <w:b/>
          <w:sz w:val="24"/>
          <w:szCs w:val="24"/>
        </w:rPr>
        <w:t xml:space="preserve"> </w:t>
      </w:r>
      <w:r w:rsidR="000C26B2" w:rsidRPr="009C69FE">
        <w:rPr>
          <w:rFonts w:cs="Arial"/>
          <w:b/>
          <w:sz w:val="24"/>
          <w:szCs w:val="24"/>
        </w:rPr>
        <w:t>Exclusion</w:t>
      </w:r>
      <w:r w:rsidR="000C26B2" w:rsidRPr="009C69FE">
        <w:rPr>
          <w:rFonts w:cs="Arial"/>
          <w:b/>
          <w:sz w:val="24"/>
          <w:szCs w:val="24"/>
        </w:rPr>
        <w:br/>
      </w:r>
      <w:r w:rsidR="00A3656F" w:rsidRPr="009C69FE">
        <w:rPr>
          <w:rFonts w:cs="Arial"/>
          <w:sz w:val="24"/>
          <w:szCs w:val="24"/>
        </w:rPr>
        <w:br/>
      </w:r>
      <w:r w:rsidR="000C26B2" w:rsidRPr="009C69FE">
        <w:rPr>
          <w:rFonts w:cs="Arial"/>
          <w:sz w:val="24"/>
          <w:szCs w:val="24"/>
        </w:rPr>
        <w:t>The Rules do not apply between neighbouring states when the management of the infrastructure is under the control of only one of them (art.1(5)).</w:t>
      </w:r>
    </w:p>
    <w:p w14:paraId="589F3E64" w14:textId="77777777" w:rsidR="000C26B2" w:rsidRPr="009C69FE" w:rsidRDefault="007C23D7" w:rsidP="000C26B2">
      <w:pPr>
        <w:rPr>
          <w:sz w:val="24"/>
          <w:szCs w:val="24"/>
        </w:rPr>
      </w:pPr>
      <w:r w:rsidRPr="009C69FE">
        <w:rPr>
          <w:rFonts w:cs="Arial"/>
          <w:sz w:val="24"/>
          <w:szCs w:val="24"/>
        </w:rPr>
        <w:t>Also under art 4</w:t>
      </w:r>
      <w:r w:rsidR="00F61A9D">
        <w:rPr>
          <w:rFonts w:cs="Arial"/>
          <w:sz w:val="24"/>
          <w:szCs w:val="24"/>
        </w:rPr>
        <w:t>.</w:t>
      </w:r>
      <w:r w:rsidRPr="009C69FE">
        <w:rPr>
          <w:rFonts w:cs="Arial"/>
          <w:sz w:val="24"/>
          <w:szCs w:val="24"/>
        </w:rPr>
        <w:t>(1)</w:t>
      </w:r>
      <w:r w:rsidRPr="009C69FE">
        <w:rPr>
          <w:sz w:val="24"/>
          <w:szCs w:val="24"/>
        </w:rPr>
        <w:t xml:space="preserve"> Member States may conclude agreements which provide for derogations from these Uniform Rules for carriage performed exclusively between two stations on either side of the frontier, when there is no other station between them and </w:t>
      </w:r>
      <w:r w:rsidR="00F61A9D">
        <w:rPr>
          <w:sz w:val="24"/>
          <w:szCs w:val="24"/>
        </w:rPr>
        <w:t xml:space="preserve">by </w:t>
      </w:r>
      <w:r w:rsidRPr="009C69FE">
        <w:rPr>
          <w:sz w:val="24"/>
          <w:szCs w:val="24"/>
        </w:rPr>
        <w:t>art</w:t>
      </w:r>
      <w:r w:rsidR="00F61A9D">
        <w:rPr>
          <w:sz w:val="24"/>
          <w:szCs w:val="24"/>
        </w:rPr>
        <w:t>.</w:t>
      </w:r>
      <w:r w:rsidRPr="009C69FE">
        <w:rPr>
          <w:sz w:val="24"/>
          <w:szCs w:val="24"/>
        </w:rPr>
        <w:t xml:space="preserve"> 4(2) </w:t>
      </w:r>
      <w:r w:rsidR="00F61A9D">
        <w:rPr>
          <w:sz w:val="24"/>
          <w:szCs w:val="24"/>
        </w:rPr>
        <w:t>f</w:t>
      </w:r>
      <w:r w:rsidRPr="009C69FE">
        <w:rPr>
          <w:sz w:val="24"/>
          <w:szCs w:val="24"/>
        </w:rPr>
        <w:t>or carriage performed between two Member States, passing through a State which is not a Member State, the States concerned may conclude agreements which derogate from these Uniform Rules.</w:t>
      </w:r>
    </w:p>
    <w:p w14:paraId="70296010" w14:textId="77777777" w:rsidR="007C23D7" w:rsidRPr="009C69FE" w:rsidRDefault="007C23D7" w:rsidP="000C26B2">
      <w:pPr>
        <w:rPr>
          <w:sz w:val="24"/>
          <w:szCs w:val="24"/>
        </w:rPr>
      </w:pPr>
      <w:r w:rsidRPr="009C69FE">
        <w:rPr>
          <w:sz w:val="24"/>
          <w:szCs w:val="24"/>
        </w:rPr>
        <w:t xml:space="preserve">Under art 4(1) the UK </w:t>
      </w:r>
      <w:r w:rsidR="00707FAD" w:rsidRPr="009C69FE">
        <w:rPr>
          <w:sz w:val="24"/>
          <w:szCs w:val="24"/>
        </w:rPr>
        <w:t xml:space="preserve">and France </w:t>
      </w:r>
      <w:r w:rsidRPr="009C69FE">
        <w:rPr>
          <w:sz w:val="24"/>
          <w:szCs w:val="24"/>
        </w:rPr>
        <w:t>agreed to exclude Eurotunnel operations from CIM.</w:t>
      </w:r>
      <w:r w:rsidR="00707FAD" w:rsidRPr="009C69FE">
        <w:rPr>
          <w:sz w:val="24"/>
          <w:szCs w:val="24"/>
        </w:rPr>
        <w:t xml:space="preserve"> Other rail services passing through the tunnel are not affected by this.</w:t>
      </w:r>
    </w:p>
    <w:p w14:paraId="7E573F91" w14:textId="77777777" w:rsidR="000C26B2" w:rsidRPr="009C69FE" w:rsidRDefault="001D4231" w:rsidP="000C26B2">
      <w:pPr>
        <w:rPr>
          <w:rFonts w:cs="Arial"/>
          <w:sz w:val="24"/>
          <w:szCs w:val="24"/>
        </w:rPr>
      </w:pPr>
      <w:r w:rsidRPr="009C69FE">
        <w:rPr>
          <w:rFonts w:cs="Arial"/>
          <w:b/>
          <w:sz w:val="24"/>
          <w:szCs w:val="24"/>
        </w:rPr>
        <w:t>3.4.5</w:t>
      </w:r>
      <w:r w:rsidR="00985BF1" w:rsidRPr="009C69FE">
        <w:rPr>
          <w:rFonts w:cs="Arial"/>
          <w:b/>
          <w:sz w:val="24"/>
          <w:szCs w:val="24"/>
        </w:rPr>
        <w:t xml:space="preserve"> </w:t>
      </w:r>
      <w:r w:rsidR="000C26B2" w:rsidRPr="009C69FE">
        <w:rPr>
          <w:rFonts w:cs="Arial"/>
          <w:b/>
          <w:sz w:val="24"/>
          <w:szCs w:val="24"/>
        </w:rPr>
        <w:t>Documentation</w:t>
      </w:r>
      <w:r w:rsidR="000C26B2" w:rsidRPr="009C69FE">
        <w:rPr>
          <w:rFonts w:cs="Arial"/>
          <w:b/>
          <w:sz w:val="24"/>
          <w:szCs w:val="24"/>
        </w:rPr>
        <w:br/>
      </w:r>
      <w:r w:rsidR="000C26B2" w:rsidRPr="009C69FE">
        <w:rPr>
          <w:rFonts w:cs="Arial"/>
          <w:sz w:val="24"/>
          <w:szCs w:val="24"/>
        </w:rPr>
        <w:br/>
        <w:t xml:space="preserve">Unlike the old system there is no longer any compulsory requirement for a consignment note.  </w:t>
      </w:r>
      <w:proofErr w:type="gramStart"/>
      <w:r w:rsidR="000C26B2" w:rsidRPr="009C69FE">
        <w:rPr>
          <w:rFonts w:cs="Arial"/>
          <w:sz w:val="24"/>
          <w:szCs w:val="24"/>
        </w:rPr>
        <w:t>Instead</w:t>
      </w:r>
      <w:proofErr w:type="gramEnd"/>
      <w:r w:rsidR="000C26B2" w:rsidRPr="009C69FE">
        <w:rPr>
          <w:rFonts w:cs="Arial"/>
          <w:sz w:val="24"/>
          <w:szCs w:val="24"/>
        </w:rPr>
        <w:t xml:space="preserve"> the position is similar to that of CMR.  CIM envisages the issue of a consignment note, signed by the consignor and carrier, to a uniform model made up of an original and a duplicate returned to the </w:t>
      </w:r>
      <w:proofErr w:type="gramStart"/>
      <w:r w:rsidR="000C26B2" w:rsidRPr="009C69FE">
        <w:rPr>
          <w:rFonts w:cs="Arial"/>
          <w:sz w:val="24"/>
          <w:szCs w:val="24"/>
        </w:rPr>
        <w:t>consignor</w:t>
      </w:r>
      <w:proofErr w:type="gramEnd"/>
      <w:r w:rsidR="000C26B2" w:rsidRPr="009C69FE">
        <w:rPr>
          <w:rFonts w:cs="Arial"/>
          <w:sz w:val="24"/>
          <w:szCs w:val="24"/>
        </w:rPr>
        <w:t xml:space="preserve"> but its absence or irregularity does not affect the existence or validity of the contract (art.6(2)).  Similar rules to CMR apply in respect of the contents and use of the consignment note (arts.6-12).  On arrival the carrier must deliver the goods and consignment note to the consignee against any charges that may be due according to the contract of carriage (art.17(1)). </w:t>
      </w:r>
      <w:r w:rsidR="00707FAD" w:rsidRPr="009C69FE">
        <w:rPr>
          <w:rFonts w:cs="Arial"/>
          <w:sz w:val="24"/>
          <w:szCs w:val="24"/>
        </w:rPr>
        <w:t>Note in respect of UCP 600 art</w:t>
      </w:r>
      <w:r w:rsidR="00F61A9D">
        <w:rPr>
          <w:rFonts w:cs="Arial"/>
          <w:sz w:val="24"/>
          <w:szCs w:val="24"/>
        </w:rPr>
        <w:t>.</w:t>
      </w:r>
      <w:r w:rsidR="00707FAD" w:rsidRPr="009C69FE">
        <w:rPr>
          <w:rFonts w:cs="Arial"/>
          <w:sz w:val="24"/>
          <w:szCs w:val="24"/>
        </w:rPr>
        <w:t xml:space="preserve"> 24bii.</w:t>
      </w:r>
    </w:p>
    <w:p w14:paraId="742EA452" w14:textId="77777777" w:rsidR="000C26B2" w:rsidRPr="009C69FE" w:rsidRDefault="000C26B2" w:rsidP="000C26B2">
      <w:pPr>
        <w:rPr>
          <w:rFonts w:cs="Arial"/>
          <w:sz w:val="24"/>
          <w:szCs w:val="24"/>
        </w:rPr>
      </w:pPr>
      <w:r w:rsidRPr="009C69FE">
        <w:rPr>
          <w:rFonts w:cs="Arial"/>
          <w:sz w:val="24"/>
          <w:szCs w:val="24"/>
        </w:rPr>
        <w:t>New CIM has special provision to enable electronic documents to replace the paper consignment note provided there is functional equivalence (art.6(9)).  Article 6(8) requires international associations of carriers to establish uniform model consignment notes in agreement with customers’ associations and Customs bodies</w:t>
      </w:r>
      <w:r w:rsidR="00C12216">
        <w:rPr>
          <w:rFonts w:cs="Arial"/>
          <w:sz w:val="24"/>
          <w:szCs w:val="24"/>
        </w:rPr>
        <w:t>.  This includes bodies such as</w:t>
      </w:r>
      <w:r w:rsidRPr="009C69FE">
        <w:rPr>
          <w:rFonts w:cs="Arial"/>
          <w:sz w:val="24"/>
          <w:szCs w:val="24"/>
        </w:rPr>
        <w:t xml:space="preserve"> the International Rail Transport Committee (CIT), an association of rail companies operating under COTIF, which has provided and continues to provide practical support for the operation of COTIF (see </w:t>
      </w:r>
      <w:hyperlink r:id="rId36" w:history="1">
        <w:r w:rsidR="00C12216" w:rsidRPr="003F5D59">
          <w:rPr>
            <w:rStyle w:val="Hyperlink"/>
            <w:rFonts w:cs="Arial"/>
            <w:sz w:val="24"/>
            <w:szCs w:val="24"/>
          </w:rPr>
          <w:t>http://www.cit-rail.org</w:t>
        </w:r>
      </w:hyperlink>
      <w:r w:rsidRPr="009C69FE">
        <w:rPr>
          <w:rFonts w:cs="Arial"/>
          <w:sz w:val="24"/>
          <w:szCs w:val="24"/>
        </w:rPr>
        <w:t xml:space="preserve">).  It has developed the new forms of consignment note and established standard form contracts as well as the necessary support for the development of the e-document system. </w:t>
      </w:r>
    </w:p>
    <w:p w14:paraId="3C62C75D" w14:textId="77777777" w:rsidR="000C26B2" w:rsidRPr="009C69FE" w:rsidRDefault="007B0946" w:rsidP="000C26B2">
      <w:pPr>
        <w:rPr>
          <w:rFonts w:cs="Arial"/>
          <w:b/>
          <w:sz w:val="24"/>
          <w:szCs w:val="24"/>
        </w:rPr>
      </w:pPr>
      <w:r w:rsidRPr="009C69FE">
        <w:rPr>
          <w:rFonts w:cs="Arial"/>
          <w:b/>
          <w:sz w:val="24"/>
          <w:szCs w:val="24"/>
        </w:rPr>
        <w:t>3.5</w:t>
      </w:r>
      <w:r w:rsidR="0020734A" w:rsidRPr="009C69FE">
        <w:rPr>
          <w:rFonts w:cs="Arial"/>
          <w:b/>
          <w:sz w:val="24"/>
          <w:szCs w:val="24"/>
        </w:rPr>
        <w:t xml:space="preserve"> </w:t>
      </w:r>
      <w:r w:rsidR="000C26B2" w:rsidRPr="009C69FE">
        <w:rPr>
          <w:rFonts w:cs="Arial"/>
          <w:b/>
          <w:sz w:val="24"/>
          <w:szCs w:val="24"/>
        </w:rPr>
        <w:t>Common issues concerning scope.</w:t>
      </w:r>
    </w:p>
    <w:p w14:paraId="34871214" w14:textId="77777777" w:rsidR="000C26B2" w:rsidRPr="009C69FE" w:rsidRDefault="007B0946" w:rsidP="000C26B2">
      <w:pPr>
        <w:rPr>
          <w:rFonts w:cs="Arial"/>
          <w:b/>
          <w:sz w:val="24"/>
          <w:szCs w:val="24"/>
        </w:rPr>
      </w:pPr>
      <w:r w:rsidRPr="009C69FE">
        <w:rPr>
          <w:rFonts w:cs="Arial"/>
          <w:b/>
          <w:sz w:val="24"/>
          <w:szCs w:val="24"/>
        </w:rPr>
        <w:t>3.5.1</w:t>
      </w:r>
      <w:r w:rsidRPr="009C69FE">
        <w:rPr>
          <w:rFonts w:cs="Arial"/>
          <w:sz w:val="24"/>
          <w:szCs w:val="24"/>
        </w:rPr>
        <w:t xml:space="preserve"> </w:t>
      </w:r>
      <w:r w:rsidR="000C26B2" w:rsidRPr="009C69FE">
        <w:rPr>
          <w:rFonts w:cs="Arial"/>
          <w:sz w:val="24"/>
          <w:szCs w:val="24"/>
        </w:rPr>
        <w:t xml:space="preserve">The rules governing the application of these </w:t>
      </w:r>
      <w:r w:rsidR="0020734A" w:rsidRPr="009C69FE">
        <w:rPr>
          <w:rFonts w:cs="Arial"/>
          <w:sz w:val="24"/>
          <w:szCs w:val="24"/>
        </w:rPr>
        <w:t xml:space="preserve">and (and to a greater or lesser extent other carriage </w:t>
      </w:r>
      <w:r w:rsidR="000C26B2" w:rsidRPr="009C69FE">
        <w:rPr>
          <w:rFonts w:cs="Arial"/>
          <w:sz w:val="24"/>
          <w:szCs w:val="24"/>
        </w:rPr>
        <w:t xml:space="preserve">regimes </w:t>
      </w:r>
      <w:r w:rsidR="0020734A" w:rsidRPr="009C69FE">
        <w:rPr>
          <w:rFonts w:cs="Arial"/>
          <w:sz w:val="24"/>
          <w:szCs w:val="24"/>
        </w:rPr>
        <w:t xml:space="preserve">such as carriage by air) </w:t>
      </w:r>
      <w:r w:rsidR="000C26B2" w:rsidRPr="009C69FE">
        <w:rPr>
          <w:rFonts w:cs="Arial"/>
          <w:sz w:val="24"/>
          <w:szCs w:val="24"/>
        </w:rPr>
        <w:t xml:space="preserve">raise several similar issues in respect of their scope which can be drawn together. </w:t>
      </w:r>
      <w:r w:rsidR="000C26B2" w:rsidRPr="009C69FE">
        <w:rPr>
          <w:rFonts w:cs="Arial"/>
          <w:sz w:val="24"/>
          <w:szCs w:val="24"/>
        </w:rPr>
        <w:br/>
      </w:r>
      <w:r w:rsidR="000C26B2" w:rsidRPr="009C69FE">
        <w:rPr>
          <w:rFonts w:cs="Arial"/>
          <w:sz w:val="24"/>
          <w:szCs w:val="24"/>
        </w:rPr>
        <w:lastRenderedPageBreak/>
        <w:br/>
      </w:r>
      <w:r w:rsidRPr="009C69FE">
        <w:rPr>
          <w:rFonts w:cs="Arial"/>
          <w:b/>
          <w:sz w:val="24"/>
          <w:szCs w:val="24"/>
        </w:rPr>
        <w:t>3.5.2</w:t>
      </w:r>
      <w:r w:rsidR="000C26B2" w:rsidRPr="009C69FE">
        <w:rPr>
          <w:rFonts w:cs="Arial"/>
          <w:b/>
          <w:sz w:val="24"/>
          <w:szCs w:val="24"/>
        </w:rPr>
        <w:t xml:space="preserve"> A contract of carriage  </w:t>
      </w:r>
    </w:p>
    <w:p w14:paraId="3CCD5432" w14:textId="77777777" w:rsidR="000C26B2" w:rsidRPr="009C69FE" w:rsidRDefault="0020734A" w:rsidP="000C26B2">
      <w:pPr>
        <w:rPr>
          <w:rFonts w:cs="Arial"/>
          <w:sz w:val="24"/>
          <w:szCs w:val="24"/>
        </w:rPr>
      </w:pPr>
      <w:r w:rsidRPr="009C69FE">
        <w:rPr>
          <w:rFonts w:cs="Arial"/>
          <w:sz w:val="24"/>
          <w:szCs w:val="24"/>
        </w:rPr>
        <w:t>Both CMR and URCIM</w:t>
      </w:r>
      <w:r w:rsidR="000C26B2" w:rsidRPr="009C69FE">
        <w:rPr>
          <w:rFonts w:cs="Arial"/>
          <w:sz w:val="24"/>
          <w:szCs w:val="24"/>
        </w:rPr>
        <w:t xml:space="preserve"> focus on rules to be applied essentially to a contract for the carriage of goods by the</w:t>
      </w:r>
      <w:r w:rsidRPr="009C69FE">
        <w:rPr>
          <w:rFonts w:cs="Arial"/>
          <w:sz w:val="24"/>
          <w:szCs w:val="24"/>
        </w:rPr>
        <w:t xml:space="preserve"> </w:t>
      </w:r>
      <w:proofErr w:type="gramStart"/>
      <w:r w:rsidRPr="009C69FE">
        <w:rPr>
          <w:rFonts w:cs="Arial"/>
          <w:sz w:val="24"/>
          <w:szCs w:val="24"/>
        </w:rPr>
        <w:t>particular mode</w:t>
      </w:r>
      <w:proofErr w:type="gramEnd"/>
      <w:r w:rsidR="000C26B2" w:rsidRPr="009C69FE">
        <w:rPr>
          <w:rFonts w:cs="Arial"/>
          <w:sz w:val="24"/>
          <w:szCs w:val="24"/>
        </w:rPr>
        <w:t>.  Apart from an obvious issue regarding multimodal transport (see below) three sets of issues can be dealt with here:</w:t>
      </w:r>
    </w:p>
    <w:p w14:paraId="2C23CE38" w14:textId="77777777" w:rsidR="00544F98" w:rsidRPr="009C69FE" w:rsidRDefault="007B0946" w:rsidP="000C26B2">
      <w:pPr>
        <w:rPr>
          <w:rFonts w:cs="Arial"/>
          <w:sz w:val="24"/>
          <w:szCs w:val="24"/>
        </w:rPr>
      </w:pPr>
      <w:r w:rsidRPr="009C69FE">
        <w:rPr>
          <w:rFonts w:cs="Arial"/>
          <w:b/>
          <w:sz w:val="24"/>
          <w:szCs w:val="24"/>
        </w:rPr>
        <w:t>3.5.</w:t>
      </w:r>
      <w:r w:rsidR="00902B5B" w:rsidRPr="009C69FE">
        <w:rPr>
          <w:rFonts w:cs="Arial"/>
          <w:b/>
          <w:sz w:val="24"/>
          <w:szCs w:val="24"/>
        </w:rPr>
        <w:t>2.1</w:t>
      </w:r>
      <w:r w:rsidR="00E9336E" w:rsidRPr="009C69FE">
        <w:rPr>
          <w:rFonts w:cs="Arial"/>
          <w:b/>
          <w:sz w:val="24"/>
          <w:szCs w:val="24"/>
        </w:rPr>
        <w:t xml:space="preserve"> </w:t>
      </w:r>
      <w:r w:rsidR="000C26B2" w:rsidRPr="009C69FE">
        <w:rPr>
          <w:rFonts w:cs="Arial"/>
          <w:b/>
          <w:sz w:val="24"/>
          <w:szCs w:val="24"/>
        </w:rPr>
        <w:t>Carriage or hire?</w:t>
      </w:r>
      <w:r w:rsidR="000C26B2" w:rsidRPr="009C69FE">
        <w:rPr>
          <w:rFonts w:cs="Arial"/>
          <w:b/>
          <w:sz w:val="24"/>
          <w:szCs w:val="24"/>
        </w:rPr>
        <w:br/>
      </w:r>
      <w:r w:rsidR="000C26B2" w:rsidRPr="009C69FE">
        <w:rPr>
          <w:rFonts w:cs="Arial"/>
          <w:sz w:val="24"/>
          <w:szCs w:val="24"/>
        </w:rPr>
        <w:br/>
        <w:t xml:space="preserve">A distinction is possible between a contract of carriage and other similar forms of contract which are not strictly contracts of carriage.  </w:t>
      </w:r>
      <w:r w:rsidR="0020734A" w:rsidRPr="009C69FE">
        <w:rPr>
          <w:rFonts w:cs="Arial"/>
          <w:sz w:val="24"/>
          <w:szCs w:val="24"/>
        </w:rPr>
        <w:t>Cleary a simple</w:t>
      </w:r>
      <w:r w:rsidR="000C26B2" w:rsidRPr="009C69FE">
        <w:rPr>
          <w:rFonts w:cs="Arial"/>
          <w:sz w:val="24"/>
          <w:szCs w:val="24"/>
        </w:rPr>
        <w:t xml:space="preserve"> </w:t>
      </w:r>
      <w:r w:rsidR="0020734A" w:rsidRPr="009C69FE">
        <w:rPr>
          <w:rFonts w:cs="Arial"/>
          <w:sz w:val="24"/>
          <w:szCs w:val="24"/>
        </w:rPr>
        <w:t xml:space="preserve">contract for hire of a vehicle or train is not regulated by these rules but what about the hire of a vehicle or train with a </w:t>
      </w:r>
      <w:r w:rsidR="000C26B2" w:rsidRPr="009C69FE">
        <w:rPr>
          <w:rFonts w:cs="Arial"/>
          <w:sz w:val="24"/>
          <w:szCs w:val="24"/>
        </w:rPr>
        <w:t>driver</w:t>
      </w:r>
      <w:r w:rsidR="0020734A" w:rsidRPr="009C69FE">
        <w:rPr>
          <w:rFonts w:cs="Arial"/>
          <w:sz w:val="24"/>
          <w:szCs w:val="24"/>
        </w:rPr>
        <w:t>?</w:t>
      </w:r>
      <w:r w:rsidR="000C26B2" w:rsidRPr="009C69FE">
        <w:rPr>
          <w:rFonts w:cs="Arial"/>
          <w:sz w:val="24"/>
          <w:szCs w:val="24"/>
        </w:rPr>
        <w:t xml:space="preserve"> </w:t>
      </w:r>
      <w:r w:rsidR="0020734A" w:rsidRPr="009C69FE">
        <w:rPr>
          <w:rFonts w:cs="Arial"/>
          <w:sz w:val="24"/>
          <w:szCs w:val="24"/>
        </w:rPr>
        <w:t>This might look more like chartering in carriage by sea which falls outside of the Hague-Visby Rules. This possibility is recognised</w:t>
      </w:r>
      <w:r w:rsidR="000C26B2" w:rsidRPr="009C69FE">
        <w:rPr>
          <w:rFonts w:cs="Arial"/>
          <w:sz w:val="24"/>
          <w:szCs w:val="24"/>
        </w:rPr>
        <w:t xml:space="preserve"> in </w:t>
      </w:r>
      <w:r w:rsidR="0020734A" w:rsidRPr="009C69FE">
        <w:rPr>
          <w:rFonts w:cs="Arial"/>
          <w:sz w:val="24"/>
          <w:szCs w:val="24"/>
        </w:rPr>
        <w:t xml:space="preserve">some </w:t>
      </w:r>
      <w:r w:rsidR="000C26B2" w:rsidRPr="009C69FE">
        <w:rPr>
          <w:rFonts w:cs="Arial"/>
          <w:sz w:val="24"/>
          <w:szCs w:val="24"/>
        </w:rPr>
        <w:t xml:space="preserve">civil law countries where factors such as whether the charge is by distance or time (hire) or whether by journey or weight </w:t>
      </w:r>
      <w:r w:rsidR="0020734A" w:rsidRPr="009C69FE">
        <w:rPr>
          <w:rFonts w:cs="Arial"/>
          <w:sz w:val="24"/>
          <w:szCs w:val="24"/>
        </w:rPr>
        <w:t>(carriage) are used to make</w:t>
      </w:r>
      <w:r w:rsidR="000C26B2" w:rsidRPr="009C69FE">
        <w:rPr>
          <w:rFonts w:cs="Arial"/>
          <w:sz w:val="24"/>
          <w:szCs w:val="24"/>
        </w:rPr>
        <w:t xml:space="preserve"> the distinction.  This issue has not received </w:t>
      </w:r>
      <w:r w:rsidR="00AF72E5">
        <w:rPr>
          <w:rFonts w:cs="Arial"/>
          <w:sz w:val="24"/>
          <w:szCs w:val="24"/>
        </w:rPr>
        <w:t>much attention as yet in the UK</w:t>
      </w:r>
      <w:r w:rsidR="000C26B2" w:rsidRPr="009C69FE">
        <w:rPr>
          <w:rFonts w:cs="Arial"/>
          <w:sz w:val="24"/>
          <w:szCs w:val="24"/>
        </w:rPr>
        <w:t xml:space="preserve"> in road and rail transport but </w:t>
      </w:r>
      <w:r w:rsidR="00544F98" w:rsidRPr="009C69FE">
        <w:rPr>
          <w:rFonts w:cs="Arial"/>
          <w:sz w:val="24"/>
          <w:szCs w:val="24"/>
        </w:rPr>
        <w:t xml:space="preserve">in a carriage by air case: </w:t>
      </w:r>
      <w:r w:rsidR="00544F98" w:rsidRPr="009C69FE">
        <w:rPr>
          <w:rFonts w:cs="Arial"/>
          <w:b/>
          <w:sz w:val="24"/>
          <w:szCs w:val="24"/>
        </w:rPr>
        <w:t>Post Office v. British World Airlines</w:t>
      </w:r>
      <w:r w:rsidR="00544F98" w:rsidRPr="009C69FE">
        <w:rPr>
          <w:rFonts w:cs="Arial"/>
          <w:sz w:val="24"/>
          <w:szCs w:val="24"/>
        </w:rPr>
        <w:t xml:space="preserve"> [2000] 1 Lloyd’s Rep. 378, the judge thought that a charter contract which did not involve the payment of </w:t>
      </w:r>
      <w:proofErr w:type="gramStart"/>
      <w:r w:rsidR="00544F98" w:rsidRPr="009C69FE">
        <w:rPr>
          <w:rFonts w:cs="Arial"/>
          <w:sz w:val="24"/>
          <w:szCs w:val="24"/>
        </w:rPr>
        <w:t>freight</w:t>
      </w:r>
      <w:proofErr w:type="gramEnd"/>
      <w:r w:rsidR="00544F98" w:rsidRPr="009C69FE">
        <w:rPr>
          <w:rFonts w:cs="Arial"/>
          <w:sz w:val="24"/>
          <w:szCs w:val="24"/>
        </w:rPr>
        <w:t xml:space="preserve"> or the issue of a waybill was not a carriage of a specific consignment by air.</w:t>
      </w:r>
    </w:p>
    <w:p w14:paraId="74AAFBD4" w14:textId="77777777" w:rsidR="00544F98" w:rsidRPr="009C69FE" w:rsidRDefault="00544F98" w:rsidP="000C26B2">
      <w:pPr>
        <w:rPr>
          <w:rFonts w:cs="Arial"/>
          <w:sz w:val="24"/>
          <w:szCs w:val="24"/>
        </w:rPr>
      </w:pPr>
      <w:r w:rsidRPr="009C69FE">
        <w:rPr>
          <w:rFonts w:cs="Arial"/>
          <w:sz w:val="24"/>
          <w:szCs w:val="24"/>
        </w:rPr>
        <w:t>I</w:t>
      </w:r>
      <w:r w:rsidR="000C26B2" w:rsidRPr="009C69FE">
        <w:rPr>
          <w:rFonts w:cs="Arial"/>
          <w:sz w:val="24"/>
          <w:szCs w:val="24"/>
        </w:rPr>
        <w:t xml:space="preserve">t has been held that a series of consignments made under an ‘umbrella’ contract still fell within CMR: </w:t>
      </w:r>
      <w:proofErr w:type="spellStart"/>
      <w:r w:rsidR="000C26B2" w:rsidRPr="009C69FE">
        <w:rPr>
          <w:rFonts w:cs="Arial"/>
          <w:b/>
          <w:sz w:val="24"/>
          <w:szCs w:val="24"/>
        </w:rPr>
        <w:t>Gefco</w:t>
      </w:r>
      <w:proofErr w:type="spellEnd"/>
      <w:r w:rsidR="000C26B2" w:rsidRPr="009C69FE">
        <w:rPr>
          <w:rFonts w:cs="Arial"/>
          <w:b/>
          <w:sz w:val="24"/>
          <w:szCs w:val="24"/>
        </w:rPr>
        <w:t xml:space="preserve"> UK Ltd. v. Mason</w:t>
      </w:r>
      <w:r w:rsidR="00491A54">
        <w:rPr>
          <w:rFonts w:cs="Arial"/>
          <w:b/>
          <w:sz w:val="24"/>
          <w:szCs w:val="24"/>
        </w:rPr>
        <w:t xml:space="preserve"> (No 1)</w:t>
      </w:r>
      <w:r w:rsidR="000C26B2" w:rsidRPr="009C69FE">
        <w:rPr>
          <w:rFonts w:cs="Arial"/>
          <w:sz w:val="24"/>
          <w:szCs w:val="24"/>
        </w:rPr>
        <w:t xml:space="preserve"> [1998] 2 Lloyd’s Rep. 585.  In this case the umbrella agreement was concerned with a series of </w:t>
      </w:r>
      <w:r w:rsidR="0020734A" w:rsidRPr="009C69FE">
        <w:rPr>
          <w:rFonts w:cs="Arial"/>
          <w:sz w:val="24"/>
          <w:szCs w:val="24"/>
        </w:rPr>
        <w:t xml:space="preserve">international </w:t>
      </w:r>
      <w:r w:rsidR="000C26B2" w:rsidRPr="009C69FE">
        <w:rPr>
          <w:rFonts w:cs="Arial"/>
          <w:sz w:val="24"/>
          <w:szCs w:val="24"/>
        </w:rPr>
        <w:t xml:space="preserve">road transports between the same places and the court held that both the umbrella agreement and the individual transports were within CMR.  In </w:t>
      </w:r>
      <w:proofErr w:type="spellStart"/>
      <w:r w:rsidR="000C26B2" w:rsidRPr="009C69FE">
        <w:rPr>
          <w:rFonts w:cs="Arial"/>
          <w:b/>
          <w:sz w:val="24"/>
          <w:szCs w:val="24"/>
        </w:rPr>
        <w:t>Datec</w:t>
      </w:r>
      <w:proofErr w:type="spellEnd"/>
      <w:r w:rsidR="000C26B2" w:rsidRPr="009C69FE">
        <w:rPr>
          <w:rFonts w:cs="Arial"/>
          <w:b/>
          <w:sz w:val="24"/>
          <w:szCs w:val="24"/>
        </w:rPr>
        <w:t xml:space="preserve"> Electronic Holdings Ltd v. United Parcels Service Ltd</w:t>
      </w:r>
      <w:r w:rsidR="000C26B2" w:rsidRPr="009C69FE">
        <w:rPr>
          <w:rFonts w:cs="Arial"/>
          <w:sz w:val="24"/>
          <w:szCs w:val="24"/>
        </w:rPr>
        <w:t xml:space="preserve"> [2007] 1 WLR 1325, – the umbrella agreement was more open-ended and simply covered whatever consignments were sent by the goods owner with the carrier having freedom to choose the mode of transport.  Once the defendant chose to and carried by road, CMR applied to that transport.  </w:t>
      </w:r>
    </w:p>
    <w:p w14:paraId="5E8BEAC7" w14:textId="77777777" w:rsidR="00544F98" w:rsidRPr="009C69FE" w:rsidRDefault="00544F98" w:rsidP="000C26B2">
      <w:pPr>
        <w:rPr>
          <w:rFonts w:cs="Arial"/>
          <w:sz w:val="24"/>
          <w:szCs w:val="24"/>
        </w:rPr>
      </w:pPr>
      <w:r w:rsidRPr="009C69FE">
        <w:rPr>
          <w:rFonts w:cs="Arial"/>
          <w:sz w:val="24"/>
          <w:szCs w:val="24"/>
        </w:rPr>
        <w:t xml:space="preserve">This case also suggests a slightly different issue that could be raised and the decision </w:t>
      </w:r>
      <w:r w:rsidR="000C26B2" w:rsidRPr="009C69FE">
        <w:rPr>
          <w:rFonts w:cs="Arial"/>
          <w:sz w:val="24"/>
          <w:szCs w:val="24"/>
        </w:rPr>
        <w:t xml:space="preserve">contrasts with a decision of the </w:t>
      </w:r>
      <w:r w:rsidR="000C26B2" w:rsidRPr="009C69FE">
        <w:rPr>
          <w:rFonts w:cs="Arial"/>
          <w:b/>
          <w:sz w:val="24"/>
          <w:szCs w:val="24"/>
        </w:rPr>
        <w:t>Belgian Supreme Court</w:t>
      </w:r>
      <w:r w:rsidR="000C26B2" w:rsidRPr="009C69FE">
        <w:rPr>
          <w:rFonts w:cs="Arial"/>
          <w:sz w:val="24"/>
          <w:szCs w:val="24"/>
        </w:rPr>
        <w:t>, 2005(3) ULR 628 (8 November 2004</w:t>
      </w:r>
      <w:r w:rsidRPr="009C69FE">
        <w:rPr>
          <w:rFonts w:cs="Arial"/>
          <w:sz w:val="24"/>
          <w:szCs w:val="24"/>
        </w:rPr>
        <w:t xml:space="preserve"> </w:t>
      </w:r>
      <w:proofErr w:type="spellStart"/>
      <w:r w:rsidRPr="009C69FE">
        <w:rPr>
          <w:rFonts w:cs="Arial"/>
          <w:sz w:val="24"/>
          <w:szCs w:val="24"/>
        </w:rPr>
        <w:t>Idit</w:t>
      </w:r>
      <w:proofErr w:type="spellEnd"/>
      <w:r w:rsidRPr="009C69FE">
        <w:rPr>
          <w:rFonts w:cs="Arial"/>
          <w:sz w:val="24"/>
          <w:szCs w:val="24"/>
        </w:rPr>
        <w:t xml:space="preserve"> No </w:t>
      </w:r>
      <w:r w:rsidR="00DE0EE7" w:rsidRPr="009C69FE">
        <w:rPr>
          <w:rFonts w:cs="Arial"/>
          <w:sz w:val="24"/>
          <w:szCs w:val="24"/>
        </w:rPr>
        <w:t>40793</w:t>
      </w:r>
      <w:r w:rsidR="000C26B2" w:rsidRPr="009C69FE">
        <w:rPr>
          <w:rFonts w:cs="Arial"/>
          <w:sz w:val="24"/>
          <w:szCs w:val="24"/>
        </w:rPr>
        <w:t xml:space="preserve">) which rejected the application of CMR to road carriage by a courier service under a framework agreement where the mode of transport was not </w:t>
      </w:r>
      <w:proofErr w:type="gramStart"/>
      <w:r w:rsidR="000C26B2" w:rsidRPr="009C69FE">
        <w:rPr>
          <w:rFonts w:cs="Arial"/>
          <w:sz w:val="24"/>
          <w:szCs w:val="24"/>
        </w:rPr>
        <w:t>specified</w:t>
      </w:r>
      <w:proofErr w:type="gramEnd"/>
      <w:r w:rsidR="000C26B2" w:rsidRPr="009C69FE">
        <w:rPr>
          <w:rFonts w:cs="Arial"/>
          <w:sz w:val="24"/>
          <w:szCs w:val="24"/>
        </w:rPr>
        <w:t xml:space="preserve"> and it was not clear from the circumstances that road transport was envisaged.</w:t>
      </w:r>
    </w:p>
    <w:p w14:paraId="38BAAA63" w14:textId="77777777" w:rsidR="000C26B2" w:rsidRPr="009C69FE" w:rsidRDefault="007B0946" w:rsidP="000C26B2">
      <w:pPr>
        <w:rPr>
          <w:rFonts w:cs="Arial"/>
          <w:b/>
          <w:sz w:val="24"/>
          <w:szCs w:val="24"/>
        </w:rPr>
      </w:pPr>
      <w:r w:rsidRPr="009C69FE">
        <w:rPr>
          <w:rFonts w:cs="Arial"/>
          <w:b/>
          <w:sz w:val="24"/>
          <w:szCs w:val="24"/>
        </w:rPr>
        <w:t>3</w:t>
      </w:r>
      <w:r w:rsidR="00902B5B" w:rsidRPr="009C69FE">
        <w:rPr>
          <w:rFonts w:cs="Arial"/>
          <w:b/>
          <w:sz w:val="24"/>
          <w:szCs w:val="24"/>
        </w:rPr>
        <w:t>.5.3</w:t>
      </w:r>
      <w:r w:rsidR="00925395" w:rsidRPr="009C69FE">
        <w:rPr>
          <w:rFonts w:cs="Arial"/>
          <w:b/>
          <w:sz w:val="24"/>
          <w:szCs w:val="24"/>
        </w:rPr>
        <w:t xml:space="preserve"> Contractors and performers</w:t>
      </w:r>
    </w:p>
    <w:p w14:paraId="6C27667D" w14:textId="77777777" w:rsidR="000C26B2" w:rsidRPr="009C69FE" w:rsidRDefault="000C26B2" w:rsidP="000C26B2">
      <w:pPr>
        <w:rPr>
          <w:rFonts w:cs="Arial"/>
          <w:sz w:val="24"/>
          <w:szCs w:val="24"/>
        </w:rPr>
      </w:pPr>
      <w:r w:rsidRPr="009C69FE">
        <w:rPr>
          <w:rFonts w:cs="Arial"/>
          <w:sz w:val="24"/>
          <w:szCs w:val="24"/>
        </w:rPr>
        <w:t xml:space="preserve">Emphasis on the contract means that the court searches in the first place for the carrier who contracts to carry.  Where a carrier both contracts and performs the entire carriage it will be obvious that the liability imposed by the rules will be applied to it.  However, a carrier might sub-contract all or part of the contract of carriage or ancillary services to a third party which thus involves a split between contractual responsibility and physical performance.   In that case the rules are </w:t>
      </w:r>
      <w:proofErr w:type="gramStart"/>
      <w:r w:rsidRPr="009C69FE">
        <w:rPr>
          <w:rFonts w:cs="Arial"/>
          <w:sz w:val="24"/>
          <w:szCs w:val="24"/>
        </w:rPr>
        <w:t>applied to the fullest extent</w:t>
      </w:r>
      <w:proofErr w:type="gramEnd"/>
      <w:r w:rsidRPr="009C69FE">
        <w:rPr>
          <w:rFonts w:cs="Arial"/>
          <w:sz w:val="24"/>
          <w:szCs w:val="24"/>
        </w:rPr>
        <w:t xml:space="preserve"> to the contracting carrier who will take responsibility for its servants and agents and other persons whose services are made use of for the performance of the carriage when such persons act within the course of their employment (CMR art.3, CIM art.40 – for rail this includes responsibility for railway infrastruct</w:t>
      </w:r>
      <w:r w:rsidR="00544F98" w:rsidRPr="009C69FE">
        <w:rPr>
          <w:rFonts w:cs="Arial"/>
          <w:sz w:val="24"/>
          <w:szCs w:val="24"/>
        </w:rPr>
        <w:t>ure managers).</w:t>
      </w:r>
    </w:p>
    <w:p w14:paraId="3E93B109" w14:textId="6947EA9B" w:rsidR="00FF4030" w:rsidRPr="009C69FE" w:rsidRDefault="00B3550B" w:rsidP="000C26B2">
      <w:pPr>
        <w:rPr>
          <w:rFonts w:cs="Arial"/>
          <w:sz w:val="24"/>
          <w:szCs w:val="24"/>
        </w:rPr>
      </w:pPr>
      <w:r w:rsidRPr="009C69FE">
        <w:rPr>
          <w:rFonts w:cs="Arial"/>
          <w:sz w:val="24"/>
          <w:szCs w:val="24"/>
        </w:rPr>
        <w:lastRenderedPageBreak/>
        <w:t>However, the fact that contracting and performing can be split can often create the difficulty of determining whether a person has in fact contracted to carry.</w:t>
      </w:r>
      <w:r w:rsidR="004B2C14" w:rsidRPr="009C69FE">
        <w:rPr>
          <w:rFonts w:cs="Arial"/>
          <w:sz w:val="24"/>
          <w:szCs w:val="24"/>
        </w:rPr>
        <w:t xml:space="preserve"> This difficulty affects transport intermediaries such as freight forwarders.  Their tradition</w:t>
      </w:r>
      <w:r w:rsidR="00FF4030" w:rsidRPr="009C69FE">
        <w:rPr>
          <w:rFonts w:cs="Arial"/>
          <w:sz w:val="24"/>
          <w:szCs w:val="24"/>
        </w:rPr>
        <w:t>al</w:t>
      </w:r>
      <w:r w:rsidR="004B2C14" w:rsidRPr="009C69FE">
        <w:rPr>
          <w:rFonts w:cs="Arial"/>
          <w:sz w:val="24"/>
          <w:szCs w:val="24"/>
        </w:rPr>
        <w:t xml:space="preserve"> role was essentially as transport advisers and organisers </w:t>
      </w:r>
      <w:proofErr w:type="gramStart"/>
      <w:r w:rsidR="004B2C14" w:rsidRPr="009C69FE">
        <w:rPr>
          <w:rFonts w:cs="Arial"/>
          <w:sz w:val="24"/>
          <w:szCs w:val="24"/>
        </w:rPr>
        <w:t>making arrangements</w:t>
      </w:r>
      <w:proofErr w:type="gramEnd"/>
      <w:r w:rsidR="004B2C14" w:rsidRPr="009C69FE">
        <w:rPr>
          <w:rFonts w:cs="Arial"/>
          <w:sz w:val="24"/>
          <w:szCs w:val="24"/>
        </w:rPr>
        <w:t xml:space="preserve"> for carriage with operators and doing the paperwork.  This was essentially an agency role.  However</w:t>
      </w:r>
      <w:r w:rsidR="00FD737D">
        <w:rPr>
          <w:rFonts w:cs="Arial"/>
          <w:sz w:val="24"/>
          <w:szCs w:val="24"/>
        </w:rPr>
        <w:t>,</w:t>
      </w:r>
      <w:r w:rsidR="004B2C14" w:rsidRPr="009C69FE">
        <w:rPr>
          <w:rFonts w:cs="Arial"/>
          <w:sz w:val="24"/>
          <w:szCs w:val="24"/>
        </w:rPr>
        <w:t xml:space="preserve"> their services developed to include collection and delivery </w:t>
      </w:r>
      <w:r w:rsidR="00FF4030" w:rsidRPr="009C69FE">
        <w:rPr>
          <w:rFonts w:cs="Arial"/>
          <w:sz w:val="24"/>
          <w:szCs w:val="24"/>
        </w:rPr>
        <w:t>services linked to a main transport mode (</w:t>
      </w:r>
      <w:proofErr w:type="gramStart"/>
      <w:r w:rsidR="00FF4030" w:rsidRPr="009C69FE">
        <w:rPr>
          <w:rFonts w:cs="Arial"/>
          <w:sz w:val="24"/>
          <w:szCs w:val="24"/>
        </w:rPr>
        <w:t>i.e.</w:t>
      </w:r>
      <w:proofErr w:type="gramEnd"/>
      <w:r w:rsidR="00FF4030" w:rsidRPr="009C69FE">
        <w:rPr>
          <w:rFonts w:cs="Arial"/>
          <w:sz w:val="24"/>
          <w:szCs w:val="24"/>
        </w:rPr>
        <w:t xml:space="preserve"> delivery to and from the port, airport or rail terminal).  Other services included grouping consignments together for cheaper rates (es</w:t>
      </w:r>
      <w:r w:rsidR="00DE0EE7" w:rsidRPr="009C69FE">
        <w:rPr>
          <w:rFonts w:cs="Arial"/>
          <w:sz w:val="24"/>
          <w:szCs w:val="24"/>
        </w:rPr>
        <w:t>pecially with railways</w:t>
      </w:r>
      <w:r w:rsidR="00FF4030" w:rsidRPr="009C69FE">
        <w:rPr>
          <w:rFonts w:cs="Arial"/>
          <w:sz w:val="24"/>
          <w:szCs w:val="24"/>
        </w:rPr>
        <w:t>) which naturally expanded as containerisation too</w:t>
      </w:r>
      <w:r w:rsidR="00DE0EE7" w:rsidRPr="009C69FE">
        <w:rPr>
          <w:rFonts w:cs="Arial"/>
          <w:sz w:val="24"/>
          <w:szCs w:val="24"/>
        </w:rPr>
        <w:t>k hold.  They might still act simply</w:t>
      </w:r>
      <w:r w:rsidR="00FF4030" w:rsidRPr="009C69FE">
        <w:rPr>
          <w:rFonts w:cs="Arial"/>
          <w:sz w:val="24"/>
          <w:szCs w:val="24"/>
        </w:rPr>
        <w:t xml:space="preserve"> as agents but </w:t>
      </w:r>
      <w:r w:rsidR="00DE0EE7" w:rsidRPr="009C69FE">
        <w:rPr>
          <w:rFonts w:cs="Arial"/>
          <w:sz w:val="24"/>
          <w:szCs w:val="24"/>
        </w:rPr>
        <w:t>often their operations might</w:t>
      </w:r>
      <w:r w:rsidR="00FF4030" w:rsidRPr="009C69FE">
        <w:rPr>
          <w:rFonts w:cs="Arial"/>
          <w:sz w:val="24"/>
          <w:szCs w:val="24"/>
        </w:rPr>
        <w:t xml:space="preserve"> appear </w:t>
      </w:r>
      <w:r w:rsidR="00DE0EE7" w:rsidRPr="009C69FE">
        <w:rPr>
          <w:rFonts w:cs="Arial"/>
          <w:sz w:val="24"/>
          <w:szCs w:val="24"/>
        </w:rPr>
        <w:t>to be more like</w:t>
      </w:r>
      <w:r w:rsidR="00FF4030" w:rsidRPr="009C69FE">
        <w:rPr>
          <w:rFonts w:cs="Arial"/>
          <w:sz w:val="24"/>
          <w:szCs w:val="24"/>
        </w:rPr>
        <w:t xml:space="preserve"> retai</w:t>
      </w:r>
      <w:r w:rsidR="00AF72E5">
        <w:rPr>
          <w:rFonts w:cs="Arial"/>
          <w:sz w:val="24"/>
          <w:szCs w:val="24"/>
        </w:rPr>
        <w:t>lers of services su</w:t>
      </w:r>
      <w:r w:rsidR="00DE0EE7" w:rsidRPr="009C69FE">
        <w:rPr>
          <w:rFonts w:cs="Arial"/>
          <w:sz w:val="24"/>
          <w:szCs w:val="24"/>
        </w:rPr>
        <w:t>pplied to them</w:t>
      </w:r>
      <w:r w:rsidR="00FF4030" w:rsidRPr="009C69FE">
        <w:rPr>
          <w:rFonts w:cs="Arial"/>
          <w:sz w:val="24"/>
          <w:szCs w:val="24"/>
        </w:rPr>
        <w:t xml:space="preserve"> wholesale </w:t>
      </w:r>
      <w:proofErr w:type="gramStart"/>
      <w:r w:rsidR="00FF4030" w:rsidRPr="009C69FE">
        <w:rPr>
          <w:rFonts w:cs="Arial"/>
          <w:sz w:val="24"/>
          <w:szCs w:val="24"/>
        </w:rPr>
        <w:t>i.e.</w:t>
      </w:r>
      <w:proofErr w:type="gramEnd"/>
      <w:r w:rsidR="00FF4030" w:rsidRPr="009C69FE">
        <w:rPr>
          <w:rFonts w:cs="Arial"/>
          <w:sz w:val="24"/>
          <w:szCs w:val="24"/>
        </w:rPr>
        <w:t xml:space="preserve"> like carriers. Identifying their precise role in respect of a particular movement can be difficult for the courts and a variety of factors </w:t>
      </w:r>
      <w:proofErr w:type="gramStart"/>
      <w:r w:rsidR="00FF4030" w:rsidRPr="009C69FE">
        <w:rPr>
          <w:rFonts w:cs="Arial"/>
          <w:sz w:val="24"/>
          <w:szCs w:val="24"/>
        </w:rPr>
        <w:t>have to</w:t>
      </w:r>
      <w:proofErr w:type="gramEnd"/>
      <w:r w:rsidR="00FF4030" w:rsidRPr="009C69FE">
        <w:rPr>
          <w:rFonts w:cs="Arial"/>
          <w:sz w:val="24"/>
          <w:szCs w:val="24"/>
        </w:rPr>
        <w:t xml:space="preserve"> be taken into account such as how they have presented their business, the terms of the contract, the method of charging, the arrangements made with performing carriers etc.  </w:t>
      </w:r>
      <w:r w:rsidR="001A65CE">
        <w:rPr>
          <w:rFonts w:cs="Arial"/>
          <w:sz w:val="24"/>
          <w:szCs w:val="24"/>
        </w:rPr>
        <w:br/>
      </w:r>
      <w:r w:rsidR="00FF4030" w:rsidRPr="009C69FE">
        <w:rPr>
          <w:rFonts w:cs="Arial"/>
          <w:sz w:val="24"/>
          <w:szCs w:val="24"/>
        </w:rPr>
        <w:br/>
        <w:t xml:space="preserve">A good example of </w:t>
      </w:r>
      <w:r w:rsidR="002F2BE1" w:rsidRPr="009C69FE">
        <w:rPr>
          <w:rFonts w:cs="Arial"/>
          <w:sz w:val="24"/>
          <w:szCs w:val="24"/>
        </w:rPr>
        <w:t xml:space="preserve">a CMR case where this issue was considered is </w:t>
      </w:r>
      <w:proofErr w:type="spellStart"/>
      <w:r w:rsidR="00D0757A" w:rsidRPr="009C69FE">
        <w:rPr>
          <w:rFonts w:eastAsia="Calibri" w:cs="Arial"/>
          <w:b/>
          <w:sz w:val="24"/>
          <w:szCs w:val="24"/>
        </w:rPr>
        <w:t>Tetroc</w:t>
      </w:r>
      <w:proofErr w:type="spellEnd"/>
      <w:r w:rsidR="00D0757A" w:rsidRPr="009C69FE">
        <w:rPr>
          <w:rFonts w:eastAsia="Calibri" w:cs="Arial"/>
          <w:b/>
          <w:sz w:val="24"/>
          <w:szCs w:val="24"/>
        </w:rPr>
        <w:t xml:space="preserve"> Ltd v. Cross-Con</w:t>
      </w:r>
      <w:r w:rsidR="00D0757A" w:rsidRPr="009C69FE">
        <w:rPr>
          <w:rFonts w:eastAsia="Calibri" w:cs="Arial"/>
          <w:sz w:val="24"/>
          <w:szCs w:val="24"/>
        </w:rPr>
        <w:t xml:space="preserve"> [1981] 1 Lloyd’s rep. 192, </w:t>
      </w:r>
      <w:r w:rsidR="00D0757A" w:rsidRPr="009C69FE">
        <w:rPr>
          <w:rFonts w:cs="Arial"/>
          <w:sz w:val="24"/>
          <w:szCs w:val="24"/>
        </w:rPr>
        <w:t xml:space="preserve">where </w:t>
      </w:r>
      <w:r w:rsidR="00D0757A" w:rsidRPr="009C69FE">
        <w:rPr>
          <w:rFonts w:eastAsia="Calibri" w:cs="Arial"/>
          <w:sz w:val="24"/>
          <w:szCs w:val="24"/>
        </w:rPr>
        <w:t xml:space="preserve">a forwarder was engaged in respect of a carriage by road of machine tools from Denmark to England.  The forwarder </w:t>
      </w:r>
      <w:r w:rsidR="00D0757A" w:rsidRPr="009C69FE">
        <w:rPr>
          <w:rFonts w:cs="Arial"/>
          <w:sz w:val="24"/>
          <w:szCs w:val="24"/>
        </w:rPr>
        <w:t xml:space="preserve">in turn </w:t>
      </w:r>
      <w:r w:rsidR="00D0757A" w:rsidRPr="009C69FE">
        <w:rPr>
          <w:rFonts w:eastAsia="Calibri" w:cs="Arial"/>
          <w:sz w:val="24"/>
          <w:szCs w:val="24"/>
        </w:rPr>
        <w:t xml:space="preserve">engaged a road carrier to perform the whole operation.  A CMR consignment note was </w:t>
      </w:r>
      <w:proofErr w:type="gramStart"/>
      <w:r w:rsidR="00D0757A" w:rsidRPr="009C69FE">
        <w:rPr>
          <w:rFonts w:eastAsia="Calibri" w:cs="Arial"/>
          <w:sz w:val="24"/>
          <w:szCs w:val="24"/>
        </w:rPr>
        <w:t>issued</w:t>
      </w:r>
      <w:proofErr w:type="gramEnd"/>
      <w:r w:rsidR="00D0757A" w:rsidRPr="009C69FE">
        <w:rPr>
          <w:rFonts w:eastAsia="Calibri" w:cs="Arial"/>
          <w:sz w:val="24"/>
          <w:szCs w:val="24"/>
        </w:rPr>
        <w:t xml:space="preserve"> and the road carrier’s name appeared in the carrier section.  The judge held the forwarders to be CMR contracting carriers.  It is not entirely clear what factors he relied on to come to this </w:t>
      </w:r>
      <w:proofErr w:type="gramStart"/>
      <w:r w:rsidR="00D0757A" w:rsidRPr="009C69FE">
        <w:rPr>
          <w:rFonts w:eastAsia="Calibri" w:cs="Arial"/>
          <w:sz w:val="24"/>
          <w:szCs w:val="24"/>
        </w:rPr>
        <w:t>decision</w:t>
      </w:r>
      <w:proofErr w:type="gramEnd"/>
      <w:r w:rsidR="00D0757A" w:rsidRPr="009C69FE">
        <w:rPr>
          <w:rFonts w:eastAsia="Calibri" w:cs="Arial"/>
          <w:sz w:val="24"/>
          <w:szCs w:val="24"/>
        </w:rPr>
        <w:t xml:space="preserve"> but it seems that two, in particular, may have been decisive – firstly the forwarder invoiced the customer an all-in charge for the carriage without simply passing on the road carrier’s charge and adding a commission</w:t>
      </w:r>
      <w:r w:rsidR="00AF72E5">
        <w:rPr>
          <w:rFonts w:eastAsia="Calibri" w:cs="Arial"/>
          <w:sz w:val="24"/>
          <w:szCs w:val="24"/>
        </w:rPr>
        <w:t xml:space="preserve"> like an agent</w:t>
      </w:r>
      <w:r w:rsidR="00D0757A" w:rsidRPr="009C69FE">
        <w:rPr>
          <w:rFonts w:eastAsia="Calibri" w:cs="Arial"/>
          <w:sz w:val="24"/>
          <w:szCs w:val="24"/>
        </w:rPr>
        <w:t>.  Secondly, the customer was not informed about any of the arrangements made.  The fact that the road carrier’s name appeared in the consignment note was not significant given that the note is only prima facie evidence</w:t>
      </w:r>
      <w:r w:rsidR="00D03A7F">
        <w:rPr>
          <w:rFonts w:eastAsia="Calibri" w:cs="Arial"/>
          <w:sz w:val="24"/>
          <w:szCs w:val="24"/>
        </w:rPr>
        <w:t>.</w:t>
      </w:r>
    </w:p>
    <w:p w14:paraId="42FB8833" w14:textId="77777777" w:rsidR="000C26B2" w:rsidRPr="009C69FE" w:rsidRDefault="00D0757A" w:rsidP="000C26B2">
      <w:pPr>
        <w:rPr>
          <w:rFonts w:cs="Arial"/>
          <w:sz w:val="24"/>
          <w:szCs w:val="24"/>
        </w:rPr>
      </w:pPr>
      <w:r w:rsidRPr="009C69FE">
        <w:rPr>
          <w:rFonts w:cs="Arial"/>
          <w:sz w:val="24"/>
          <w:szCs w:val="24"/>
        </w:rPr>
        <w:t>Once the position of contracting carrier has been determined then i</w:t>
      </w:r>
      <w:r w:rsidR="000C26B2" w:rsidRPr="009C69FE">
        <w:rPr>
          <w:rFonts w:cs="Arial"/>
          <w:sz w:val="24"/>
          <w:szCs w:val="24"/>
        </w:rPr>
        <w:t xml:space="preserve">n respect of the persons employed to assist the carrier CMR and CIM provide an entitlement to rely on those part of the rules which exclude or limit the contracting carrier’s liability (CMR art.28(2), CIM art.41(2)).  These provisions are not </w:t>
      </w:r>
      <w:r w:rsidRPr="009C69FE">
        <w:rPr>
          <w:rFonts w:cs="Arial"/>
          <w:sz w:val="24"/>
          <w:szCs w:val="24"/>
        </w:rPr>
        <w:t xml:space="preserve">really </w:t>
      </w:r>
      <w:r w:rsidR="000C26B2" w:rsidRPr="009C69FE">
        <w:rPr>
          <w:rFonts w:cs="Arial"/>
          <w:sz w:val="24"/>
          <w:szCs w:val="24"/>
        </w:rPr>
        <w:t xml:space="preserve">intended to </w:t>
      </w:r>
      <w:r w:rsidR="000C26B2" w:rsidRPr="009C69FE">
        <w:rPr>
          <w:rFonts w:cs="Arial"/>
          <w:b/>
          <w:sz w:val="24"/>
          <w:szCs w:val="24"/>
        </w:rPr>
        <w:t>impose</w:t>
      </w:r>
      <w:r w:rsidR="000C26B2" w:rsidRPr="009C69FE">
        <w:rPr>
          <w:rFonts w:cs="Arial"/>
          <w:sz w:val="24"/>
          <w:szCs w:val="24"/>
        </w:rPr>
        <w:t xml:space="preserve"> liability</w:t>
      </w:r>
      <w:r w:rsidRPr="009C69FE">
        <w:rPr>
          <w:rFonts w:cs="Arial"/>
          <w:sz w:val="24"/>
          <w:szCs w:val="24"/>
        </w:rPr>
        <w:t xml:space="preserve"> (although the courts sometimes take a different (and odd view) – see </w:t>
      </w:r>
      <w:proofErr w:type="spellStart"/>
      <w:r w:rsidRPr="009C69FE">
        <w:rPr>
          <w:rFonts w:cs="Arial"/>
          <w:b/>
          <w:sz w:val="24"/>
          <w:szCs w:val="24"/>
        </w:rPr>
        <w:t>Sandeman</w:t>
      </w:r>
      <w:proofErr w:type="spellEnd"/>
      <w:r w:rsidRPr="009C69FE">
        <w:rPr>
          <w:rFonts w:cs="Arial"/>
          <w:b/>
          <w:sz w:val="24"/>
          <w:szCs w:val="24"/>
        </w:rPr>
        <w:t xml:space="preserve"> </w:t>
      </w:r>
      <w:proofErr w:type="spellStart"/>
      <w:r w:rsidRPr="009C69FE">
        <w:rPr>
          <w:rFonts w:cs="Arial"/>
          <w:b/>
          <w:sz w:val="24"/>
          <w:szCs w:val="24"/>
        </w:rPr>
        <w:t>Coprimar</w:t>
      </w:r>
      <w:proofErr w:type="spellEnd"/>
      <w:r w:rsidRPr="009C69FE">
        <w:rPr>
          <w:rFonts w:cs="Arial"/>
          <w:b/>
          <w:sz w:val="24"/>
          <w:szCs w:val="24"/>
        </w:rPr>
        <w:t xml:space="preserve"> </w:t>
      </w:r>
      <w:r w:rsidR="00DE0EE7" w:rsidRPr="009C69FE">
        <w:rPr>
          <w:rFonts w:cs="Arial"/>
          <w:b/>
          <w:sz w:val="24"/>
          <w:szCs w:val="24"/>
        </w:rPr>
        <w:t xml:space="preserve">SA v </w:t>
      </w:r>
      <w:proofErr w:type="spellStart"/>
      <w:r w:rsidR="00DE0EE7" w:rsidRPr="009C69FE">
        <w:rPr>
          <w:rFonts w:cs="Arial"/>
          <w:b/>
          <w:sz w:val="24"/>
          <w:szCs w:val="24"/>
        </w:rPr>
        <w:t>Transitos</w:t>
      </w:r>
      <w:proofErr w:type="spellEnd"/>
      <w:r w:rsidR="00DE0EE7" w:rsidRPr="009C69FE">
        <w:rPr>
          <w:rFonts w:cs="Arial"/>
          <w:b/>
          <w:sz w:val="24"/>
          <w:szCs w:val="24"/>
        </w:rPr>
        <w:t xml:space="preserve"> y </w:t>
      </w:r>
      <w:proofErr w:type="spellStart"/>
      <w:r w:rsidR="00DE0EE7" w:rsidRPr="009C69FE">
        <w:rPr>
          <w:rFonts w:cs="Arial"/>
          <w:b/>
          <w:sz w:val="24"/>
          <w:szCs w:val="24"/>
        </w:rPr>
        <w:t>Transportes</w:t>
      </w:r>
      <w:proofErr w:type="spellEnd"/>
      <w:r w:rsidR="00DE0EE7" w:rsidRPr="009C69FE">
        <w:rPr>
          <w:rFonts w:cs="Arial"/>
          <w:b/>
          <w:sz w:val="24"/>
          <w:szCs w:val="24"/>
        </w:rPr>
        <w:t xml:space="preserve"> </w:t>
      </w:r>
      <w:proofErr w:type="spellStart"/>
      <w:r w:rsidR="00DE0EE7" w:rsidRPr="009C69FE">
        <w:rPr>
          <w:rFonts w:cs="Arial"/>
          <w:b/>
          <w:sz w:val="24"/>
          <w:szCs w:val="24"/>
        </w:rPr>
        <w:t>Integrales</w:t>
      </w:r>
      <w:proofErr w:type="spellEnd"/>
      <w:r w:rsidR="00DE0EE7" w:rsidRPr="009C69FE">
        <w:rPr>
          <w:rFonts w:cs="Arial"/>
          <w:b/>
          <w:sz w:val="24"/>
          <w:szCs w:val="24"/>
        </w:rPr>
        <w:t xml:space="preserve"> SL</w:t>
      </w:r>
      <w:r w:rsidR="00DE0EE7" w:rsidRPr="009C69FE">
        <w:rPr>
          <w:rFonts w:cs="Arial"/>
          <w:sz w:val="24"/>
          <w:szCs w:val="24"/>
        </w:rPr>
        <w:t xml:space="preserve"> [2003] EWCA </w:t>
      </w:r>
      <w:proofErr w:type="spellStart"/>
      <w:r w:rsidR="00DE0EE7" w:rsidRPr="009C69FE">
        <w:rPr>
          <w:rFonts w:cs="Arial"/>
          <w:sz w:val="24"/>
          <w:szCs w:val="24"/>
        </w:rPr>
        <w:t>Civ</w:t>
      </w:r>
      <w:proofErr w:type="spellEnd"/>
      <w:r w:rsidR="00DE0EE7" w:rsidRPr="009C69FE">
        <w:rPr>
          <w:rFonts w:cs="Arial"/>
          <w:sz w:val="24"/>
          <w:szCs w:val="24"/>
        </w:rPr>
        <w:t xml:space="preserve"> 113, [2003] </w:t>
      </w:r>
      <w:r w:rsidR="00CE79C7" w:rsidRPr="009C69FE">
        <w:rPr>
          <w:rFonts w:cs="Arial"/>
          <w:sz w:val="24"/>
          <w:szCs w:val="24"/>
        </w:rPr>
        <w:t>QB</w:t>
      </w:r>
      <w:r w:rsidR="00DE0EE7" w:rsidRPr="009C69FE">
        <w:rPr>
          <w:rFonts w:cs="Arial"/>
          <w:sz w:val="24"/>
          <w:szCs w:val="24"/>
        </w:rPr>
        <w:t xml:space="preserve"> </w:t>
      </w:r>
      <w:r w:rsidR="00CE79C7" w:rsidRPr="009C69FE">
        <w:rPr>
          <w:rFonts w:cs="Arial"/>
          <w:sz w:val="24"/>
          <w:szCs w:val="24"/>
        </w:rPr>
        <w:t>1270</w:t>
      </w:r>
      <w:r w:rsidR="00DE0EE7" w:rsidRPr="009C69FE">
        <w:rPr>
          <w:rFonts w:cs="Arial"/>
          <w:sz w:val="24"/>
          <w:szCs w:val="24"/>
        </w:rPr>
        <w:t>)</w:t>
      </w:r>
      <w:r w:rsidR="000C26B2" w:rsidRPr="009C69FE">
        <w:rPr>
          <w:rFonts w:cs="Arial"/>
          <w:sz w:val="24"/>
          <w:szCs w:val="24"/>
        </w:rPr>
        <w:t>.</w:t>
      </w:r>
    </w:p>
    <w:p w14:paraId="46A4F5E0" w14:textId="77777777" w:rsidR="00925395" w:rsidRPr="009C69FE" w:rsidRDefault="00902B5B" w:rsidP="000C26B2">
      <w:pPr>
        <w:rPr>
          <w:rFonts w:cs="Arial"/>
          <w:b/>
          <w:sz w:val="24"/>
          <w:szCs w:val="24"/>
        </w:rPr>
      </w:pPr>
      <w:r w:rsidRPr="009C69FE">
        <w:rPr>
          <w:rFonts w:cs="Arial"/>
          <w:b/>
          <w:sz w:val="24"/>
          <w:szCs w:val="24"/>
        </w:rPr>
        <w:t>3.5.4</w:t>
      </w:r>
      <w:r w:rsidRPr="009C69FE">
        <w:rPr>
          <w:rFonts w:cs="Arial"/>
          <w:sz w:val="24"/>
          <w:szCs w:val="24"/>
        </w:rPr>
        <w:t xml:space="preserve"> </w:t>
      </w:r>
      <w:r w:rsidR="00925395" w:rsidRPr="009C69FE">
        <w:rPr>
          <w:rFonts w:cs="Arial"/>
          <w:b/>
          <w:sz w:val="24"/>
          <w:szCs w:val="24"/>
        </w:rPr>
        <w:t>Successive and substitute carriers</w:t>
      </w:r>
    </w:p>
    <w:p w14:paraId="41797B0D" w14:textId="77777777" w:rsidR="000C26B2" w:rsidRPr="009C69FE" w:rsidRDefault="00925395" w:rsidP="000C26B2">
      <w:pPr>
        <w:rPr>
          <w:rFonts w:cs="Arial"/>
          <w:sz w:val="24"/>
          <w:szCs w:val="24"/>
        </w:rPr>
      </w:pPr>
      <w:r w:rsidRPr="009C69FE">
        <w:rPr>
          <w:rFonts w:cs="Arial"/>
          <w:sz w:val="24"/>
          <w:szCs w:val="24"/>
        </w:rPr>
        <w:t>T</w:t>
      </w:r>
      <w:r w:rsidR="000C26B2" w:rsidRPr="009C69FE">
        <w:rPr>
          <w:rFonts w:cs="Arial"/>
          <w:sz w:val="24"/>
          <w:szCs w:val="24"/>
        </w:rPr>
        <w:t>here are</w:t>
      </w:r>
      <w:r w:rsidR="002738F2">
        <w:rPr>
          <w:rFonts w:cs="Arial"/>
          <w:sz w:val="24"/>
          <w:szCs w:val="24"/>
        </w:rPr>
        <w:t>,</w:t>
      </w:r>
      <w:r w:rsidRPr="009C69FE">
        <w:rPr>
          <w:rFonts w:cs="Arial"/>
          <w:sz w:val="24"/>
          <w:szCs w:val="24"/>
        </w:rPr>
        <w:t xml:space="preserve"> however, rules in</w:t>
      </w:r>
      <w:r w:rsidR="000C26B2" w:rsidRPr="009C69FE">
        <w:rPr>
          <w:rFonts w:cs="Arial"/>
          <w:sz w:val="24"/>
          <w:szCs w:val="24"/>
        </w:rPr>
        <w:t xml:space="preserve"> the</w:t>
      </w:r>
      <w:r w:rsidRPr="009C69FE">
        <w:rPr>
          <w:rFonts w:cs="Arial"/>
          <w:sz w:val="24"/>
          <w:szCs w:val="24"/>
        </w:rPr>
        <w:t>se</w:t>
      </w:r>
      <w:r w:rsidR="000C26B2" w:rsidRPr="009C69FE">
        <w:rPr>
          <w:rFonts w:cs="Arial"/>
          <w:sz w:val="24"/>
          <w:szCs w:val="24"/>
        </w:rPr>
        <w:t xml:space="preserve"> Conventions which can have the effect of imposing liability on persons other than the contracting carrier:  </w:t>
      </w:r>
    </w:p>
    <w:p w14:paraId="6C72720B" w14:textId="77777777" w:rsidR="000C26B2" w:rsidRPr="009C69FE" w:rsidRDefault="00902B5B" w:rsidP="00902B5B">
      <w:pPr>
        <w:spacing w:after="0"/>
        <w:rPr>
          <w:rFonts w:cs="Arial"/>
          <w:sz w:val="24"/>
          <w:szCs w:val="24"/>
        </w:rPr>
      </w:pPr>
      <w:r w:rsidRPr="009C69FE">
        <w:rPr>
          <w:rFonts w:cs="Arial"/>
          <w:b/>
          <w:sz w:val="24"/>
          <w:szCs w:val="24"/>
        </w:rPr>
        <w:t xml:space="preserve">3.5.4.1 </w:t>
      </w:r>
      <w:r w:rsidR="000C26B2" w:rsidRPr="009C69FE">
        <w:rPr>
          <w:rFonts w:cs="Arial"/>
          <w:b/>
          <w:sz w:val="24"/>
          <w:szCs w:val="24"/>
        </w:rPr>
        <w:t>CMR</w:t>
      </w:r>
      <w:r w:rsidR="000C26B2" w:rsidRPr="009C69FE">
        <w:rPr>
          <w:rFonts w:cs="Arial"/>
          <w:sz w:val="24"/>
          <w:szCs w:val="24"/>
        </w:rPr>
        <w:t>:</w:t>
      </w:r>
    </w:p>
    <w:p w14:paraId="7D8E0568" w14:textId="77777777" w:rsidR="000C26B2" w:rsidRPr="009C69FE" w:rsidRDefault="00D0757A" w:rsidP="000C26B2">
      <w:pPr>
        <w:rPr>
          <w:rFonts w:cs="Arial"/>
          <w:sz w:val="24"/>
          <w:szCs w:val="24"/>
        </w:rPr>
      </w:pPr>
      <w:r w:rsidRPr="009C69FE">
        <w:rPr>
          <w:rFonts w:cs="Arial"/>
          <w:sz w:val="24"/>
          <w:szCs w:val="24"/>
        </w:rPr>
        <w:br/>
      </w:r>
      <w:r w:rsidR="000C26B2" w:rsidRPr="009C69FE">
        <w:rPr>
          <w:rFonts w:cs="Arial"/>
          <w:sz w:val="24"/>
          <w:szCs w:val="24"/>
        </w:rPr>
        <w:t xml:space="preserve">It is possible for a sub-contracting carrier from a contracting CMR carrier to be regarded as a successive carrier.  This has the effect of bringing the sub-contractor within the CMR scheme so that this operator becomes responsible to the customer along with the contracting carrier. </w:t>
      </w:r>
    </w:p>
    <w:p w14:paraId="4C7258E6" w14:textId="77777777" w:rsidR="000C26B2" w:rsidRPr="009C69FE" w:rsidRDefault="000C26B2" w:rsidP="000C26B2">
      <w:pPr>
        <w:rPr>
          <w:rFonts w:cs="Arial"/>
          <w:sz w:val="24"/>
          <w:szCs w:val="24"/>
        </w:rPr>
      </w:pPr>
      <w:r w:rsidRPr="009C69FE">
        <w:rPr>
          <w:rFonts w:cs="Arial"/>
          <w:sz w:val="24"/>
          <w:szCs w:val="24"/>
        </w:rPr>
        <w:t xml:space="preserve">By Art.34: “If carriage governed by a single contract is performed by successive road carriers, each of them shall be responsible for the performance of the whole operation, the second carrier and each succeeding carrier becoming a party to the contract of carriage, </w:t>
      </w:r>
      <w:r w:rsidRPr="009C69FE">
        <w:rPr>
          <w:rFonts w:cs="Arial"/>
          <w:sz w:val="24"/>
          <w:szCs w:val="24"/>
        </w:rPr>
        <w:lastRenderedPageBreak/>
        <w:t>under the terms of the consignment note, by reason of his acceptance of the goods and the consignment note”.</w:t>
      </w:r>
    </w:p>
    <w:p w14:paraId="59C93B9B" w14:textId="066946CE" w:rsidR="000C26B2" w:rsidRPr="009C69FE" w:rsidRDefault="000C26B2" w:rsidP="000C26B2">
      <w:pPr>
        <w:rPr>
          <w:rFonts w:cs="Arial"/>
          <w:sz w:val="24"/>
          <w:szCs w:val="24"/>
        </w:rPr>
      </w:pPr>
      <w:r w:rsidRPr="009C69FE">
        <w:rPr>
          <w:rFonts w:cs="Arial"/>
          <w:sz w:val="24"/>
          <w:szCs w:val="24"/>
        </w:rPr>
        <w:t>The courts of most CMR countries accept that there must be an acceptance of a CMR consignment note as well as the goods so that the subsequent carrier can recognise his CMR responsibility</w:t>
      </w:r>
      <w:r w:rsidR="00C61FF1" w:rsidRPr="009C69FE">
        <w:rPr>
          <w:rFonts w:cs="Arial"/>
          <w:sz w:val="24"/>
          <w:szCs w:val="24"/>
        </w:rPr>
        <w:t xml:space="preserve"> (see </w:t>
      </w:r>
      <w:proofErr w:type="gramStart"/>
      <w:r w:rsidR="00C61FF1" w:rsidRPr="009C69FE">
        <w:rPr>
          <w:rFonts w:cs="Arial"/>
          <w:sz w:val="24"/>
          <w:szCs w:val="24"/>
        </w:rPr>
        <w:t>e.g.</w:t>
      </w:r>
      <w:proofErr w:type="gramEnd"/>
      <w:r w:rsidR="00C61FF1" w:rsidRPr="009C69FE">
        <w:rPr>
          <w:rFonts w:cs="Arial"/>
          <w:sz w:val="24"/>
          <w:szCs w:val="24"/>
        </w:rPr>
        <w:t xml:space="preserve"> </w:t>
      </w:r>
      <w:r w:rsidR="00C61FF1" w:rsidRPr="009C69FE">
        <w:rPr>
          <w:rFonts w:cs="Arial"/>
          <w:b/>
          <w:sz w:val="24"/>
          <w:szCs w:val="24"/>
        </w:rPr>
        <w:t>Parr v Clark &amp; Rose Ltd</w:t>
      </w:r>
      <w:r w:rsidR="00C61FF1" w:rsidRPr="009C69FE">
        <w:rPr>
          <w:rFonts w:cs="Arial"/>
          <w:sz w:val="24"/>
          <w:szCs w:val="24"/>
        </w:rPr>
        <w:t xml:space="preserve"> [2002] SCLR 222</w:t>
      </w:r>
      <w:r w:rsidRPr="009C69FE">
        <w:rPr>
          <w:rFonts w:cs="Arial"/>
          <w:sz w:val="24"/>
          <w:szCs w:val="24"/>
        </w:rPr>
        <w:t xml:space="preserve">.  </w:t>
      </w:r>
      <w:r w:rsidR="002738F2">
        <w:rPr>
          <w:rFonts w:cs="Arial"/>
          <w:sz w:val="24"/>
          <w:szCs w:val="24"/>
        </w:rPr>
        <w:t>Failure to comply with m</w:t>
      </w:r>
      <w:r w:rsidRPr="009C69FE">
        <w:rPr>
          <w:rFonts w:cs="Arial"/>
          <w:sz w:val="24"/>
          <w:szCs w:val="24"/>
        </w:rPr>
        <w:t>inor requirements such as entering his name and address on the consignment note (under art.35(1)) may not necessarily prevent this classification (</w:t>
      </w:r>
      <w:r w:rsidRPr="009C69FE">
        <w:rPr>
          <w:rFonts w:cs="Arial"/>
          <w:b/>
          <w:sz w:val="24"/>
          <w:szCs w:val="24"/>
        </w:rPr>
        <w:t xml:space="preserve">SGS-Ates </w:t>
      </w:r>
      <w:proofErr w:type="spellStart"/>
      <w:r w:rsidRPr="009C69FE">
        <w:rPr>
          <w:rFonts w:cs="Arial"/>
          <w:b/>
          <w:sz w:val="24"/>
          <w:szCs w:val="24"/>
        </w:rPr>
        <w:t>Componenti</w:t>
      </w:r>
      <w:proofErr w:type="spellEnd"/>
      <w:r w:rsidRPr="009C69FE">
        <w:rPr>
          <w:rFonts w:cs="Arial"/>
          <w:b/>
          <w:sz w:val="24"/>
          <w:szCs w:val="24"/>
        </w:rPr>
        <w:t xml:space="preserve"> </w:t>
      </w:r>
      <w:proofErr w:type="spellStart"/>
      <w:r w:rsidRPr="009C69FE">
        <w:rPr>
          <w:rFonts w:cs="Arial"/>
          <w:b/>
          <w:sz w:val="24"/>
          <w:szCs w:val="24"/>
        </w:rPr>
        <w:t>Elettronici</w:t>
      </w:r>
      <w:proofErr w:type="spellEnd"/>
      <w:r w:rsidRPr="009C69FE">
        <w:rPr>
          <w:rFonts w:cs="Arial"/>
          <w:b/>
          <w:sz w:val="24"/>
          <w:szCs w:val="24"/>
        </w:rPr>
        <w:t xml:space="preserve"> </w:t>
      </w:r>
      <w:proofErr w:type="spellStart"/>
      <w:r w:rsidRPr="009C69FE">
        <w:rPr>
          <w:rFonts w:cs="Arial"/>
          <w:b/>
          <w:sz w:val="24"/>
          <w:szCs w:val="24"/>
        </w:rPr>
        <w:t>SpA</w:t>
      </w:r>
      <w:proofErr w:type="spellEnd"/>
      <w:r w:rsidRPr="009C69FE">
        <w:rPr>
          <w:rFonts w:cs="Arial"/>
          <w:b/>
          <w:sz w:val="24"/>
          <w:szCs w:val="24"/>
        </w:rPr>
        <w:t xml:space="preserve"> v. </w:t>
      </w:r>
      <w:proofErr w:type="spellStart"/>
      <w:r w:rsidRPr="009C69FE">
        <w:rPr>
          <w:rFonts w:cs="Arial"/>
          <w:b/>
          <w:sz w:val="24"/>
          <w:szCs w:val="24"/>
        </w:rPr>
        <w:t>Grappo</w:t>
      </w:r>
      <w:proofErr w:type="spellEnd"/>
      <w:r w:rsidRPr="009C69FE">
        <w:rPr>
          <w:rFonts w:cs="Arial"/>
          <w:b/>
          <w:sz w:val="24"/>
          <w:szCs w:val="24"/>
        </w:rPr>
        <w:t xml:space="preserve"> Ltd</w:t>
      </w:r>
      <w:r w:rsidRPr="009C69FE">
        <w:rPr>
          <w:rFonts w:cs="Arial"/>
          <w:sz w:val="24"/>
          <w:szCs w:val="24"/>
        </w:rPr>
        <w:t xml:space="preserve"> [1978] 1 Lloyd’s Rep. 281).  Parties classified as successive carriers become responsible for the whole carriage along with the contracting carrier and other successive carriers.  It does not matter that they only perform part of the carriage or that it is only a national section or that loss or damage was caused by one of the other carriers.  This means that the claimant customer has extra defendants to sue – but there is a limit - </w:t>
      </w:r>
      <w:r w:rsidR="002738F2">
        <w:rPr>
          <w:rFonts w:cs="Arial"/>
          <w:sz w:val="24"/>
          <w:szCs w:val="24"/>
        </w:rPr>
        <w:t>s</w:t>
      </w:r>
      <w:r w:rsidRPr="009C69FE">
        <w:rPr>
          <w:rFonts w:cs="Arial"/>
          <w:sz w:val="24"/>
          <w:szCs w:val="24"/>
        </w:rPr>
        <w:t>he can only sue the first, the last, or the carrier performing that portion of the carriage during which the event causing the loss, damage or delay occurred (art.36).  However, all successive carriers are subject to rules which apply to the relationship between them (art.37-39) unless they have made different arrangements (art.40).</w:t>
      </w:r>
      <w:r w:rsidRPr="009C69FE">
        <w:rPr>
          <w:rFonts w:cs="Arial"/>
          <w:sz w:val="24"/>
          <w:szCs w:val="24"/>
        </w:rPr>
        <w:br/>
      </w:r>
      <w:r w:rsidRPr="009C69FE">
        <w:rPr>
          <w:rFonts w:cs="Arial"/>
          <w:sz w:val="24"/>
          <w:szCs w:val="24"/>
        </w:rPr>
        <w:br/>
        <w:t xml:space="preserve">Given the flexibility of road carriage and the various ways carriers can combine, the scheme is difficult to operate.  A narrow idea of the scheme would suggest that it should apply only when there is successive performance of the transport with </w:t>
      </w:r>
      <w:r w:rsidR="006D17E2">
        <w:rPr>
          <w:rFonts w:cs="Arial"/>
          <w:sz w:val="24"/>
          <w:szCs w:val="24"/>
        </w:rPr>
        <w:t xml:space="preserve">physical </w:t>
      </w:r>
      <w:r w:rsidRPr="009C69FE">
        <w:rPr>
          <w:rFonts w:cs="Arial"/>
          <w:sz w:val="24"/>
          <w:szCs w:val="24"/>
        </w:rPr>
        <w:t xml:space="preserve">passing of the goods and the consignment note from carrier to carrier in a clear sequence of performance.  Courts in some countries </w:t>
      </w:r>
      <w:r w:rsidR="00C61FF1" w:rsidRPr="009C69FE">
        <w:rPr>
          <w:rFonts w:cs="Arial"/>
          <w:sz w:val="24"/>
          <w:szCs w:val="24"/>
        </w:rPr>
        <w:t xml:space="preserve">may </w:t>
      </w:r>
      <w:r w:rsidRPr="009C69FE">
        <w:rPr>
          <w:rFonts w:cs="Arial"/>
          <w:sz w:val="24"/>
          <w:szCs w:val="24"/>
        </w:rPr>
        <w:t>lean to</w:t>
      </w:r>
      <w:r w:rsidR="006D17E2">
        <w:rPr>
          <w:rFonts w:cs="Arial"/>
          <w:sz w:val="24"/>
          <w:szCs w:val="24"/>
        </w:rPr>
        <w:t>wards</w:t>
      </w:r>
      <w:r w:rsidRPr="009C69FE">
        <w:rPr>
          <w:rFonts w:cs="Arial"/>
          <w:sz w:val="24"/>
          <w:szCs w:val="24"/>
        </w:rPr>
        <w:t xml:space="preserve"> this approach or a</w:t>
      </w:r>
      <w:r w:rsidR="00C61FF1" w:rsidRPr="009C69FE">
        <w:rPr>
          <w:rFonts w:cs="Arial"/>
          <w:sz w:val="24"/>
          <w:szCs w:val="24"/>
        </w:rPr>
        <w:t>t least a</w:t>
      </w:r>
      <w:r w:rsidRPr="009C69FE">
        <w:rPr>
          <w:rFonts w:cs="Arial"/>
          <w:sz w:val="24"/>
          <w:szCs w:val="24"/>
        </w:rPr>
        <w:t xml:space="preserve"> variation of it (</w:t>
      </w:r>
      <w:r w:rsidR="00176F6F" w:rsidRPr="009C69FE">
        <w:rPr>
          <w:rFonts w:cs="Arial"/>
          <w:sz w:val="24"/>
          <w:szCs w:val="24"/>
        </w:rPr>
        <w:t>e.g.,</w:t>
      </w:r>
      <w:r w:rsidRPr="009C69FE">
        <w:rPr>
          <w:rFonts w:cs="Arial"/>
          <w:sz w:val="24"/>
          <w:szCs w:val="24"/>
        </w:rPr>
        <w:t xml:space="preserve"> in Belgium the courts have held that subcontracting the entire performance is not successive carriage </w:t>
      </w:r>
      <w:proofErr w:type="gramStart"/>
      <w:r w:rsidRPr="009C69FE">
        <w:rPr>
          <w:rFonts w:cs="Arial"/>
          <w:sz w:val="24"/>
          <w:szCs w:val="24"/>
        </w:rPr>
        <w:t>e.g.</w:t>
      </w:r>
      <w:proofErr w:type="gramEnd"/>
      <w:r w:rsidRPr="009C69FE">
        <w:rPr>
          <w:rFonts w:cs="Arial"/>
          <w:sz w:val="24"/>
          <w:szCs w:val="24"/>
        </w:rPr>
        <w:t xml:space="preserve"> </w:t>
      </w:r>
      <w:r w:rsidRPr="009C69FE">
        <w:rPr>
          <w:rFonts w:cs="Arial"/>
          <w:b/>
          <w:sz w:val="24"/>
          <w:szCs w:val="24"/>
        </w:rPr>
        <w:t>Tribunal de Commerce de Liège</w:t>
      </w:r>
      <w:r w:rsidRPr="009C69FE">
        <w:rPr>
          <w:rFonts w:cs="Arial"/>
          <w:sz w:val="24"/>
          <w:szCs w:val="24"/>
        </w:rPr>
        <w:t xml:space="preserve">, 12.06 98 and </w:t>
      </w:r>
      <w:proofErr w:type="spellStart"/>
      <w:r w:rsidRPr="009C69FE">
        <w:rPr>
          <w:rFonts w:cs="Arial"/>
          <w:b/>
          <w:sz w:val="24"/>
          <w:szCs w:val="24"/>
        </w:rPr>
        <w:t>Cour</w:t>
      </w:r>
      <w:proofErr w:type="spellEnd"/>
      <w:r w:rsidRPr="009C69FE">
        <w:rPr>
          <w:rFonts w:cs="Arial"/>
          <w:b/>
          <w:sz w:val="24"/>
          <w:szCs w:val="24"/>
        </w:rPr>
        <w:t xml:space="preserve"> de Cassation</w:t>
      </w:r>
      <w:r w:rsidR="005B313A" w:rsidRPr="009C69FE">
        <w:rPr>
          <w:rFonts w:cs="Arial"/>
          <w:sz w:val="24"/>
          <w:szCs w:val="24"/>
        </w:rPr>
        <w:t xml:space="preserve"> 30.06.95</w:t>
      </w:r>
      <w:r w:rsidR="00AF72E5">
        <w:rPr>
          <w:rFonts w:cs="Arial"/>
          <w:sz w:val="24"/>
          <w:szCs w:val="24"/>
        </w:rPr>
        <w:t>)</w:t>
      </w:r>
      <w:r w:rsidRPr="009C69FE">
        <w:rPr>
          <w:rFonts w:cs="Arial"/>
          <w:sz w:val="24"/>
          <w:szCs w:val="24"/>
        </w:rPr>
        <w:t>.  English courts have been liberal in their view of the scheme and have applied it generously.</w:t>
      </w:r>
    </w:p>
    <w:p w14:paraId="18009129" w14:textId="77777777" w:rsidR="000C26B2" w:rsidRPr="009C69FE" w:rsidRDefault="000C26B2" w:rsidP="000C26B2">
      <w:pPr>
        <w:rPr>
          <w:rFonts w:cs="Arial"/>
          <w:sz w:val="24"/>
          <w:szCs w:val="24"/>
        </w:rPr>
      </w:pPr>
      <w:r w:rsidRPr="009C69FE">
        <w:rPr>
          <w:rFonts w:cs="Arial"/>
          <w:sz w:val="24"/>
          <w:szCs w:val="24"/>
        </w:rPr>
        <w:t xml:space="preserve">In </w:t>
      </w:r>
      <w:r w:rsidRPr="009C69FE">
        <w:rPr>
          <w:rFonts w:cs="Arial"/>
          <w:b/>
          <w:sz w:val="24"/>
          <w:szCs w:val="24"/>
        </w:rPr>
        <w:t xml:space="preserve">Ulster-Swift </w:t>
      </w:r>
      <w:r w:rsidR="005B313A" w:rsidRPr="009C69FE">
        <w:rPr>
          <w:rFonts w:cs="Arial"/>
          <w:b/>
          <w:sz w:val="24"/>
          <w:szCs w:val="24"/>
        </w:rPr>
        <w:t xml:space="preserve">Ltd </w:t>
      </w:r>
      <w:r w:rsidRPr="009C69FE">
        <w:rPr>
          <w:rFonts w:cs="Arial"/>
          <w:b/>
          <w:sz w:val="24"/>
          <w:szCs w:val="24"/>
        </w:rPr>
        <w:t>v. Taunton Meat Haulage</w:t>
      </w:r>
      <w:r w:rsidR="005B313A" w:rsidRPr="009C69FE">
        <w:rPr>
          <w:rFonts w:cs="Arial"/>
          <w:b/>
          <w:sz w:val="24"/>
          <w:szCs w:val="24"/>
        </w:rPr>
        <w:t xml:space="preserve"> Ltd</w:t>
      </w:r>
      <w:r w:rsidR="005B313A" w:rsidRPr="009C69FE">
        <w:rPr>
          <w:rFonts w:cs="Arial"/>
          <w:sz w:val="24"/>
          <w:szCs w:val="24"/>
        </w:rPr>
        <w:t xml:space="preserve"> [1977] 1 Lloyd’s Rep. 346, </w:t>
      </w:r>
      <w:r w:rsidRPr="009C69FE">
        <w:rPr>
          <w:rFonts w:cs="Arial"/>
          <w:sz w:val="24"/>
          <w:szCs w:val="24"/>
        </w:rPr>
        <w:t>the contracting carrier -</w:t>
      </w:r>
      <w:r w:rsidR="005B313A" w:rsidRPr="009C69FE">
        <w:rPr>
          <w:rFonts w:cs="Arial"/>
          <w:sz w:val="24"/>
          <w:szCs w:val="24"/>
        </w:rPr>
        <w:t xml:space="preserve"> Taunton </w:t>
      </w:r>
      <w:r w:rsidRPr="009C69FE">
        <w:rPr>
          <w:rFonts w:cs="Arial"/>
          <w:sz w:val="24"/>
          <w:szCs w:val="24"/>
        </w:rPr>
        <w:t xml:space="preserve">subcontracted the whole of a carriage to </w:t>
      </w:r>
      <w:proofErr w:type="spellStart"/>
      <w:r w:rsidRPr="009C69FE">
        <w:rPr>
          <w:rFonts w:cs="Arial"/>
          <w:sz w:val="24"/>
          <w:szCs w:val="24"/>
        </w:rPr>
        <w:t>Fransen</w:t>
      </w:r>
      <w:proofErr w:type="spellEnd"/>
      <w:r w:rsidRPr="009C69FE">
        <w:rPr>
          <w:rFonts w:cs="Arial"/>
          <w:sz w:val="24"/>
          <w:szCs w:val="24"/>
        </w:rPr>
        <w:t xml:space="preserve">.  </w:t>
      </w:r>
      <w:proofErr w:type="spellStart"/>
      <w:r w:rsidRPr="009C69FE">
        <w:rPr>
          <w:rFonts w:cs="Arial"/>
          <w:sz w:val="24"/>
          <w:szCs w:val="24"/>
        </w:rPr>
        <w:t>Fransen</w:t>
      </w:r>
      <w:proofErr w:type="spellEnd"/>
      <w:r w:rsidRPr="009C69FE">
        <w:rPr>
          <w:rFonts w:cs="Arial"/>
          <w:sz w:val="24"/>
          <w:szCs w:val="24"/>
        </w:rPr>
        <w:t xml:space="preserve"> collected the goods and issued a consignment note to the customer which named </w:t>
      </w:r>
      <w:proofErr w:type="spellStart"/>
      <w:r w:rsidRPr="009C69FE">
        <w:rPr>
          <w:rFonts w:cs="Arial"/>
          <w:sz w:val="24"/>
          <w:szCs w:val="24"/>
        </w:rPr>
        <w:t>Fransen</w:t>
      </w:r>
      <w:proofErr w:type="spellEnd"/>
      <w:r w:rsidRPr="009C69FE">
        <w:rPr>
          <w:rFonts w:cs="Arial"/>
          <w:sz w:val="24"/>
          <w:szCs w:val="24"/>
        </w:rPr>
        <w:t xml:space="preserve"> as carrier.  Since Taunton had contracted to </w:t>
      </w:r>
      <w:proofErr w:type="gramStart"/>
      <w:r w:rsidRPr="009C69FE">
        <w:rPr>
          <w:rFonts w:cs="Arial"/>
          <w:sz w:val="24"/>
          <w:szCs w:val="24"/>
        </w:rPr>
        <w:t>carry</w:t>
      </w:r>
      <w:proofErr w:type="gramEnd"/>
      <w:r w:rsidRPr="009C69FE">
        <w:rPr>
          <w:rFonts w:cs="Arial"/>
          <w:sz w:val="24"/>
          <w:szCs w:val="24"/>
        </w:rPr>
        <w:t xml:space="preserve"> he was </w:t>
      </w:r>
      <w:r w:rsidR="006D17E2">
        <w:rPr>
          <w:rFonts w:cs="Arial"/>
          <w:sz w:val="24"/>
          <w:szCs w:val="24"/>
        </w:rPr>
        <w:t xml:space="preserve">held to be </w:t>
      </w:r>
      <w:r w:rsidRPr="009C69FE">
        <w:rPr>
          <w:rFonts w:cs="Arial"/>
          <w:sz w:val="24"/>
          <w:szCs w:val="24"/>
        </w:rPr>
        <w:t xml:space="preserve">responsible as contracting carrier.  The court also held that </w:t>
      </w:r>
      <w:proofErr w:type="spellStart"/>
      <w:r w:rsidRPr="009C69FE">
        <w:rPr>
          <w:rFonts w:cs="Arial"/>
          <w:sz w:val="24"/>
          <w:szCs w:val="24"/>
        </w:rPr>
        <w:t>Fransen</w:t>
      </w:r>
      <w:proofErr w:type="spellEnd"/>
      <w:r w:rsidRPr="009C69FE">
        <w:rPr>
          <w:rFonts w:cs="Arial"/>
          <w:sz w:val="24"/>
          <w:szCs w:val="24"/>
        </w:rPr>
        <w:t xml:space="preserve"> was a successive carrier even though he had taken over the goods directly from the sender and had issued the consignment note rather than ‘accepted’ them from a previous carrier.  </w:t>
      </w:r>
    </w:p>
    <w:p w14:paraId="68CDA24A" w14:textId="77777777" w:rsidR="000C26B2" w:rsidRPr="009C69FE" w:rsidRDefault="000C26B2" w:rsidP="000C26B2">
      <w:pPr>
        <w:rPr>
          <w:rFonts w:cs="Arial"/>
          <w:sz w:val="24"/>
          <w:szCs w:val="24"/>
        </w:rPr>
      </w:pPr>
      <w:r w:rsidRPr="009C69FE">
        <w:rPr>
          <w:rFonts w:cs="Arial"/>
          <w:sz w:val="24"/>
          <w:szCs w:val="24"/>
        </w:rPr>
        <w:t xml:space="preserve">The developed theory seems to be that a subcontractor can both accept goods and consignment note on his own behalf and on behalf of his contractor.  This can apply at any stage of the transit so that a subcontractor lower down the line might be regarded as a successive carrier through the acceptance of the goods and the consignment note through his </w:t>
      </w:r>
      <w:r w:rsidR="006D17E2">
        <w:rPr>
          <w:rFonts w:cs="Arial"/>
          <w:sz w:val="24"/>
          <w:szCs w:val="24"/>
        </w:rPr>
        <w:t xml:space="preserve">own </w:t>
      </w:r>
      <w:r w:rsidRPr="009C69FE">
        <w:rPr>
          <w:rFonts w:cs="Arial"/>
          <w:sz w:val="24"/>
          <w:szCs w:val="24"/>
        </w:rPr>
        <w:t xml:space="preserve">subcontractor (suggested in the </w:t>
      </w:r>
      <w:r w:rsidRPr="009C69FE">
        <w:rPr>
          <w:rFonts w:cs="Arial"/>
          <w:b/>
          <w:sz w:val="24"/>
          <w:szCs w:val="24"/>
        </w:rPr>
        <w:t>SGS case,</w:t>
      </w:r>
      <w:r w:rsidRPr="009C69FE">
        <w:rPr>
          <w:rFonts w:cs="Arial"/>
          <w:sz w:val="24"/>
          <w:szCs w:val="24"/>
        </w:rPr>
        <w:t xml:space="preserve"> see above).  Further in the case of </w:t>
      </w:r>
      <w:r w:rsidRPr="009C69FE">
        <w:rPr>
          <w:rFonts w:cs="Arial"/>
          <w:b/>
          <w:sz w:val="24"/>
          <w:szCs w:val="24"/>
        </w:rPr>
        <w:t>Coggins v. LKW Walter International</w:t>
      </w:r>
      <w:r w:rsidRPr="009C69FE">
        <w:rPr>
          <w:rFonts w:cs="Arial"/>
          <w:sz w:val="24"/>
          <w:szCs w:val="24"/>
        </w:rPr>
        <w:t xml:space="preserve"> [1999] 1 Lloyd’s Rep. 255, the court accepted that even where A subcontracted the whole carriage to B who subcontracted the whole carriage to C, B was a successive carrier. </w:t>
      </w:r>
    </w:p>
    <w:p w14:paraId="33D7ED44" w14:textId="77777777" w:rsidR="000C26B2" w:rsidRPr="009C69FE" w:rsidRDefault="00902B5B" w:rsidP="00902B5B">
      <w:pPr>
        <w:spacing w:after="0"/>
        <w:rPr>
          <w:rFonts w:cs="Arial"/>
          <w:b/>
          <w:sz w:val="24"/>
          <w:szCs w:val="24"/>
        </w:rPr>
      </w:pPr>
      <w:r w:rsidRPr="009C69FE">
        <w:rPr>
          <w:rFonts w:cs="Arial"/>
          <w:b/>
          <w:sz w:val="24"/>
          <w:szCs w:val="24"/>
        </w:rPr>
        <w:t xml:space="preserve">3.5.4.2 </w:t>
      </w:r>
      <w:r w:rsidR="000C26B2" w:rsidRPr="009C69FE">
        <w:rPr>
          <w:rFonts w:cs="Arial"/>
          <w:b/>
          <w:sz w:val="24"/>
          <w:szCs w:val="24"/>
        </w:rPr>
        <w:t>CIM</w:t>
      </w:r>
    </w:p>
    <w:p w14:paraId="7DB61142" w14:textId="37DB9F2A" w:rsidR="000C26B2" w:rsidRPr="009C69FE" w:rsidRDefault="00D0757A" w:rsidP="000C26B2">
      <w:pPr>
        <w:rPr>
          <w:rFonts w:cs="Arial"/>
          <w:sz w:val="24"/>
          <w:szCs w:val="24"/>
        </w:rPr>
      </w:pPr>
      <w:r w:rsidRPr="009C69FE">
        <w:rPr>
          <w:rFonts w:cs="Arial"/>
          <w:sz w:val="24"/>
          <w:szCs w:val="24"/>
        </w:rPr>
        <w:br/>
      </w:r>
      <w:r w:rsidR="000C26B2" w:rsidRPr="009C69FE">
        <w:rPr>
          <w:rFonts w:cs="Arial"/>
          <w:sz w:val="24"/>
          <w:szCs w:val="24"/>
        </w:rPr>
        <w:t xml:space="preserve">Old CIM had a similar system which made a degree of sense given that railways, in effect, grouped together in a collective system for international carriage.  Despite the opening out </w:t>
      </w:r>
      <w:r w:rsidR="000C26B2" w:rsidRPr="009C69FE">
        <w:rPr>
          <w:rFonts w:cs="Arial"/>
          <w:sz w:val="24"/>
          <w:szCs w:val="24"/>
        </w:rPr>
        <w:lastRenderedPageBreak/>
        <w:t xml:space="preserve">of the railway system to which new CIM is a response, a system of successive carriage has been continued.  However, it seems that, in practice, </w:t>
      </w:r>
      <w:r w:rsidR="00AF72E5">
        <w:rPr>
          <w:rFonts w:cs="Arial"/>
          <w:sz w:val="24"/>
          <w:szCs w:val="24"/>
        </w:rPr>
        <w:t xml:space="preserve">the </w:t>
      </w:r>
      <w:r w:rsidR="000C26B2" w:rsidRPr="009C69FE">
        <w:rPr>
          <w:rFonts w:cs="Arial"/>
          <w:sz w:val="24"/>
          <w:szCs w:val="24"/>
        </w:rPr>
        <w:t>different types of</w:t>
      </w:r>
      <w:r w:rsidR="00AF72E5">
        <w:rPr>
          <w:rFonts w:cs="Arial"/>
          <w:sz w:val="24"/>
          <w:szCs w:val="24"/>
        </w:rPr>
        <w:t xml:space="preserve"> contractual arrangement are</w:t>
      </w:r>
      <w:r w:rsidR="000C26B2" w:rsidRPr="009C69FE">
        <w:rPr>
          <w:rFonts w:cs="Arial"/>
          <w:sz w:val="24"/>
          <w:szCs w:val="24"/>
        </w:rPr>
        <w:t xml:space="preserve"> clearly delineat</w:t>
      </w:r>
      <w:r w:rsidR="00AF72E5">
        <w:rPr>
          <w:rFonts w:cs="Arial"/>
          <w:sz w:val="24"/>
          <w:szCs w:val="24"/>
        </w:rPr>
        <w:t>ed so that the courts should</w:t>
      </w:r>
      <w:r w:rsidR="000C26B2" w:rsidRPr="009C69FE">
        <w:rPr>
          <w:rFonts w:cs="Arial"/>
          <w:sz w:val="24"/>
          <w:szCs w:val="24"/>
        </w:rPr>
        <w:t xml:space="preserve"> find it easier to apply</w:t>
      </w:r>
      <w:r w:rsidR="00AF72E5">
        <w:rPr>
          <w:rFonts w:cs="Arial"/>
          <w:sz w:val="24"/>
          <w:szCs w:val="24"/>
        </w:rPr>
        <w:t xml:space="preserve"> </w:t>
      </w:r>
      <w:proofErr w:type="spellStart"/>
      <w:proofErr w:type="gramStart"/>
      <w:r w:rsidR="00AF72E5">
        <w:rPr>
          <w:rFonts w:cs="Arial"/>
          <w:sz w:val="24"/>
          <w:szCs w:val="24"/>
        </w:rPr>
        <w:t>here</w:t>
      </w:r>
      <w:r w:rsidR="000C26B2" w:rsidRPr="009C69FE">
        <w:rPr>
          <w:rFonts w:cs="Arial"/>
          <w:sz w:val="24"/>
          <w:szCs w:val="24"/>
        </w:rPr>
        <w:t>.</w:t>
      </w:r>
      <w:r w:rsidR="00A906CE">
        <w:rPr>
          <w:rFonts w:cs="Arial"/>
          <w:sz w:val="24"/>
          <w:szCs w:val="24"/>
        </w:rPr>
        <w:t>wh</w:t>
      </w:r>
      <w:r w:rsidR="004E3EDF">
        <w:rPr>
          <w:rFonts w:cs="Arial"/>
          <w:sz w:val="24"/>
          <w:szCs w:val="24"/>
        </w:rPr>
        <w:t>f</w:t>
      </w:r>
      <w:proofErr w:type="spellEnd"/>
      <w:proofErr w:type="gramEnd"/>
    </w:p>
    <w:p w14:paraId="4CC0FCB9" w14:textId="77777777" w:rsidR="000C26B2" w:rsidRPr="009C69FE" w:rsidRDefault="000C26B2" w:rsidP="000C26B2">
      <w:pPr>
        <w:rPr>
          <w:rFonts w:cs="Arial"/>
          <w:sz w:val="24"/>
          <w:szCs w:val="24"/>
        </w:rPr>
      </w:pPr>
      <w:r w:rsidRPr="009C69FE">
        <w:rPr>
          <w:rFonts w:cs="Arial"/>
          <w:sz w:val="24"/>
          <w:szCs w:val="24"/>
        </w:rPr>
        <w:t>Like CMR, CIM provides for a successive carrier to take responsibility for the whole carriage by “the very act of taking over the goods with the consignment note” (art.26).    Also, like CMR actions based on the contract of carriage can only be brought against the first carrier, the last carrier or the carrier having performed the part of the carriage on which the event giving rise to the proceedings occurred (art.45(1)).</w:t>
      </w:r>
      <w:r w:rsidRPr="009C69FE">
        <w:rPr>
          <w:rFonts w:cs="Arial"/>
          <w:sz w:val="24"/>
          <w:szCs w:val="24"/>
        </w:rPr>
        <w:br/>
      </w:r>
      <w:r w:rsidRPr="009C69FE">
        <w:rPr>
          <w:rFonts w:cs="Arial"/>
          <w:sz w:val="24"/>
          <w:szCs w:val="24"/>
        </w:rPr>
        <w:br/>
        <w:t>Unlike CMR where the carrier who must deliver the goods is entered with his consent on the consignment note, an action can be brought against him even if he has received neither the goods nor the consignment note (art.45(2)).</w:t>
      </w:r>
    </w:p>
    <w:p w14:paraId="22AC26D7" w14:textId="77777777" w:rsidR="000C26B2" w:rsidRPr="009C69FE" w:rsidRDefault="000C26B2" w:rsidP="000C26B2">
      <w:pPr>
        <w:rPr>
          <w:rFonts w:cs="Arial"/>
          <w:sz w:val="24"/>
          <w:szCs w:val="24"/>
        </w:rPr>
      </w:pPr>
      <w:r w:rsidRPr="009C69FE">
        <w:rPr>
          <w:rFonts w:cs="Arial"/>
          <w:sz w:val="24"/>
          <w:szCs w:val="24"/>
        </w:rPr>
        <w:t xml:space="preserve">Furthermore, </w:t>
      </w:r>
      <w:r w:rsidR="00D0757A" w:rsidRPr="009C69FE">
        <w:rPr>
          <w:rFonts w:cs="Arial"/>
          <w:sz w:val="24"/>
          <w:szCs w:val="24"/>
        </w:rPr>
        <w:t xml:space="preserve">and again </w:t>
      </w:r>
      <w:r w:rsidRPr="009C69FE">
        <w:rPr>
          <w:rFonts w:cs="Arial"/>
          <w:sz w:val="24"/>
          <w:szCs w:val="24"/>
        </w:rPr>
        <w:t xml:space="preserve">unlike CMR, CIM also recognises an additional concept of a substitute carrier.  Having made clear that a carrier who entrusts the performance of the carriage, in whole or in part, to a </w:t>
      </w:r>
      <w:r w:rsidR="00B20898" w:rsidRPr="009C69FE">
        <w:rPr>
          <w:rFonts w:cs="Arial"/>
          <w:sz w:val="24"/>
          <w:szCs w:val="24"/>
        </w:rPr>
        <w:t xml:space="preserve">substitute carrier, </w:t>
      </w:r>
      <w:r w:rsidRPr="009C69FE">
        <w:rPr>
          <w:rFonts w:cs="Arial"/>
          <w:sz w:val="24"/>
          <w:szCs w:val="24"/>
        </w:rPr>
        <w:t>remains liable (art.27(1)), CIM goes on to apply its rules on liability to the substitute carrier for the carriage performed by him.  Persons used by him are also given the protection of the rules (art.27(2)).</w:t>
      </w:r>
    </w:p>
    <w:p w14:paraId="415AD395" w14:textId="77777777" w:rsidR="000C26B2" w:rsidRPr="009C69FE" w:rsidRDefault="000C26B2" w:rsidP="000C26B2">
      <w:pPr>
        <w:rPr>
          <w:rFonts w:cs="Arial"/>
          <w:sz w:val="24"/>
          <w:szCs w:val="24"/>
        </w:rPr>
      </w:pPr>
      <w:r w:rsidRPr="009C69FE">
        <w:rPr>
          <w:rFonts w:cs="Arial"/>
          <w:sz w:val="24"/>
          <w:szCs w:val="24"/>
        </w:rPr>
        <w:t xml:space="preserve">The distinguishing factor appears to be that a substitute carrier does not “take over the goods with the consignment note”.  </w:t>
      </w:r>
    </w:p>
    <w:p w14:paraId="5473CDEC" w14:textId="77777777" w:rsidR="000C26B2" w:rsidRPr="009C69FE" w:rsidRDefault="000C26B2" w:rsidP="000C26B2">
      <w:pPr>
        <w:rPr>
          <w:rFonts w:cs="Arial"/>
          <w:sz w:val="24"/>
          <w:szCs w:val="24"/>
        </w:rPr>
      </w:pPr>
      <w:r w:rsidRPr="009C69FE">
        <w:rPr>
          <w:rFonts w:cs="Arial"/>
          <w:sz w:val="24"/>
          <w:szCs w:val="24"/>
        </w:rPr>
        <w:t>CIM provides rules in respect of the relationship between all carriers (arts.49-52).  An important restriction, however, which is a substantial difference from CMR is that where a claimant has a choice of carrier to sue, his right to choose is extinguished as soon as he brings action against any one of them (art.45(7)).</w:t>
      </w:r>
    </w:p>
    <w:p w14:paraId="79AFCBEB" w14:textId="77777777" w:rsidR="000C26B2" w:rsidRPr="009C69FE" w:rsidRDefault="00907ED9" w:rsidP="000C26B2">
      <w:pPr>
        <w:rPr>
          <w:rFonts w:cs="Arial"/>
          <w:b/>
          <w:sz w:val="24"/>
          <w:szCs w:val="24"/>
        </w:rPr>
      </w:pPr>
      <w:r w:rsidRPr="009C69FE">
        <w:rPr>
          <w:rFonts w:cs="Arial"/>
          <w:b/>
          <w:sz w:val="24"/>
          <w:szCs w:val="24"/>
        </w:rPr>
        <w:t xml:space="preserve">3.5.5 </w:t>
      </w:r>
      <w:r w:rsidR="000C26B2" w:rsidRPr="009C69FE">
        <w:rPr>
          <w:rFonts w:cs="Arial"/>
          <w:b/>
          <w:sz w:val="24"/>
          <w:szCs w:val="24"/>
        </w:rPr>
        <w:t>Combined or multimodal transport.</w:t>
      </w:r>
    </w:p>
    <w:p w14:paraId="682EF9DE" w14:textId="77777777" w:rsidR="000C26B2" w:rsidRPr="009C69FE" w:rsidRDefault="00AF72E5" w:rsidP="00B20898">
      <w:pPr>
        <w:rPr>
          <w:rFonts w:cs="Arial"/>
          <w:sz w:val="24"/>
          <w:szCs w:val="24"/>
        </w:rPr>
      </w:pPr>
      <w:r>
        <w:rPr>
          <w:rFonts w:cs="Arial"/>
          <w:sz w:val="24"/>
          <w:szCs w:val="24"/>
        </w:rPr>
        <w:t>This</w:t>
      </w:r>
      <w:r w:rsidR="00B20898" w:rsidRPr="009C69FE">
        <w:rPr>
          <w:rFonts w:cs="Arial"/>
          <w:sz w:val="24"/>
          <w:szCs w:val="24"/>
        </w:rPr>
        <w:t xml:space="preserve"> will be considered later in the </w:t>
      </w:r>
      <w:r w:rsidR="000C26B2" w:rsidRPr="009C69FE">
        <w:rPr>
          <w:rFonts w:cs="Arial"/>
          <w:sz w:val="24"/>
          <w:szCs w:val="24"/>
        </w:rPr>
        <w:t>handout</w:t>
      </w:r>
      <w:r w:rsidR="00B20898" w:rsidRPr="009C69FE">
        <w:rPr>
          <w:rFonts w:cs="Arial"/>
          <w:sz w:val="24"/>
          <w:szCs w:val="24"/>
        </w:rPr>
        <w:t xml:space="preserve"> once the liability rules of CMR and CIM have been considered.</w:t>
      </w:r>
    </w:p>
    <w:p w14:paraId="6D34B175" w14:textId="77777777" w:rsidR="00FF67DA" w:rsidRPr="009C69FE" w:rsidRDefault="003D228D" w:rsidP="00FF67DA">
      <w:pPr>
        <w:rPr>
          <w:rFonts w:cs="Arial"/>
          <w:sz w:val="24"/>
          <w:szCs w:val="24"/>
        </w:rPr>
      </w:pPr>
      <w:r w:rsidRPr="009C69FE">
        <w:rPr>
          <w:b/>
          <w:sz w:val="24"/>
          <w:szCs w:val="24"/>
        </w:rPr>
        <w:t>3.6</w:t>
      </w:r>
      <w:r w:rsidR="00B20898" w:rsidRPr="009C69FE">
        <w:rPr>
          <w:sz w:val="24"/>
          <w:szCs w:val="24"/>
        </w:rPr>
        <w:t xml:space="preserve"> </w:t>
      </w:r>
      <w:r w:rsidR="00FF67DA" w:rsidRPr="009C69FE">
        <w:rPr>
          <w:rFonts w:cs="Arial"/>
          <w:b/>
          <w:sz w:val="24"/>
          <w:szCs w:val="24"/>
        </w:rPr>
        <w:t>Liability, Limitation and Claims</w:t>
      </w:r>
    </w:p>
    <w:p w14:paraId="1988C05B" w14:textId="77777777" w:rsidR="00FF67DA" w:rsidRPr="009C69FE" w:rsidRDefault="003D228D" w:rsidP="00FF67DA">
      <w:pPr>
        <w:rPr>
          <w:rFonts w:cs="Arial"/>
          <w:sz w:val="24"/>
          <w:szCs w:val="24"/>
        </w:rPr>
      </w:pPr>
      <w:r w:rsidRPr="009C69FE">
        <w:rPr>
          <w:rFonts w:cs="Arial"/>
          <w:b/>
          <w:sz w:val="24"/>
          <w:szCs w:val="24"/>
        </w:rPr>
        <w:t>3</w:t>
      </w:r>
      <w:r w:rsidR="00FF67DA" w:rsidRPr="009C69FE">
        <w:rPr>
          <w:rFonts w:cs="Arial"/>
          <w:b/>
          <w:sz w:val="24"/>
          <w:szCs w:val="24"/>
        </w:rPr>
        <w:t>.</w:t>
      </w:r>
      <w:r w:rsidRPr="009C69FE">
        <w:rPr>
          <w:rFonts w:cs="Arial"/>
          <w:b/>
          <w:sz w:val="24"/>
          <w:szCs w:val="24"/>
        </w:rPr>
        <w:t>6.</w:t>
      </w:r>
      <w:r w:rsidR="00FF67DA" w:rsidRPr="009C69FE">
        <w:rPr>
          <w:rFonts w:cs="Arial"/>
          <w:b/>
          <w:sz w:val="24"/>
          <w:szCs w:val="24"/>
        </w:rPr>
        <w:t>1 Introduction</w:t>
      </w:r>
      <w:r w:rsidR="00FF67DA" w:rsidRPr="009C69FE">
        <w:rPr>
          <w:rFonts w:cs="Arial"/>
          <w:sz w:val="24"/>
          <w:szCs w:val="24"/>
        </w:rPr>
        <w:br/>
      </w:r>
      <w:r w:rsidR="00FF67DA" w:rsidRPr="009C69FE">
        <w:rPr>
          <w:rFonts w:cs="Arial"/>
          <w:sz w:val="24"/>
          <w:szCs w:val="24"/>
        </w:rPr>
        <w:br/>
        <w:t>At this point the principles governing the liability of carriers governed by the conventions and the system of limitation of liability can be examined.  Apart from these aspects the rules contain provisions dealing with liabilities and responsibilities of the cargo interest, making claims, time limits and jurisdiction.  A brief note on these aspects is also given below.  A few matters need to be considered first, however, and in brief:</w:t>
      </w:r>
    </w:p>
    <w:p w14:paraId="2E48176F" w14:textId="77777777" w:rsidR="00FF67DA" w:rsidRPr="009C69FE" w:rsidRDefault="003D228D" w:rsidP="00FF67DA">
      <w:pPr>
        <w:rPr>
          <w:rFonts w:cs="Arial"/>
          <w:sz w:val="24"/>
          <w:szCs w:val="24"/>
        </w:rPr>
      </w:pPr>
      <w:r w:rsidRPr="009C69FE">
        <w:rPr>
          <w:rFonts w:cs="Arial"/>
          <w:b/>
          <w:sz w:val="24"/>
          <w:szCs w:val="24"/>
        </w:rPr>
        <w:t>3.6</w:t>
      </w:r>
      <w:r w:rsidR="00902B5B" w:rsidRPr="009C69FE">
        <w:rPr>
          <w:rFonts w:cs="Arial"/>
          <w:b/>
          <w:sz w:val="24"/>
          <w:szCs w:val="24"/>
        </w:rPr>
        <w:t>.2</w:t>
      </w:r>
      <w:r w:rsidR="00FF67DA" w:rsidRPr="009C69FE">
        <w:rPr>
          <w:rFonts w:cs="Arial"/>
          <w:b/>
          <w:sz w:val="24"/>
          <w:szCs w:val="24"/>
        </w:rPr>
        <w:t xml:space="preserve"> Who can sue?</w:t>
      </w:r>
      <w:r w:rsidR="00FF67DA" w:rsidRPr="009C69FE">
        <w:rPr>
          <w:rFonts w:cs="Arial"/>
          <w:b/>
          <w:sz w:val="24"/>
          <w:szCs w:val="24"/>
        </w:rPr>
        <w:br/>
      </w:r>
      <w:r w:rsidR="00FF67DA" w:rsidRPr="009C69FE">
        <w:rPr>
          <w:rFonts w:cs="Arial"/>
          <w:sz w:val="24"/>
          <w:szCs w:val="24"/>
        </w:rPr>
        <w:br/>
        <w:t xml:space="preserve">The question of who exactly is entitled to sue a carrier is not normally dealt with in detail by these types of conventions although they contain rules which are relevant to the issue. CMR, CIM and the air conventions refer to the sender or consignor and consignee.  The assumption appears to be that the sender or consignor is the original contracting party.  Since the rules in all of them provide a right in the consignee to enforce rights which derive </w:t>
      </w:r>
      <w:r w:rsidR="00FF67DA" w:rsidRPr="009C69FE">
        <w:rPr>
          <w:rFonts w:cs="Arial"/>
          <w:sz w:val="24"/>
          <w:szCs w:val="24"/>
        </w:rPr>
        <w:lastRenderedPageBreak/>
        <w:t>from the contract of carriage (CMR art.13(1), CIM art.17(3), M</w:t>
      </w:r>
      <w:r w:rsidR="00A3656F" w:rsidRPr="009C69FE">
        <w:rPr>
          <w:rFonts w:cs="Arial"/>
          <w:sz w:val="24"/>
          <w:szCs w:val="24"/>
        </w:rPr>
        <w:t xml:space="preserve">ontreal </w:t>
      </w:r>
      <w:r w:rsidR="00FF67DA" w:rsidRPr="009C69FE">
        <w:rPr>
          <w:rFonts w:cs="Arial"/>
          <w:sz w:val="24"/>
          <w:szCs w:val="24"/>
        </w:rPr>
        <w:t>C</w:t>
      </w:r>
      <w:r w:rsidR="00A3656F" w:rsidRPr="009C69FE">
        <w:rPr>
          <w:rFonts w:cs="Arial"/>
          <w:sz w:val="24"/>
          <w:szCs w:val="24"/>
        </w:rPr>
        <w:t>onvention</w:t>
      </w:r>
      <w:r w:rsidR="00FF67DA" w:rsidRPr="009C69FE">
        <w:rPr>
          <w:rFonts w:cs="Arial"/>
          <w:sz w:val="24"/>
          <w:szCs w:val="24"/>
        </w:rPr>
        <w:t xml:space="preserve"> art.13(3)) this must be additional to the contractual right in the sender or consignor.  </w:t>
      </w:r>
    </w:p>
    <w:p w14:paraId="1EB7D5E4" w14:textId="77777777" w:rsidR="00FF67DA" w:rsidRPr="009C69FE" w:rsidRDefault="00FF67DA" w:rsidP="00FF67DA">
      <w:pPr>
        <w:rPr>
          <w:rFonts w:cs="Arial"/>
          <w:sz w:val="24"/>
          <w:szCs w:val="24"/>
        </w:rPr>
      </w:pPr>
      <w:r w:rsidRPr="009C69FE">
        <w:rPr>
          <w:rFonts w:cs="Arial"/>
          <w:sz w:val="24"/>
          <w:szCs w:val="24"/>
        </w:rPr>
        <w:t>CIM is strict about confining the rights of action to the consignor and consignee and divides their rights in accordance with the division made by the convention in respect of rights of disposal (art.43(1), art.44).  This means</w:t>
      </w:r>
      <w:r w:rsidR="00AF72E5">
        <w:rPr>
          <w:rFonts w:cs="Arial"/>
          <w:sz w:val="24"/>
          <w:szCs w:val="24"/>
        </w:rPr>
        <w:t xml:space="preserve"> that any right to sue in tort or delict</w:t>
      </w:r>
      <w:r w:rsidRPr="009C69FE">
        <w:rPr>
          <w:rFonts w:cs="Arial"/>
          <w:sz w:val="24"/>
          <w:szCs w:val="24"/>
        </w:rPr>
        <w:t xml:space="preserve"> granted to some other person by national law is not possible under CIM.  It is not entirely clear how far the naming of an agent as consignor/consignee could prevent their undisclosed principal from suing under CIM.</w:t>
      </w:r>
    </w:p>
    <w:p w14:paraId="0D955A22" w14:textId="1C6DF9D2" w:rsidR="00FF67DA" w:rsidRPr="009C69FE" w:rsidRDefault="00FF67DA" w:rsidP="00FF67DA">
      <w:pPr>
        <w:rPr>
          <w:rFonts w:cs="Arial"/>
          <w:sz w:val="24"/>
          <w:szCs w:val="24"/>
        </w:rPr>
      </w:pPr>
      <w:r w:rsidRPr="009C69FE">
        <w:rPr>
          <w:rFonts w:cs="Arial"/>
          <w:sz w:val="24"/>
          <w:szCs w:val="24"/>
        </w:rPr>
        <w:t xml:space="preserve">In road and air there seems to be more flexibility about permitting the principals of </w:t>
      </w:r>
      <w:r w:rsidR="00250671">
        <w:rPr>
          <w:rFonts w:cs="Arial"/>
          <w:sz w:val="24"/>
          <w:szCs w:val="24"/>
        </w:rPr>
        <w:t>agents</w:t>
      </w:r>
      <w:r w:rsidR="004E3EDF">
        <w:rPr>
          <w:rFonts w:cs="Arial"/>
          <w:sz w:val="24"/>
          <w:szCs w:val="24"/>
        </w:rPr>
        <w:t xml:space="preserve"> </w:t>
      </w:r>
      <w:r w:rsidRPr="009C69FE">
        <w:rPr>
          <w:rFonts w:cs="Arial"/>
          <w:sz w:val="24"/>
          <w:szCs w:val="24"/>
        </w:rPr>
        <w:t xml:space="preserve">named </w:t>
      </w:r>
      <w:r w:rsidR="00250671">
        <w:rPr>
          <w:rFonts w:cs="Arial"/>
          <w:sz w:val="24"/>
          <w:szCs w:val="24"/>
        </w:rPr>
        <w:t>as consignor and consignee on the air waybill</w:t>
      </w:r>
      <w:r w:rsidRPr="009C69FE">
        <w:rPr>
          <w:rFonts w:cs="Arial"/>
          <w:sz w:val="24"/>
          <w:szCs w:val="24"/>
        </w:rPr>
        <w:t xml:space="preserve"> to sue (for air </w:t>
      </w:r>
      <w:proofErr w:type="gramStart"/>
      <w:r w:rsidRPr="009C69FE">
        <w:rPr>
          <w:rFonts w:cs="Arial"/>
          <w:sz w:val="24"/>
          <w:szCs w:val="24"/>
        </w:rPr>
        <w:t>e.g.</w:t>
      </w:r>
      <w:proofErr w:type="gramEnd"/>
      <w:r w:rsidRPr="009C69FE">
        <w:rPr>
          <w:rFonts w:cs="Arial"/>
          <w:sz w:val="24"/>
          <w:szCs w:val="24"/>
        </w:rPr>
        <w:t xml:space="preserve"> see </w:t>
      </w:r>
      <w:r w:rsidRPr="009C69FE">
        <w:rPr>
          <w:rFonts w:cs="Arial"/>
          <w:b/>
          <w:sz w:val="24"/>
          <w:szCs w:val="24"/>
        </w:rPr>
        <w:t>Western Digital Corporation v. BA Plc</w:t>
      </w:r>
      <w:r w:rsidRPr="009C69FE">
        <w:rPr>
          <w:rFonts w:cs="Arial"/>
          <w:sz w:val="24"/>
          <w:szCs w:val="24"/>
        </w:rPr>
        <w:t xml:space="preserve"> [2000] 2 Lloyd’s Rep.142) and in permitting actions in tort by others standing outside the contract.  The position is less clear about whether both consignor or consignee (or their principals) can sue or whether the law will place some restriction on this.  This would seem to be a matter of national law.  Some countries link the right to sue with the right of disposal.  Others may regard both consignor and consignee as having nominal rights to sue but with a duty to prove their loss in order to receive substantial damages.</w:t>
      </w:r>
      <w:r w:rsidR="00902B5B" w:rsidRPr="009C69FE">
        <w:rPr>
          <w:rFonts w:cs="Arial"/>
          <w:sz w:val="24"/>
          <w:szCs w:val="24"/>
        </w:rPr>
        <w:br/>
      </w:r>
      <w:r w:rsidRPr="009C69FE">
        <w:rPr>
          <w:rFonts w:cs="Arial"/>
          <w:sz w:val="24"/>
          <w:szCs w:val="24"/>
        </w:rPr>
        <w:br/>
      </w:r>
      <w:r w:rsidR="003D228D" w:rsidRPr="009C69FE">
        <w:rPr>
          <w:rFonts w:cs="Arial"/>
          <w:b/>
          <w:sz w:val="24"/>
          <w:szCs w:val="24"/>
        </w:rPr>
        <w:t>3.6</w:t>
      </w:r>
      <w:r w:rsidR="000D26CB" w:rsidRPr="009C69FE">
        <w:rPr>
          <w:rFonts w:cs="Arial"/>
          <w:b/>
          <w:sz w:val="24"/>
          <w:szCs w:val="24"/>
        </w:rPr>
        <w:t>.</w:t>
      </w:r>
      <w:r w:rsidR="00902B5B" w:rsidRPr="009C69FE">
        <w:rPr>
          <w:rFonts w:cs="Arial"/>
          <w:b/>
          <w:sz w:val="24"/>
          <w:szCs w:val="24"/>
        </w:rPr>
        <w:t>3</w:t>
      </w:r>
      <w:r w:rsidRPr="009C69FE">
        <w:rPr>
          <w:rFonts w:cs="Arial"/>
          <w:b/>
          <w:sz w:val="24"/>
          <w:szCs w:val="24"/>
        </w:rPr>
        <w:t xml:space="preserve"> Scope of regulation of </w:t>
      </w:r>
      <w:proofErr w:type="gramStart"/>
      <w:r w:rsidRPr="009C69FE">
        <w:rPr>
          <w:rFonts w:cs="Arial"/>
          <w:b/>
          <w:sz w:val="24"/>
          <w:szCs w:val="24"/>
        </w:rPr>
        <w:t>liability</w:t>
      </w:r>
      <w:proofErr w:type="gramEnd"/>
    </w:p>
    <w:p w14:paraId="35AF76B6" w14:textId="4243847E" w:rsidR="00FF67DA" w:rsidRPr="009C69FE" w:rsidRDefault="00FF67DA" w:rsidP="00FF67DA">
      <w:pPr>
        <w:rPr>
          <w:rFonts w:cs="Arial"/>
          <w:sz w:val="24"/>
          <w:szCs w:val="24"/>
        </w:rPr>
      </w:pPr>
      <w:r w:rsidRPr="009C69FE">
        <w:rPr>
          <w:rFonts w:cs="Arial"/>
          <w:sz w:val="24"/>
          <w:szCs w:val="24"/>
        </w:rPr>
        <w:t>The core feature of these conventions is to regulate liability especially that of the carrier. Two issues of scope arise in relation to this:</w:t>
      </w:r>
      <w:r w:rsidRPr="009C69FE">
        <w:rPr>
          <w:rFonts w:cs="Arial"/>
          <w:sz w:val="24"/>
          <w:szCs w:val="24"/>
        </w:rPr>
        <w:br/>
      </w:r>
      <w:r w:rsidRPr="009C69FE">
        <w:rPr>
          <w:rFonts w:cs="Arial"/>
          <w:sz w:val="24"/>
          <w:szCs w:val="24"/>
        </w:rPr>
        <w:br/>
      </w:r>
      <w:r w:rsidR="003D228D" w:rsidRPr="009C69FE">
        <w:rPr>
          <w:rFonts w:cs="Arial"/>
          <w:b/>
          <w:sz w:val="24"/>
          <w:szCs w:val="24"/>
        </w:rPr>
        <w:t xml:space="preserve">3.6.3.1 </w:t>
      </w:r>
      <w:r w:rsidRPr="009C69FE">
        <w:rPr>
          <w:rFonts w:cs="Arial"/>
          <w:b/>
          <w:sz w:val="24"/>
          <w:szCs w:val="24"/>
        </w:rPr>
        <w:t>Period of responsibility</w:t>
      </w:r>
      <w:r w:rsidRPr="009C69FE">
        <w:rPr>
          <w:rFonts w:cs="Arial"/>
          <w:b/>
          <w:sz w:val="24"/>
          <w:szCs w:val="24"/>
        </w:rPr>
        <w:br/>
      </w:r>
      <w:r w:rsidRPr="009C69FE">
        <w:rPr>
          <w:rFonts w:cs="Arial"/>
          <w:sz w:val="24"/>
          <w:szCs w:val="24"/>
        </w:rPr>
        <w:br/>
        <w:t>The time during which the carrier is responsible for the goods is, in simple terms, normally the period in which the carrier is in control of them whether through</w:t>
      </w:r>
      <w:r w:rsidR="00ED2142" w:rsidRPr="009C69FE">
        <w:rPr>
          <w:rFonts w:cs="Arial"/>
          <w:sz w:val="24"/>
          <w:szCs w:val="24"/>
        </w:rPr>
        <w:t xml:space="preserve"> personal possession or</w:t>
      </w:r>
      <w:r w:rsidRPr="009C69FE">
        <w:rPr>
          <w:rFonts w:cs="Arial"/>
          <w:sz w:val="24"/>
          <w:szCs w:val="24"/>
        </w:rPr>
        <w:t xml:space="preserve"> through a servant, agent or subcontractor.  CMR indicates in art.17(1) that the carrier is liable for the total or partial loss of the goods and for d</w:t>
      </w:r>
      <w:r w:rsidR="001D0C65">
        <w:rPr>
          <w:rFonts w:cs="Arial"/>
          <w:sz w:val="24"/>
          <w:szCs w:val="24"/>
        </w:rPr>
        <w:t>amage</w:t>
      </w:r>
      <w:r w:rsidRPr="009C69FE">
        <w:rPr>
          <w:rFonts w:cs="Arial"/>
          <w:sz w:val="24"/>
          <w:szCs w:val="24"/>
        </w:rPr>
        <w:t>…between the time when he takes over the goods and the time of delivery, as well as for any delay in delivery</w:t>
      </w:r>
      <w:r w:rsidR="00556691">
        <w:rPr>
          <w:rFonts w:cs="Arial"/>
          <w:sz w:val="24"/>
          <w:szCs w:val="24"/>
        </w:rPr>
        <w:t>”</w:t>
      </w:r>
      <w:r w:rsidRPr="009C69FE">
        <w:rPr>
          <w:rFonts w:cs="Arial"/>
          <w:sz w:val="24"/>
          <w:szCs w:val="24"/>
        </w:rPr>
        <w:t>.  CIM is similar (art.23(1)- an extension of CIM to carriage by road will be noted later).  The fact that carriage by the particular means has not begun is irrelevant so long as the c</w:t>
      </w:r>
      <w:r w:rsidR="00556691">
        <w:rPr>
          <w:rFonts w:cs="Arial"/>
          <w:sz w:val="24"/>
          <w:szCs w:val="24"/>
        </w:rPr>
        <w:t>arrier is in control.</w:t>
      </w:r>
      <w:r w:rsidR="00556691">
        <w:rPr>
          <w:rFonts w:cs="Arial"/>
          <w:sz w:val="24"/>
          <w:szCs w:val="24"/>
        </w:rPr>
        <w:br/>
      </w:r>
      <w:r w:rsidR="00556691">
        <w:rPr>
          <w:rFonts w:cs="Arial"/>
          <w:sz w:val="24"/>
          <w:szCs w:val="24"/>
        </w:rPr>
        <w:br/>
        <w:t>The question</w:t>
      </w:r>
      <w:r w:rsidRPr="009C69FE">
        <w:rPr>
          <w:rFonts w:cs="Arial"/>
          <w:sz w:val="24"/>
          <w:szCs w:val="24"/>
        </w:rPr>
        <w:t xml:space="preserve"> of when the carrier is in sufficient control </w:t>
      </w:r>
      <w:r w:rsidR="00ED2142" w:rsidRPr="009C69FE">
        <w:rPr>
          <w:rFonts w:cs="Arial"/>
          <w:sz w:val="24"/>
          <w:szCs w:val="24"/>
        </w:rPr>
        <w:t>can be</w:t>
      </w:r>
      <w:r w:rsidRPr="009C69FE">
        <w:rPr>
          <w:rFonts w:cs="Arial"/>
          <w:sz w:val="24"/>
          <w:szCs w:val="24"/>
        </w:rPr>
        <w:t xml:space="preserve"> a difficult one.  If the sender loads the goods onto the vehicle is he still in control whilst loading or has the carrier’s responsibility started?  Are the goods delivered when the vehicle arrives or when the carrier allows the consignee to remove them from the vehicle?  What happens if the consignee asks for them to be sent to a fresh destination?</w:t>
      </w:r>
    </w:p>
    <w:p w14:paraId="2769EBFA" w14:textId="77777777" w:rsidR="00FF67DA" w:rsidRPr="009C69FE" w:rsidRDefault="003D228D" w:rsidP="00FF67DA">
      <w:pPr>
        <w:rPr>
          <w:rFonts w:cs="Arial"/>
          <w:sz w:val="24"/>
          <w:szCs w:val="24"/>
        </w:rPr>
      </w:pPr>
      <w:r w:rsidRPr="009C69FE">
        <w:rPr>
          <w:rFonts w:cs="Arial"/>
          <w:b/>
          <w:sz w:val="24"/>
          <w:szCs w:val="24"/>
        </w:rPr>
        <w:t>3.6.3.2</w:t>
      </w:r>
      <w:r w:rsidR="00FF67DA" w:rsidRPr="009C69FE">
        <w:rPr>
          <w:rFonts w:cs="Arial"/>
          <w:b/>
          <w:sz w:val="24"/>
          <w:szCs w:val="24"/>
        </w:rPr>
        <w:t xml:space="preserve"> Nature of responsibility</w:t>
      </w:r>
      <w:r w:rsidR="00E9336E" w:rsidRPr="009C69FE">
        <w:rPr>
          <w:rFonts w:cs="Arial"/>
          <w:sz w:val="24"/>
          <w:szCs w:val="24"/>
        </w:rPr>
        <w:br/>
      </w:r>
      <w:r w:rsidR="00E9336E" w:rsidRPr="009C69FE">
        <w:rPr>
          <w:rFonts w:cs="Arial"/>
          <w:sz w:val="24"/>
          <w:szCs w:val="24"/>
        </w:rPr>
        <w:br/>
      </w:r>
      <w:r w:rsidR="00FF67DA" w:rsidRPr="009C69FE">
        <w:rPr>
          <w:rFonts w:cs="Arial"/>
          <w:sz w:val="24"/>
          <w:szCs w:val="24"/>
        </w:rPr>
        <w:t xml:space="preserve">The carrier’s liability is expressed in respect of loss, damage or delay to the goods.  </w:t>
      </w:r>
      <w:r w:rsidR="006D17E2" w:rsidRPr="009C69FE">
        <w:rPr>
          <w:rFonts w:cs="Arial"/>
          <w:sz w:val="24"/>
          <w:szCs w:val="24"/>
        </w:rPr>
        <w:t>Obviously,</w:t>
      </w:r>
      <w:r w:rsidR="00FF67DA" w:rsidRPr="009C69FE">
        <w:rPr>
          <w:rFonts w:cs="Arial"/>
          <w:sz w:val="24"/>
          <w:szCs w:val="24"/>
        </w:rPr>
        <w:t xml:space="preserve"> this does not cover damage caused by the road vehicle to property not being carried but sometimes the boundary is not so clear.  In </w:t>
      </w:r>
      <w:r w:rsidR="00FF67DA" w:rsidRPr="009C69FE">
        <w:rPr>
          <w:rFonts w:cs="Arial"/>
          <w:b/>
          <w:sz w:val="24"/>
          <w:szCs w:val="24"/>
        </w:rPr>
        <w:t xml:space="preserve">Shell Chemicals v. P &amp; O </w:t>
      </w:r>
      <w:proofErr w:type="spellStart"/>
      <w:r w:rsidR="00FF67DA" w:rsidRPr="009C69FE">
        <w:rPr>
          <w:rFonts w:cs="Arial"/>
          <w:b/>
          <w:sz w:val="24"/>
          <w:szCs w:val="24"/>
        </w:rPr>
        <w:t>Roadtanks</w:t>
      </w:r>
      <w:proofErr w:type="spellEnd"/>
      <w:r w:rsidR="00FF67DA" w:rsidRPr="009C69FE">
        <w:rPr>
          <w:rFonts w:cs="Arial"/>
          <w:b/>
          <w:sz w:val="24"/>
          <w:szCs w:val="24"/>
        </w:rPr>
        <w:t xml:space="preserve"> Ltd</w:t>
      </w:r>
      <w:r w:rsidR="00FF67DA" w:rsidRPr="009C69FE">
        <w:rPr>
          <w:rFonts w:cs="Arial"/>
          <w:sz w:val="24"/>
          <w:szCs w:val="24"/>
        </w:rPr>
        <w:t xml:space="preserve"> [1993] 1 Lloyd’s Rep. 114, P &amp; O were employed to carry a tanker of chemicals to a refinery.  By mistake the driver for the last stage of the transport collected and delivered the </w:t>
      </w:r>
      <w:r w:rsidR="00FF67DA" w:rsidRPr="009C69FE">
        <w:rPr>
          <w:rFonts w:cs="Arial"/>
          <w:sz w:val="24"/>
          <w:szCs w:val="24"/>
        </w:rPr>
        <w:lastRenderedPageBreak/>
        <w:t>wrong tanker which contained detergent and this was pumped into the refinery causing considerable damage.  The carrier was held liable for th</w:t>
      </w:r>
      <w:r w:rsidR="00ED2142" w:rsidRPr="009C69FE">
        <w:rPr>
          <w:rFonts w:cs="Arial"/>
          <w:sz w:val="24"/>
          <w:szCs w:val="24"/>
        </w:rPr>
        <w:t>is damage but not under CMR – CMR</w:t>
      </w:r>
      <w:r w:rsidR="00FF67DA" w:rsidRPr="009C69FE">
        <w:rPr>
          <w:rFonts w:cs="Arial"/>
          <w:sz w:val="24"/>
          <w:szCs w:val="24"/>
        </w:rPr>
        <w:t xml:space="preserve"> applied to the contract but not the damage so that the CMR limit did not apply.  An alternative approach would have been to say that this was excluded by CMR so that there was no liability at all but since this was damage caused by the goods rather than to them arguably this would be the wrong approach.</w:t>
      </w:r>
    </w:p>
    <w:p w14:paraId="258E90B7" w14:textId="77777777" w:rsidR="00ED2142" w:rsidRPr="009C69FE" w:rsidRDefault="00ED2142" w:rsidP="00FF67DA">
      <w:pPr>
        <w:rPr>
          <w:rFonts w:cs="Arial"/>
          <w:sz w:val="24"/>
          <w:szCs w:val="24"/>
        </w:rPr>
      </w:pPr>
      <w:r w:rsidRPr="009C69FE">
        <w:rPr>
          <w:rFonts w:cs="Arial"/>
          <w:sz w:val="24"/>
          <w:szCs w:val="24"/>
        </w:rPr>
        <w:t>Comparison can be made with</w:t>
      </w:r>
      <w:r w:rsidR="00FF67DA" w:rsidRPr="009C69FE">
        <w:rPr>
          <w:rFonts w:cs="Arial"/>
          <w:sz w:val="24"/>
          <w:szCs w:val="24"/>
        </w:rPr>
        <w:t xml:space="preserve"> the air passenger case of </w:t>
      </w:r>
      <w:r w:rsidR="00FF67DA" w:rsidRPr="009C69FE">
        <w:rPr>
          <w:rFonts w:cs="Arial"/>
          <w:b/>
          <w:sz w:val="24"/>
          <w:szCs w:val="24"/>
        </w:rPr>
        <w:t>Sidhu v. British Airways</w:t>
      </w:r>
      <w:r w:rsidR="00FF67DA" w:rsidRPr="009C69FE">
        <w:rPr>
          <w:rFonts w:cs="Arial"/>
          <w:sz w:val="24"/>
          <w:szCs w:val="24"/>
        </w:rPr>
        <w:t xml:space="preserve"> [1977] AC 430, where </w:t>
      </w:r>
      <w:r w:rsidRPr="009C69FE">
        <w:rPr>
          <w:rFonts w:cs="Arial"/>
          <w:sz w:val="24"/>
          <w:szCs w:val="24"/>
        </w:rPr>
        <w:t>stress caused to passengers taken off a</w:t>
      </w:r>
      <w:r w:rsidR="00FF67DA" w:rsidRPr="009C69FE">
        <w:rPr>
          <w:rFonts w:cs="Arial"/>
          <w:sz w:val="24"/>
          <w:szCs w:val="24"/>
        </w:rPr>
        <w:t xml:space="preserve"> flight </w:t>
      </w:r>
      <w:r w:rsidRPr="009C69FE">
        <w:rPr>
          <w:rFonts w:cs="Arial"/>
          <w:sz w:val="24"/>
          <w:szCs w:val="24"/>
        </w:rPr>
        <w:t>and detained</w:t>
      </w:r>
      <w:r w:rsidR="00FF67DA" w:rsidRPr="009C69FE">
        <w:rPr>
          <w:rFonts w:cs="Arial"/>
          <w:sz w:val="24"/>
          <w:szCs w:val="24"/>
        </w:rPr>
        <w:t xml:space="preserve"> in Iraq was excluded altogether because this did not fall within the concept of bodily injury</w:t>
      </w:r>
      <w:r w:rsidRPr="009C69FE">
        <w:rPr>
          <w:rFonts w:cs="Arial"/>
          <w:sz w:val="24"/>
          <w:szCs w:val="24"/>
        </w:rPr>
        <w:t xml:space="preserve"> (art.</w:t>
      </w:r>
      <w:r w:rsidR="009C69FE" w:rsidRPr="009C69FE">
        <w:rPr>
          <w:rFonts w:cs="Arial"/>
          <w:sz w:val="24"/>
          <w:szCs w:val="24"/>
        </w:rPr>
        <w:t>17 of the Warsaw Convention as amended at The Hague)</w:t>
      </w:r>
      <w:r w:rsidR="00FF67DA" w:rsidRPr="009C69FE">
        <w:rPr>
          <w:rFonts w:cs="Arial"/>
          <w:sz w:val="24"/>
          <w:szCs w:val="24"/>
        </w:rPr>
        <w:t xml:space="preserve">.  Here the court felt that to allow the claim would be to undermine the scheme.  A similar case </w:t>
      </w:r>
      <w:r w:rsidRPr="009C69FE">
        <w:rPr>
          <w:rFonts w:cs="Arial"/>
          <w:sz w:val="24"/>
          <w:szCs w:val="24"/>
        </w:rPr>
        <w:t xml:space="preserve">on CMR </w:t>
      </w:r>
      <w:r w:rsidR="00FF67DA" w:rsidRPr="009C69FE">
        <w:rPr>
          <w:rFonts w:cs="Arial"/>
          <w:sz w:val="24"/>
          <w:szCs w:val="24"/>
        </w:rPr>
        <w:t xml:space="preserve">is </w:t>
      </w:r>
      <w:proofErr w:type="spellStart"/>
      <w:r w:rsidR="00FF67DA" w:rsidRPr="009C69FE">
        <w:rPr>
          <w:rFonts w:cs="Arial"/>
          <w:b/>
          <w:sz w:val="24"/>
          <w:szCs w:val="24"/>
        </w:rPr>
        <w:t>Gefco</w:t>
      </w:r>
      <w:proofErr w:type="spellEnd"/>
      <w:r w:rsidR="00FF67DA" w:rsidRPr="009C69FE">
        <w:rPr>
          <w:rFonts w:cs="Arial"/>
          <w:b/>
          <w:sz w:val="24"/>
          <w:szCs w:val="24"/>
        </w:rPr>
        <w:t xml:space="preserve"> (UK) Ltd v. Mason</w:t>
      </w:r>
      <w:r w:rsidR="000442D3">
        <w:rPr>
          <w:rFonts w:cs="Arial"/>
          <w:b/>
          <w:sz w:val="24"/>
          <w:szCs w:val="24"/>
        </w:rPr>
        <w:t xml:space="preserve"> (No 2)</w:t>
      </w:r>
      <w:r w:rsidR="00FF67DA" w:rsidRPr="009C69FE">
        <w:rPr>
          <w:rFonts w:cs="Arial"/>
          <w:sz w:val="24"/>
          <w:szCs w:val="24"/>
        </w:rPr>
        <w:t xml:space="preserve"> [2000] 2 Lloyd’s Re</w:t>
      </w:r>
      <w:r w:rsidR="00126C03" w:rsidRPr="009C69FE">
        <w:rPr>
          <w:rFonts w:cs="Arial"/>
          <w:sz w:val="24"/>
          <w:szCs w:val="24"/>
        </w:rPr>
        <w:t xml:space="preserve">p. 555, where the court </w:t>
      </w:r>
      <w:r w:rsidR="0021201D" w:rsidRPr="009C69FE">
        <w:rPr>
          <w:rFonts w:cs="Arial"/>
          <w:sz w:val="24"/>
          <w:szCs w:val="24"/>
        </w:rPr>
        <w:t>held that</w:t>
      </w:r>
      <w:r w:rsidR="00126C03" w:rsidRPr="009C69FE">
        <w:rPr>
          <w:rFonts w:cs="Arial"/>
          <w:sz w:val="24"/>
          <w:szCs w:val="24"/>
        </w:rPr>
        <w:t xml:space="preserve"> a</w:t>
      </w:r>
      <w:r w:rsidR="00FF67DA" w:rsidRPr="009C69FE">
        <w:rPr>
          <w:rFonts w:cs="Arial"/>
          <w:sz w:val="24"/>
          <w:szCs w:val="24"/>
        </w:rPr>
        <w:t xml:space="preserve"> claim for economic loss caused by a series of delays over a number of transports leading to loss of a distribution contract</w:t>
      </w:r>
      <w:r w:rsidR="0021201D" w:rsidRPr="009C69FE">
        <w:rPr>
          <w:rFonts w:cs="Arial"/>
          <w:sz w:val="24"/>
          <w:szCs w:val="24"/>
        </w:rPr>
        <w:t xml:space="preserve"> was controlled by the CMR rules governing delay</w:t>
      </w:r>
      <w:r w:rsidR="00FF67DA" w:rsidRPr="009C69FE">
        <w:rPr>
          <w:rFonts w:cs="Arial"/>
          <w:sz w:val="24"/>
          <w:szCs w:val="24"/>
        </w:rPr>
        <w:t xml:space="preserve">.  </w:t>
      </w:r>
      <w:r w:rsidR="0021201D" w:rsidRPr="009C69FE">
        <w:rPr>
          <w:rFonts w:cs="Arial"/>
          <w:sz w:val="24"/>
          <w:szCs w:val="24"/>
        </w:rPr>
        <w:t>Despite the cumulative effect of a series of delays it was still simply a matter of delay controlled</w:t>
      </w:r>
      <w:r w:rsidR="00FF67DA" w:rsidRPr="009C69FE">
        <w:rPr>
          <w:rFonts w:cs="Arial"/>
          <w:sz w:val="24"/>
          <w:szCs w:val="24"/>
        </w:rPr>
        <w:t xml:space="preserve"> by the convention.</w:t>
      </w:r>
    </w:p>
    <w:p w14:paraId="69528D7A" w14:textId="04C2B2FF" w:rsidR="00FF67DA" w:rsidRPr="009C69FE" w:rsidRDefault="00FF67DA" w:rsidP="00FF67DA">
      <w:pPr>
        <w:rPr>
          <w:rFonts w:cs="Arial"/>
          <w:sz w:val="24"/>
          <w:szCs w:val="24"/>
        </w:rPr>
      </w:pPr>
      <w:r w:rsidRPr="009C69FE">
        <w:rPr>
          <w:rFonts w:cs="Arial"/>
          <w:sz w:val="24"/>
          <w:szCs w:val="24"/>
        </w:rPr>
        <w:br/>
      </w:r>
      <w:r w:rsidR="00E12137" w:rsidRPr="009C69FE">
        <w:rPr>
          <w:rFonts w:cs="Arial"/>
          <w:b/>
          <w:sz w:val="24"/>
          <w:szCs w:val="24"/>
        </w:rPr>
        <w:t>3</w:t>
      </w:r>
      <w:r w:rsidR="000D26CB" w:rsidRPr="009C69FE">
        <w:rPr>
          <w:rFonts w:cs="Arial"/>
          <w:b/>
          <w:sz w:val="24"/>
          <w:szCs w:val="24"/>
        </w:rPr>
        <w:t>.</w:t>
      </w:r>
      <w:r w:rsidR="00E12137" w:rsidRPr="009C69FE">
        <w:rPr>
          <w:rFonts w:cs="Arial"/>
          <w:b/>
          <w:sz w:val="24"/>
          <w:szCs w:val="24"/>
        </w:rPr>
        <w:t>7</w:t>
      </w:r>
      <w:r w:rsidRPr="009C69FE">
        <w:rPr>
          <w:rFonts w:cs="Arial"/>
          <w:sz w:val="24"/>
          <w:szCs w:val="24"/>
        </w:rPr>
        <w:t xml:space="preserve"> </w:t>
      </w:r>
      <w:r w:rsidRPr="00E919AC">
        <w:rPr>
          <w:rFonts w:cs="Arial"/>
          <w:b/>
          <w:bCs/>
          <w:sz w:val="24"/>
          <w:szCs w:val="24"/>
        </w:rPr>
        <w:t>Principles of liability</w:t>
      </w:r>
      <w:r w:rsidRPr="009C69FE">
        <w:rPr>
          <w:rFonts w:cs="Arial"/>
          <w:sz w:val="24"/>
          <w:szCs w:val="24"/>
        </w:rPr>
        <w:t xml:space="preserve"> </w:t>
      </w:r>
      <w:r w:rsidR="000D26CB" w:rsidRPr="009C69FE">
        <w:rPr>
          <w:rFonts w:cs="Arial"/>
          <w:sz w:val="24"/>
          <w:szCs w:val="24"/>
        </w:rPr>
        <w:br/>
      </w:r>
      <w:r w:rsidR="000D26CB" w:rsidRPr="009C69FE">
        <w:rPr>
          <w:rFonts w:cs="Arial"/>
          <w:sz w:val="24"/>
          <w:szCs w:val="24"/>
        </w:rPr>
        <w:br/>
      </w:r>
      <w:r w:rsidR="00E12137" w:rsidRPr="009C69FE">
        <w:rPr>
          <w:rFonts w:cs="Arial"/>
          <w:b/>
          <w:sz w:val="24"/>
          <w:szCs w:val="24"/>
        </w:rPr>
        <w:t>3</w:t>
      </w:r>
      <w:r w:rsidR="00902B5B" w:rsidRPr="009C69FE">
        <w:rPr>
          <w:rFonts w:cs="Arial"/>
          <w:b/>
          <w:sz w:val="24"/>
          <w:szCs w:val="24"/>
        </w:rPr>
        <w:t>.</w:t>
      </w:r>
      <w:r w:rsidR="00E12137" w:rsidRPr="009C69FE">
        <w:rPr>
          <w:rFonts w:cs="Arial"/>
          <w:b/>
          <w:sz w:val="24"/>
          <w:szCs w:val="24"/>
        </w:rPr>
        <w:t>7</w:t>
      </w:r>
      <w:r w:rsidR="00902B5B" w:rsidRPr="009C69FE">
        <w:rPr>
          <w:rFonts w:cs="Arial"/>
          <w:b/>
          <w:sz w:val="24"/>
          <w:szCs w:val="24"/>
        </w:rPr>
        <w:t>.1</w:t>
      </w:r>
      <w:r w:rsidR="00902B5B" w:rsidRPr="009C69FE">
        <w:rPr>
          <w:rFonts w:cs="Arial"/>
          <w:sz w:val="24"/>
          <w:szCs w:val="24"/>
        </w:rPr>
        <w:t xml:space="preserve"> </w:t>
      </w:r>
      <w:r w:rsidR="000D26CB" w:rsidRPr="009C69FE">
        <w:rPr>
          <w:rFonts w:cs="Arial"/>
          <w:sz w:val="24"/>
          <w:szCs w:val="24"/>
        </w:rPr>
        <w:t xml:space="preserve">CMR and CIM </w:t>
      </w:r>
      <w:r w:rsidRPr="009C69FE">
        <w:rPr>
          <w:rFonts w:cs="Arial"/>
          <w:sz w:val="24"/>
          <w:szCs w:val="24"/>
        </w:rPr>
        <w:t>set out a basic system of liability which, in effect, puts a responsibility on the carrier for the safe and timely arrival o</w:t>
      </w:r>
      <w:r w:rsidR="000D26CB" w:rsidRPr="009C69FE">
        <w:rPr>
          <w:rFonts w:cs="Arial"/>
          <w:sz w:val="24"/>
          <w:szCs w:val="24"/>
        </w:rPr>
        <w:t xml:space="preserve">f the goods. </w:t>
      </w:r>
      <w:r w:rsidRPr="009C69FE">
        <w:rPr>
          <w:rFonts w:cs="Arial"/>
          <w:sz w:val="24"/>
          <w:szCs w:val="24"/>
        </w:rPr>
        <w:t>However, each of them contains defences available to the carrier which reflect an underlying philosophy as to the basis of the liabi</w:t>
      </w:r>
      <w:r w:rsidR="000D26CB" w:rsidRPr="009C69FE">
        <w:rPr>
          <w:rFonts w:cs="Arial"/>
          <w:sz w:val="24"/>
          <w:szCs w:val="24"/>
        </w:rPr>
        <w:t>lity. The</w:t>
      </w:r>
      <w:r w:rsidR="00926D00">
        <w:rPr>
          <w:rFonts w:cs="Arial"/>
          <w:sz w:val="24"/>
          <w:szCs w:val="24"/>
        </w:rPr>
        <w:t>y</w:t>
      </w:r>
      <w:r w:rsidR="000D26CB" w:rsidRPr="009C69FE">
        <w:rPr>
          <w:rFonts w:cs="Arial"/>
          <w:sz w:val="24"/>
          <w:szCs w:val="24"/>
        </w:rPr>
        <w:t xml:space="preserve"> are roughly but not entirely similar.  In a sense they both can be </w:t>
      </w:r>
      <w:r w:rsidRPr="009C69FE">
        <w:rPr>
          <w:rFonts w:cs="Arial"/>
          <w:sz w:val="24"/>
          <w:szCs w:val="24"/>
        </w:rPr>
        <w:t xml:space="preserve">regarded as reflecting a form of strict liability rather than a liability based simply on fault with </w:t>
      </w:r>
      <w:r w:rsidR="000D26CB" w:rsidRPr="009C69FE">
        <w:rPr>
          <w:rFonts w:cs="Arial"/>
          <w:sz w:val="24"/>
          <w:szCs w:val="24"/>
        </w:rPr>
        <w:t>a reversed burden of proof as</w:t>
      </w:r>
      <w:r w:rsidRPr="009C69FE">
        <w:rPr>
          <w:rFonts w:cs="Arial"/>
          <w:sz w:val="24"/>
          <w:szCs w:val="24"/>
        </w:rPr>
        <w:t xml:space="preserve"> is the position under the Hague-Visby Rules</w:t>
      </w:r>
      <w:r w:rsidR="000D26CB" w:rsidRPr="009C69FE">
        <w:rPr>
          <w:rFonts w:cs="Arial"/>
          <w:sz w:val="24"/>
          <w:szCs w:val="24"/>
        </w:rPr>
        <w:t xml:space="preserve">.  However, the position is </w:t>
      </w:r>
      <w:r w:rsidR="00926D00" w:rsidRPr="009C69FE">
        <w:rPr>
          <w:rFonts w:cs="Arial"/>
          <w:sz w:val="24"/>
          <w:szCs w:val="24"/>
        </w:rPr>
        <w:t>quite</w:t>
      </w:r>
      <w:r w:rsidR="000D26CB" w:rsidRPr="009C69FE">
        <w:rPr>
          <w:rFonts w:cs="Arial"/>
          <w:sz w:val="24"/>
          <w:szCs w:val="24"/>
        </w:rPr>
        <w:t xml:space="preserve"> subtle</w:t>
      </w:r>
      <w:r w:rsidRPr="009C69FE">
        <w:rPr>
          <w:rFonts w:cs="Arial"/>
          <w:sz w:val="24"/>
          <w:szCs w:val="24"/>
        </w:rPr>
        <w:t>.</w:t>
      </w:r>
      <w:r w:rsidR="000D26CB" w:rsidRPr="009C69FE">
        <w:rPr>
          <w:rFonts w:cs="Arial"/>
          <w:sz w:val="24"/>
          <w:szCs w:val="24"/>
        </w:rPr>
        <w:t xml:space="preserve">  The focus will mainly be on the rules in CMR with a briefer review of CIM mainly pointing out the differences.</w:t>
      </w:r>
    </w:p>
    <w:p w14:paraId="1F0A68B9" w14:textId="77777777" w:rsidR="00825A36" w:rsidRPr="009C69FE" w:rsidRDefault="00E12137" w:rsidP="00FF67DA">
      <w:pPr>
        <w:rPr>
          <w:rFonts w:cs="Arial"/>
          <w:sz w:val="24"/>
          <w:szCs w:val="24"/>
        </w:rPr>
      </w:pPr>
      <w:r w:rsidRPr="009C69FE">
        <w:rPr>
          <w:rFonts w:cs="Arial"/>
          <w:b/>
          <w:sz w:val="24"/>
          <w:szCs w:val="24"/>
        </w:rPr>
        <w:t>3</w:t>
      </w:r>
      <w:r w:rsidR="00902B5B" w:rsidRPr="009C69FE">
        <w:rPr>
          <w:rFonts w:cs="Arial"/>
          <w:b/>
          <w:sz w:val="24"/>
          <w:szCs w:val="24"/>
        </w:rPr>
        <w:t>.</w:t>
      </w:r>
      <w:r w:rsidRPr="009C69FE">
        <w:rPr>
          <w:rFonts w:cs="Arial"/>
          <w:b/>
          <w:sz w:val="24"/>
          <w:szCs w:val="24"/>
        </w:rPr>
        <w:t>7</w:t>
      </w:r>
      <w:r w:rsidR="00902B5B" w:rsidRPr="009C69FE">
        <w:rPr>
          <w:rFonts w:cs="Arial"/>
          <w:b/>
          <w:sz w:val="24"/>
          <w:szCs w:val="24"/>
        </w:rPr>
        <w:t>.2</w:t>
      </w:r>
      <w:r w:rsidR="000D26CB" w:rsidRPr="009C69FE">
        <w:rPr>
          <w:rFonts w:cs="Arial"/>
          <w:b/>
          <w:sz w:val="24"/>
          <w:szCs w:val="24"/>
        </w:rPr>
        <w:t xml:space="preserve"> </w:t>
      </w:r>
      <w:r w:rsidR="00FF67DA" w:rsidRPr="009C69FE">
        <w:rPr>
          <w:rFonts w:cs="Arial"/>
          <w:b/>
          <w:sz w:val="24"/>
          <w:szCs w:val="24"/>
        </w:rPr>
        <w:t>CMR</w:t>
      </w:r>
      <w:r w:rsidR="000D26CB" w:rsidRPr="009C69FE">
        <w:rPr>
          <w:rFonts w:cs="Arial"/>
          <w:sz w:val="24"/>
          <w:szCs w:val="24"/>
        </w:rPr>
        <w:br/>
      </w:r>
      <w:r w:rsidR="000D26CB" w:rsidRPr="009C69FE">
        <w:rPr>
          <w:rFonts w:cs="Arial"/>
          <w:sz w:val="24"/>
          <w:szCs w:val="24"/>
        </w:rPr>
        <w:br/>
        <w:t>The CMR system is highly complex (at least as complex as the Hague-Visby Rules if not more so).</w:t>
      </w:r>
      <w:r w:rsidR="007F2AA7" w:rsidRPr="009C69FE">
        <w:rPr>
          <w:rFonts w:cs="Arial"/>
          <w:sz w:val="24"/>
          <w:szCs w:val="24"/>
        </w:rPr>
        <w:t xml:space="preserve"> As noted above art</w:t>
      </w:r>
      <w:r w:rsidR="000D26CB" w:rsidRPr="009C69FE">
        <w:rPr>
          <w:rFonts w:cs="Arial"/>
          <w:sz w:val="24"/>
          <w:szCs w:val="24"/>
        </w:rPr>
        <w:t xml:space="preserve"> 17</w:t>
      </w:r>
      <w:r w:rsidR="007F2AA7" w:rsidRPr="009C69FE">
        <w:rPr>
          <w:rFonts w:cs="Arial"/>
          <w:sz w:val="24"/>
          <w:szCs w:val="24"/>
        </w:rPr>
        <w:t>(1) sets out the basic liability and period of liability. Art 19 defines the meaning of delay (see below)</w:t>
      </w:r>
      <w:r w:rsidR="003A07EE" w:rsidRPr="009C69FE">
        <w:rPr>
          <w:rFonts w:cs="Arial"/>
          <w:sz w:val="24"/>
          <w:szCs w:val="24"/>
        </w:rPr>
        <w:t>.</w:t>
      </w:r>
      <w:r w:rsidR="007F2AA7" w:rsidRPr="009C69FE">
        <w:rPr>
          <w:rFonts w:cs="Arial"/>
          <w:sz w:val="24"/>
          <w:szCs w:val="24"/>
        </w:rPr>
        <w:t xml:space="preserve"> The remainder of art 17 and art </w:t>
      </w:r>
      <w:r w:rsidR="000D26CB" w:rsidRPr="009C69FE">
        <w:rPr>
          <w:rFonts w:cs="Arial"/>
          <w:sz w:val="24"/>
          <w:szCs w:val="24"/>
        </w:rPr>
        <w:t xml:space="preserve">18 establish the system of </w:t>
      </w:r>
      <w:r w:rsidR="007F2AA7" w:rsidRPr="009C69FE">
        <w:rPr>
          <w:rFonts w:cs="Arial"/>
          <w:sz w:val="24"/>
          <w:szCs w:val="24"/>
        </w:rPr>
        <w:t xml:space="preserve">defences </w:t>
      </w:r>
      <w:r w:rsidR="000D26CB" w:rsidRPr="009C69FE">
        <w:rPr>
          <w:rFonts w:cs="Arial"/>
          <w:sz w:val="24"/>
          <w:szCs w:val="24"/>
        </w:rPr>
        <w:t xml:space="preserve">for loss, damage and delay. </w:t>
      </w:r>
      <w:r w:rsidR="00FF67DA" w:rsidRPr="009C69FE">
        <w:rPr>
          <w:rFonts w:cs="Arial"/>
          <w:sz w:val="24"/>
          <w:szCs w:val="24"/>
        </w:rPr>
        <w:t>Two sets of defences are available each linked</w:t>
      </w:r>
      <w:r w:rsidR="000D26CB" w:rsidRPr="009C69FE">
        <w:rPr>
          <w:rFonts w:cs="Arial"/>
          <w:sz w:val="24"/>
          <w:szCs w:val="24"/>
        </w:rPr>
        <w:t xml:space="preserve"> to a different burden of proof with further aspects built into the system as re</w:t>
      </w:r>
      <w:r w:rsidR="00CB79D3" w:rsidRPr="009C69FE">
        <w:rPr>
          <w:rFonts w:cs="Arial"/>
          <w:sz w:val="24"/>
          <w:szCs w:val="24"/>
        </w:rPr>
        <w:t>presented as follows</w:t>
      </w:r>
      <w:r w:rsidR="000D26CB" w:rsidRPr="009C69FE">
        <w:rPr>
          <w:rFonts w:cs="Arial"/>
          <w:sz w:val="24"/>
          <w:szCs w:val="24"/>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186"/>
        <w:gridCol w:w="3138"/>
        <w:gridCol w:w="2532"/>
      </w:tblGrid>
      <w:tr w:rsidR="00FF67DA" w:rsidRPr="009C69FE" w14:paraId="209C97F6" w14:textId="77777777" w:rsidTr="000D26CB">
        <w:tc>
          <w:tcPr>
            <w:tcW w:w="3186" w:type="dxa"/>
            <w:shd w:val="clear" w:color="auto" w:fill="auto"/>
          </w:tcPr>
          <w:p w14:paraId="6D604E28" w14:textId="77777777" w:rsidR="00FF67DA" w:rsidRPr="009C69FE" w:rsidRDefault="002D50CB" w:rsidP="000D26CB">
            <w:pPr>
              <w:rPr>
                <w:rFonts w:cs="Arial"/>
                <w:sz w:val="24"/>
                <w:szCs w:val="24"/>
              </w:rPr>
            </w:pPr>
            <w:r w:rsidRPr="009C69FE">
              <w:rPr>
                <w:rFonts w:cs="Arial"/>
                <w:sz w:val="24"/>
                <w:szCs w:val="24"/>
              </w:rPr>
              <w:br w:type="page"/>
            </w:r>
            <w:r w:rsidR="000D26CB" w:rsidRPr="009C69FE">
              <w:rPr>
                <w:rFonts w:cs="Arial"/>
                <w:sz w:val="24"/>
                <w:szCs w:val="24"/>
              </w:rPr>
              <w:br w:type="page"/>
            </w:r>
            <w:r w:rsidR="00FF67DA" w:rsidRPr="009C69FE">
              <w:rPr>
                <w:rFonts w:cs="Arial"/>
                <w:b/>
                <w:sz w:val="24"/>
                <w:szCs w:val="24"/>
              </w:rPr>
              <w:t>Primary Defences – Standard burden of proof (arts.17(2), 18(1)):</w:t>
            </w:r>
            <w:r w:rsidR="00FF67DA" w:rsidRPr="009C69FE">
              <w:rPr>
                <w:rFonts w:cs="Arial"/>
                <w:b/>
                <w:sz w:val="24"/>
                <w:szCs w:val="24"/>
              </w:rPr>
              <w:br/>
            </w:r>
            <w:r w:rsidR="00FF67DA" w:rsidRPr="009C69FE">
              <w:rPr>
                <w:rFonts w:cs="Arial"/>
                <w:sz w:val="24"/>
                <w:szCs w:val="24"/>
              </w:rPr>
              <w:br/>
            </w:r>
            <w:r w:rsidR="000442D3">
              <w:rPr>
                <w:rFonts w:cs="Arial"/>
                <w:sz w:val="24"/>
                <w:szCs w:val="24"/>
              </w:rPr>
              <w:t xml:space="preserve">                                                  </w:t>
            </w:r>
            <w:r w:rsidR="00FF67DA" w:rsidRPr="009C69FE">
              <w:rPr>
                <w:rFonts w:cs="Arial"/>
                <w:sz w:val="24"/>
                <w:szCs w:val="24"/>
              </w:rPr>
              <w:t>The burden of proving that the loss, damage or delay was due to one of the causes specified in art. 17(2) shall rest upon the carrier.</w:t>
            </w:r>
          </w:p>
        </w:tc>
        <w:tc>
          <w:tcPr>
            <w:tcW w:w="3138" w:type="dxa"/>
            <w:shd w:val="clear" w:color="auto" w:fill="auto"/>
          </w:tcPr>
          <w:p w14:paraId="22A34347" w14:textId="77777777" w:rsidR="00FF67DA" w:rsidRPr="009C69FE" w:rsidRDefault="00FF67DA" w:rsidP="000D26CB">
            <w:pPr>
              <w:rPr>
                <w:rFonts w:cs="Arial"/>
                <w:sz w:val="24"/>
                <w:szCs w:val="24"/>
              </w:rPr>
            </w:pPr>
            <w:r w:rsidRPr="009C69FE">
              <w:rPr>
                <w:rFonts w:cs="Arial"/>
                <w:b/>
                <w:sz w:val="24"/>
                <w:szCs w:val="24"/>
              </w:rPr>
              <w:t>Secondary defences (i.e. special risks) with special burden of proof (art. 17(4), art.18(2)) :</w:t>
            </w:r>
            <w:r w:rsidRPr="009C69FE">
              <w:rPr>
                <w:rFonts w:cs="Arial"/>
                <w:b/>
                <w:sz w:val="24"/>
                <w:szCs w:val="24"/>
              </w:rPr>
              <w:br/>
            </w:r>
            <w:r w:rsidRPr="009C69FE">
              <w:rPr>
                <w:rFonts w:cs="Arial"/>
                <w:sz w:val="24"/>
                <w:szCs w:val="24"/>
              </w:rPr>
              <w:br/>
              <w:t xml:space="preserve">Where the carrier establishes that in the circumstances of the case, the loss or damage could be attributed to one of the causes specified in art. </w:t>
            </w:r>
            <w:r w:rsidRPr="009C69FE">
              <w:rPr>
                <w:rFonts w:cs="Arial"/>
                <w:sz w:val="24"/>
                <w:szCs w:val="24"/>
              </w:rPr>
              <w:lastRenderedPageBreak/>
              <w:t>17(4), it shall be presumed that it was so caused.  The claimant shall however be entitled to prove that the loss or damage was not, in fact, attributable either wholly or partly to one of these risks.</w:t>
            </w:r>
          </w:p>
          <w:p w14:paraId="6C58C040" w14:textId="77777777" w:rsidR="00FF67DA" w:rsidRPr="009C69FE" w:rsidRDefault="00FF67DA" w:rsidP="000D26CB">
            <w:pPr>
              <w:rPr>
                <w:rFonts w:cs="Arial"/>
                <w:sz w:val="24"/>
                <w:szCs w:val="24"/>
              </w:rPr>
            </w:pPr>
          </w:p>
        </w:tc>
        <w:tc>
          <w:tcPr>
            <w:tcW w:w="2532" w:type="dxa"/>
            <w:shd w:val="clear" w:color="auto" w:fill="auto"/>
          </w:tcPr>
          <w:p w14:paraId="23D43FB4" w14:textId="77777777" w:rsidR="00FF67DA" w:rsidRPr="009C69FE" w:rsidRDefault="00FF67DA" w:rsidP="000D26CB">
            <w:pPr>
              <w:rPr>
                <w:rFonts w:cs="Arial"/>
                <w:b/>
                <w:sz w:val="24"/>
                <w:szCs w:val="24"/>
              </w:rPr>
            </w:pPr>
            <w:r w:rsidRPr="009C69FE">
              <w:rPr>
                <w:rFonts w:cs="Arial"/>
                <w:b/>
                <w:sz w:val="24"/>
                <w:szCs w:val="24"/>
              </w:rPr>
              <w:lastRenderedPageBreak/>
              <w:t>Qualifications affecting secondary defences</w:t>
            </w:r>
            <w:r w:rsidR="00825A36" w:rsidRPr="009C69FE">
              <w:rPr>
                <w:rFonts w:cs="Arial"/>
                <w:b/>
                <w:sz w:val="24"/>
                <w:szCs w:val="24"/>
              </w:rPr>
              <w:t xml:space="preserve"> (art.18(3)-(5)</w:t>
            </w:r>
            <w:r w:rsidRPr="009C69FE">
              <w:rPr>
                <w:rFonts w:cs="Arial"/>
                <w:b/>
                <w:sz w:val="24"/>
                <w:szCs w:val="24"/>
              </w:rPr>
              <w:t>:</w:t>
            </w:r>
            <w:r w:rsidR="00825A36" w:rsidRPr="009C69FE">
              <w:rPr>
                <w:rFonts w:cs="Arial"/>
                <w:b/>
                <w:sz w:val="24"/>
                <w:szCs w:val="24"/>
              </w:rPr>
              <w:t xml:space="preserve"> </w:t>
            </w:r>
          </w:p>
        </w:tc>
      </w:tr>
      <w:tr w:rsidR="00FF67DA" w:rsidRPr="009C69FE" w14:paraId="7D45BF73" w14:textId="77777777" w:rsidTr="000D26CB">
        <w:tc>
          <w:tcPr>
            <w:tcW w:w="3186" w:type="dxa"/>
            <w:shd w:val="clear" w:color="auto" w:fill="auto"/>
          </w:tcPr>
          <w:p w14:paraId="327E7B5B" w14:textId="77777777" w:rsidR="00FF67DA" w:rsidRPr="009C69FE" w:rsidRDefault="00FF67DA" w:rsidP="000D26CB">
            <w:pPr>
              <w:rPr>
                <w:rFonts w:cs="Arial"/>
                <w:sz w:val="24"/>
                <w:szCs w:val="24"/>
              </w:rPr>
            </w:pPr>
            <w:r w:rsidRPr="009C69FE">
              <w:rPr>
                <w:rFonts w:cs="Arial"/>
                <w:b/>
                <w:sz w:val="24"/>
                <w:szCs w:val="24"/>
              </w:rPr>
              <w:t>Art. 17 (2):</w:t>
            </w:r>
            <w:r w:rsidRPr="009C69FE">
              <w:rPr>
                <w:rFonts w:cs="Arial"/>
                <w:sz w:val="24"/>
                <w:szCs w:val="24"/>
              </w:rPr>
              <w:br/>
            </w:r>
            <w:r w:rsidRPr="009C69FE">
              <w:rPr>
                <w:rFonts w:cs="Arial"/>
                <w:sz w:val="24"/>
                <w:szCs w:val="24"/>
              </w:rPr>
              <w:br/>
              <w:t>Wrongful act or neglect of the claimant;</w:t>
            </w:r>
            <w:r w:rsidRPr="009C69FE">
              <w:rPr>
                <w:rFonts w:cs="Arial"/>
                <w:sz w:val="24"/>
                <w:szCs w:val="24"/>
              </w:rPr>
              <w:br/>
            </w:r>
            <w:r w:rsidRPr="009C69FE">
              <w:rPr>
                <w:rFonts w:cs="Arial"/>
                <w:sz w:val="24"/>
                <w:szCs w:val="24"/>
              </w:rPr>
              <w:br/>
              <w:t>Instructions of the claimant given otherwise than as a result of a wrongful act or neglect on the part of the carrier;</w:t>
            </w:r>
            <w:r w:rsidRPr="009C69FE">
              <w:rPr>
                <w:rFonts w:cs="Arial"/>
                <w:sz w:val="24"/>
                <w:szCs w:val="24"/>
              </w:rPr>
              <w:br/>
            </w:r>
          </w:p>
          <w:p w14:paraId="394F145F" w14:textId="77777777" w:rsidR="00FF67DA" w:rsidRPr="009C69FE" w:rsidRDefault="00FF67DA" w:rsidP="000D26CB">
            <w:pPr>
              <w:rPr>
                <w:rFonts w:cs="Arial"/>
                <w:sz w:val="24"/>
                <w:szCs w:val="24"/>
              </w:rPr>
            </w:pPr>
            <w:r w:rsidRPr="009C69FE">
              <w:rPr>
                <w:rFonts w:cs="Arial"/>
                <w:sz w:val="24"/>
                <w:szCs w:val="24"/>
              </w:rPr>
              <w:t>Inherent vice;</w:t>
            </w:r>
            <w:r w:rsidRPr="009C69FE">
              <w:rPr>
                <w:rFonts w:cs="Arial"/>
                <w:sz w:val="24"/>
                <w:szCs w:val="24"/>
              </w:rPr>
              <w:br/>
            </w:r>
          </w:p>
          <w:p w14:paraId="29CD50D6" w14:textId="77777777" w:rsidR="00FF67DA" w:rsidRPr="009C69FE" w:rsidRDefault="00FF67DA" w:rsidP="000D26CB">
            <w:pPr>
              <w:rPr>
                <w:rFonts w:cs="Arial"/>
                <w:sz w:val="24"/>
                <w:szCs w:val="24"/>
              </w:rPr>
            </w:pPr>
            <w:r w:rsidRPr="009C69FE">
              <w:rPr>
                <w:rFonts w:cs="Arial"/>
                <w:sz w:val="24"/>
                <w:szCs w:val="24"/>
              </w:rPr>
              <w:t>Circumstances which the carrier could not avoid and the consequences of which he was unable to prevent.</w:t>
            </w:r>
          </w:p>
        </w:tc>
        <w:tc>
          <w:tcPr>
            <w:tcW w:w="3138" w:type="dxa"/>
            <w:shd w:val="clear" w:color="auto" w:fill="auto"/>
          </w:tcPr>
          <w:p w14:paraId="44A2F0CB" w14:textId="77777777" w:rsidR="00FF67DA" w:rsidRPr="009C69FE" w:rsidRDefault="00FF67DA" w:rsidP="000D26CB">
            <w:pPr>
              <w:rPr>
                <w:rFonts w:cs="Arial"/>
                <w:b/>
                <w:sz w:val="24"/>
                <w:szCs w:val="24"/>
              </w:rPr>
            </w:pPr>
            <w:r w:rsidRPr="009C69FE">
              <w:rPr>
                <w:rFonts w:cs="Arial"/>
                <w:b/>
                <w:sz w:val="24"/>
                <w:szCs w:val="24"/>
              </w:rPr>
              <w:t>Art.17(4):</w:t>
            </w:r>
            <w:r w:rsidRPr="009C69FE">
              <w:rPr>
                <w:rFonts w:cs="Arial"/>
                <w:b/>
                <w:sz w:val="24"/>
                <w:szCs w:val="24"/>
              </w:rPr>
              <w:br/>
            </w:r>
            <w:r w:rsidR="007F2AA7" w:rsidRPr="009C69FE">
              <w:rPr>
                <w:rFonts w:cs="Arial"/>
                <w:b/>
                <w:sz w:val="24"/>
                <w:szCs w:val="24"/>
              </w:rPr>
              <w:br/>
            </w:r>
            <w:r w:rsidRPr="009C69FE">
              <w:rPr>
                <w:rFonts w:cs="Arial"/>
                <w:sz w:val="24"/>
                <w:szCs w:val="24"/>
              </w:rPr>
              <w:t xml:space="preserve">(a) use of open </w:t>
            </w:r>
            <w:proofErr w:type="spellStart"/>
            <w:r w:rsidRPr="009C69FE">
              <w:rPr>
                <w:rFonts w:cs="Arial"/>
                <w:sz w:val="24"/>
                <w:szCs w:val="24"/>
              </w:rPr>
              <w:t>unsheeted</w:t>
            </w:r>
            <w:proofErr w:type="spellEnd"/>
            <w:r w:rsidRPr="009C69FE">
              <w:rPr>
                <w:rFonts w:cs="Arial"/>
                <w:sz w:val="24"/>
                <w:szCs w:val="24"/>
              </w:rPr>
              <w:t xml:space="preserve"> vehicles, when their use has been expressly agreed and specified in the consignment note;</w:t>
            </w:r>
          </w:p>
          <w:p w14:paraId="39FC676D" w14:textId="77777777" w:rsidR="00FF67DA" w:rsidRPr="009C69FE" w:rsidRDefault="00FF67DA" w:rsidP="000D26CB">
            <w:pPr>
              <w:rPr>
                <w:rFonts w:cs="Arial"/>
                <w:sz w:val="24"/>
                <w:szCs w:val="24"/>
              </w:rPr>
            </w:pPr>
            <w:r w:rsidRPr="009C69FE">
              <w:rPr>
                <w:rFonts w:cs="Arial"/>
                <w:sz w:val="24"/>
                <w:szCs w:val="24"/>
              </w:rPr>
              <w:br/>
              <w:t>(b) the lack of, or defective condition of the packing in the case of goods which, by their nature, are liable to wastage or to be damaged when not packe</w:t>
            </w:r>
            <w:r w:rsidR="007F2AA7" w:rsidRPr="009C69FE">
              <w:rPr>
                <w:rFonts w:cs="Arial"/>
                <w:sz w:val="24"/>
                <w:szCs w:val="24"/>
              </w:rPr>
              <w:t>d or when not properly packed;</w:t>
            </w:r>
            <w:r w:rsidR="007F2AA7" w:rsidRPr="009C69FE">
              <w:rPr>
                <w:rFonts w:cs="Arial"/>
                <w:sz w:val="24"/>
                <w:szCs w:val="24"/>
              </w:rPr>
              <w:br/>
            </w:r>
            <w:r w:rsidRPr="009C69FE">
              <w:rPr>
                <w:rFonts w:cs="Arial"/>
                <w:sz w:val="24"/>
                <w:szCs w:val="24"/>
              </w:rPr>
              <w:br/>
              <w:t>(c) handling, loading, stowage, or unloading of the goods by the sender , consignee or persons acting on behalf of the sender or the consignee:</w:t>
            </w:r>
            <w:r w:rsidRPr="009C69FE">
              <w:rPr>
                <w:rFonts w:cs="Arial"/>
                <w:sz w:val="24"/>
                <w:szCs w:val="24"/>
              </w:rPr>
              <w:br/>
            </w:r>
            <w:r w:rsidRPr="009C69FE">
              <w:rPr>
                <w:rFonts w:cs="Arial"/>
                <w:sz w:val="24"/>
                <w:szCs w:val="24"/>
              </w:rPr>
              <w:br/>
              <w:t>(d) the nature of certain kinds of goods which particularly exposes them to total or partial loss or to damage, especially through breakage, rust, decay, desiccation, leakage, normal wastage, or the action of moth or vermin;</w:t>
            </w:r>
          </w:p>
          <w:p w14:paraId="2318859C" w14:textId="77777777" w:rsidR="00FF67DA" w:rsidRPr="009C69FE" w:rsidRDefault="00FF67DA" w:rsidP="000D26CB">
            <w:pPr>
              <w:rPr>
                <w:rFonts w:cs="Arial"/>
                <w:sz w:val="24"/>
                <w:szCs w:val="24"/>
              </w:rPr>
            </w:pPr>
            <w:r w:rsidRPr="009C69FE">
              <w:rPr>
                <w:rFonts w:cs="Arial"/>
                <w:sz w:val="24"/>
                <w:szCs w:val="24"/>
              </w:rPr>
              <w:br/>
              <w:t xml:space="preserve">(e) insufficiency or inadequacy of marks or numbers in the </w:t>
            </w:r>
            <w:proofErr w:type="gramStart"/>
            <w:r w:rsidRPr="009C69FE">
              <w:rPr>
                <w:rFonts w:cs="Arial"/>
                <w:sz w:val="24"/>
                <w:szCs w:val="24"/>
              </w:rPr>
              <w:t>packages;</w:t>
            </w:r>
            <w:proofErr w:type="gramEnd"/>
          </w:p>
          <w:p w14:paraId="7ECA704F" w14:textId="77777777" w:rsidR="00825A36" w:rsidRPr="009C69FE" w:rsidRDefault="00825A36" w:rsidP="000D26CB">
            <w:pPr>
              <w:rPr>
                <w:rFonts w:cs="Arial"/>
                <w:sz w:val="24"/>
                <w:szCs w:val="24"/>
              </w:rPr>
            </w:pPr>
            <w:r w:rsidRPr="009C69FE">
              <w:rPr>
                <w:rFonts w:cs="Arial"/>
                <w:sz w:val="24"/>
                <w:szCs w:val="24"/>
              </w:rPr>
              <w:lastRenderedPageBreak/>
              <w:br/>
            </w:r>
            <w:r w:rsidRPr="009C69FE">
              <w:rPr>
                <w:rFonts w:cs="Arial"/>
                <w:sz w:val="24"/>
                <w:szCs w:val="24"/>
              </w:rPr>
              <w:br/>
            </w:r>
            <w:r w:rsidRPr="009C69FE">
              <w:rPr>
                <w:rFonts w:cs="Arial"/>
                <w:sz w:val="24"/>
                <w:szCs w:val="24"/>
              </w:rPr>
              <w:br/>
            </w:r>
          </w:p>
          <w:p w14:paraId="37438135" w14:textId="77777777" w:rsidR="00825A36" w:rsidRPr="009C69FE" w:rsidRDefault="00825A36" w:rsidP="000D26CB">
            <w:pPr>
              <w:rPr>
                <w:rFonts w:cs="Arial"/>
                <w:sz w:val="24"/>
                <w:szCs w:val="24"/>
              </w:rPr>
            </w:pPr>
          </w:p>
          <w:p w14:paraId="33C0A77F" w14:textId="77777777" w:rsidR="00825A36" w:rsidRPr="009C69FE" w:rsidRDefault="00825A36" w:rsidP="000D26CB">
            <w:pPr>
              <w:rPr>
                <w:rFonts w:cs="Arial"/>
                <w:sz w:val="24"/>
                <w:szCs w:val="24"/>
              </w:rPr>
            </w:pPr>
          </w:p>
          <w:p w14:paraId="00E6736E" w14:textId="77777777" w:rsidR="000442D3" w:rsidRDefault="00825A36" w:rsidP="000D26CB">
            <w:pPr>
              <w:rPr>
                <w:rFonts w:cs="Arial"/>
                <w:sz w:val="24"/>
                <w:szCs w:val="24"/>
              </w:rPr>
            </w:pPr>
            <w:r w:rsidRPr="009C69FE">
              <w:rPr>
                <w:rFonts w:cs="Arial"/>
                <w:sz w:val="24"/>
                <w:szCs w:val="24"/>
              </w:rPr>
              <w:br/>
            </w:r>
          </w:p>
          <w:p w14:paraId="23E6F098" w14:textId="77777777" w:rsidR="00FF67DA" w:rsidRPr="009C69FE" w:rsidRDefault="000442D3" w:rsidP="000D26CB">
            <w:pPr>
              <w:rPr>
                <w:rFonts w:cs="Arial"/>
                <w:sz w:val="24"/>
                <w:szCs w:val="24"/>
              </w:rPr>
            </w:pPr>
            <w:r>
              <w:rPr>
                <w:rFonts w:cs="Arial"/>
                <w:sz w:val="24"/>
                <w:szCs w:val="24"/>
              </w:rPr>
              <w:t xml:space="preserve">                                                  </w:t>
            </w:r>
            <w:r w:rsidR="00FF67DA" w:rsidRPr="009C69FE">
              <w:rPr>
                <w:rFonts w:cs="Arial"/>
                <w:sz w:val="24"/>
                <w:szCs w:val="24"/>
              </w:rPr>
              <w:t>(f) the carriage of livestock.</w:t>
            </w:r>
          </w:p>
          <w:p w14:paraId="6DA8C272" w14:textId="77777777" w:rsidR="00FF67DA" w:rsidRPr="009C69FE" w:rsidRDefault="00FF67DA" w:rsidP="000D26CB">
            <w:pPr>
              <w:rPr>
                <w:rFonts w:cs="Arial"/>
                <w:sz w:val="24"/>
                <w:szCs w:val="24"/>
              </w:rPr>
            </w:pPr>
          </w:p>
        </w:tc>
        <w:tc>
          <w:tcPr>
            <w:tcW w:w="2532" w:type="dxa"/>
            <w:shd w:val="clear" w:color="auto" w:fill="auto"/>
          </w:tcPr>
          <w:p w14:paraId="7E3882D6" w14:textId="77777777" w:rsidR="00FF67DA" w:rsidRPr="009C69FE" w:rsidRDefault="00FF67DA" w:rsidP="000D26CB">
            <w:pPr>
              <w:rPr>
                <w:rFonts w:cs="Arial"/>
                <w:sz w:val="24"/>
                <w:szCs w:val="24"/>
              </w:rPr>
            </w:pPr>
          </w:p>
          <w:p w14:paraId="5900583B" w14:textId="77777777" w:rsidR="00FF67DA" w:rsidRPr="009C69FE" w:rsidRDefault="00FF67DA" w:rsidP="007F2AA7">
            <w:pPr>
              <w:rPr>
                <w:rFonts w:cs="Arial"/>
                <w:sz w:val="24"/>
                <w:szCs w:val="24"/>
              </w:rPr>
            </w:pPr>
            <w:r w:rsidRPr="009C69FE">
              <w:rPr>
                <w:rFonts w:cs="Arial"/>
                <w:sz w:val="24"/>
                <w:szCs w:val="24"/>
              </w:rPr>
              <w:t>This presumption (i.e. in art.18(2)) shall not apply in the circumstances set out in Article 17(4)(a), if there has been an abnormal shortage, or  loss of a package (art.18(3)).</w:t>
            </w:r>
            <w:r w:rsidRPr="009C69FE">
              <w:rPr>
                <w:rFonts w:cs="Arial"/>
                <w:sz w:val="24"/>
                <w:szCs w:val="24"/>
              </w:rPr>
              <w:br/>
            </w:r>
            <w:r w:rsidRPr="009C69FE">
              <w:rPr>
                <w:rFonts w:cs="Arial"/>
                <w:sz w:val="24"/>
                <w:szCs w:val="24"/>
              </w:rPr>
              <w:br/>
            </w:r>
            <w:r w:rsidR="007F2AA7" w:rsidRPr="009C69FE">
              <w:rPr>
                <w:rFonts w:cs="Arial"/>
                <w:sz w:val="24"/>
                <w:szCs w:val="24"/>
              </w:rPr>
              <w:br/>
            </w:r>
            <w:r w:rsidR="007F2AA7" w:rsidRPr="009C69FE">
              <w:rPr>
                <w:rFonts w:cs="Arial"/>
                <w:sz w:val="24"/>
                <w:szCs w:val="24"/>
              </w:rPr>
              <w:br/>
            </w:r>
            <w:r w:rsidR="007F2AA7" w:rsidRPr="009C69FE">
              <w:rPr>
                <w:rFonts w:cs="Arial"/>
                <w:sz w:val="24"/>
                <w:szCs w:val="24"/>
              </w:rPr>
              <w:br/>
            </w:r>
            <w:r w:rsidR="007F2AA7" w:rsidRPr="009C69FE">
              <w:rPr>
                <w:rFonts w:cs="Arial"/>
                <w:sz w:val="24"/>
                <w:szCs w:val="24"/>
              </w:rPr>
              <w:br/>
            </w:r>
            <w:r w:rsidR="007F2AA7" w:rsidRPr="009C69FE">
              <w:rPr>
                <w:rFonts w:cs="Arial"/>
                <w:sz w:val="24"/>
                <w:szCs w:val="24"/>
              </w:rPr>
              <w:br/>
            </w:r>
            <w:r w:rsidR="007F2AA7" w:rsidRPr="009C69FE">
              <w:rPr>
                <w:rFonts w:cs="Arial"/>
                <w:sz w:val="24"/>
                <w:szCs w:val="24"/>
              </w:rPr>
              <w:br/>
            </w:r>
            <w:r w:rsidR="007F2AA7" w:rsidRPr="009C69FE">
              <w:rPr>
                <w:rFonts w:cs="Arial"/>
                <w:sz w:val="24"/>
                <w:szCs w:val="24"/>
              </w:rPr>
              <w:br/>
            </w:r>
            <w:r w:rsidR="007F2AA7" w:rsidRPr="009C69FE">
              <w:rPr>
                <w:rFonts w:cs="Arial"/>
                <w:sz w:val="24"/>
                <w:szCs w:val="24"/>
              </w:rPr>
              <w:br/>
            </w:r>
            <w:r w:rsidR="007F2AA7" w:rsidRPr="009C69FE">
              <w:rPr>
                <w:rFonts w:cs="Arial"/>
                <w:sz w:val="24"/>
                <w:szCs w:val="24"/>
              </w:rPr>
              <w:br/>
            </w:r>
            <w:r w:rsidR="007F2AA7" w:rsidRPr="009C69FE">
              <w:rPr>
                <w:rFonts w:cs="Arial"/>
                <w:sz w:val="24"/>
                <w:szCs w:val="24"/>
              </w:rPr>
              <w:br/>
            </w:r>
            <w:r w:rsidR="007F2AA7" w:rsidRPr="009C69FE">
              <w:rPr>
                <w:rFonts w:cs="Arial"/>
                <w:sz w:val="24"/>
                <w:szCs w:val="24"/>
              </w:rPr>
              <w:br/>
            </w:r>
            <w:r w:rsidR="007F2AA7" w:rsidRPr="009C69FE">
              <w:rPr>
                <w:rFonts w:cs="Arial"/>
                <w:sz w:val="24"/>
                <w:szCs w:val="24"/>
              </w:rPr>
              <w:br/>
            </w:r>
            <w:r w:rsidRPr="009C69FE">
              <w:rPr>
                <w:rFonts w:cs="Arial"/>
                <w:sz w:val="24"/>
                <w:szCs w:val="24"/>
              </w:rPr>
              <w:t xml:space="preserve">If the carriage is performed in vehicles specially equipped to protect the goods form the effects of heat, cold, variations in temperature or the humidity of the air, the carrier shall not be entitled to the claim the benefit of Article 17(4)(d), unless he proves that all steps incumbent on him in </w:t>
            </w:r>
            <w:r w:rsidRPr="009C69FE">
              <w:rPr>
                <w:rFonts w:cs="Arial"/>
                <w:sz w:val="24"/>
                <w:szCs w:val="24"/>
              </w:rPr>
              <w:lastRenderedPageBreak/>
              <w:t>the circumstances with respect to the choice, maintenance and use of such equipment were taken and that he complied with any special instructions issued to him (art.18)(4)).</w:t>
            </w:r>
            <w:r w:rsidRPr="009C69FE">
              <w:rPr>
                <w:rFonts w:cs="Arial"/>
                <w:sz w:val="24"/>
                <w:szCs w:val="24"/>
              </w:rPr>
              <w:br/>
            </w:r>
            <w:r w:rsidRPr="009C69FE">
              <w:rPr>
                <w:rFonts w:cs="Arial"/>
                <w:sz w:val="24"/>
                <w:szCs w:val="24"/>
              </w:rPr>
              <w:br/>
            </w:r>
            <w:r w:rsidRPr="009C69FE">
              <w:rPr>
                <w:rFonts w:cs="Arial"/>
                <w:sz w:val="24"/>
                <w:szCs w:val="24"/>
              </w:rPr>
              <w:br/>
              <w:t>The carrier shall not be entitled to claim the benefit of Article 17(4)(f), unless he proves that all steps normally incumbent on him in the circumstances were taken and that he complied with any special instructions issued to him (art.18(5)).</w:t>
            </w:r>
          </w:p>
        </w:tc>
      </w:tr>
      <w:tr w:rsidR="00FF67DA" w:rsidRPr="009C69FE" w14:paraId="4A23929F" w14:textId="77777777" w:rsidTr="000D26CB">
        <w:tc>
          <w:tcPr>
            <w:tcW w:w="8856" w:type="dxa"/>
            <w:gridSpan w:val="3"/>
            <w:shd w:val="clear" w:color="auto" w:fill="auto"/>
          </w:tcPr>
          <w:p w14:paraId="77CE8DD1" w14:textId="77777777" w:rsidR="00FF67DA" w:rsidRPr="009C69FE" w:rsidRDefault="00FF67DA" w:rsidP="000D26CB">
            <w:pPr>
              <w:rPr>
                <w:rFonts w:cs="Arial"/>
                <w:sz w:val="24"/>
                <w:szCs w:val="24"/>
              </w:rPr>
            </w:pPr>
            <w:r w:rsidRPr="009C69FE">
              <w:rPr>
                <w:rFonts w:cs="Arial"/>
                <w:b/>
                <w:sz w:val="24"/>
                <w:szCs w:val="24"/>
              </w:rPr>
              <w:lastRenderedPageBreak/>
              <w:t>Defective Vehicle (art.17(3)):</w:t>
            </w:r>
            <w:r w:rsidRPr="009C69FE">
              <w:rPr>
                <w:rFonts w:cs="Arial"/>
                <w:sz w:val="24"/>
                <w:szCs w:val="24"/>
              </w:rPr>
              <w:br/>
            </w:r>
            <w:r w:rsidRPr="009C69FE">
              <w:rPr>
                <w:rFonts w:cs="Arial"/>
                <w:sz w:val="24"/>
                <w:szCs w:val="24"/>
              </w:rPr>
              <w:br/>
              <w:t xml:space="preserve">The carrier shall not be relieved of liability by reason of the defective condition of the vehicle used by him </w:t>
            </w:r>
            <w:proofErr w:type="gramStart"/>
            <w:r w:rsidRPr="009C69FE">
              <w:rPr>
                <w:rFonts w:cs="Arial"/>
                <w:sz w:val="24"/>
                <w:szCs w:val="24"/>
              </w:rPr>
              <w:t>in order to</w:t>
            </w:r>
            <w:proofErr w:type="gramEnd"/>
            <w:r w:rsidRPr="009C69FE">
              <w:rPr>
                <w:rFonts w:cs="Arial"/>
                <w:sz w:val="24"/>
                <w:szCs w:val="24"/>
              </w:rPr>
              <w:t xml:space="preserve"> perform the carriage, or by reason of the wrongful act or neglect of the person from whom he may have hired the vehicle or of the servants or agents of the latter.</w:t>
            </w:r>
            <w:r w:rsidRPr="009C69FE">
              <w:rPr>
                <w:rFonts w:cs="Arial"/>
                <w:sz w:val="24"/>
                <w:szCs w:val="24"/>
              </w:rPr>
              <w:br/>
            </w:r>
          </w:p>
        </w:tc>
      </w:tr>
      <w:tr w:rsidR="00FF67DA" w:rsidRPr="009C69FE" w14:paraId="4F9763B8" w14:textId="77777777" w:rsidTr="000D26CB">
        <w:tc>
          <w:tcPr>
            <w:tcW w:w="8856" w:type="dxa"/>
            <w:gridSpan w:val="3"/>
            <w:shd w:val="clear" w:color="auto" w:fill="auto"/>
          </w:tcPr>
          <w:p w14:paraId="51BCB5CD" w14:textId="77777777" w:rsidR="00FF67DA" w:rsidRPr="009C69FE" w:rsidRDefault="00FF67DA" w:rsidP="000D26CB">
            <w:pPr>
              <w:rPr>
                <w:rFonts w:cs="Arial"/>
                <w:sz w:val="24"/>
                <w:szCs w:val="24"/>
              </w:rPr>
            </w:pPr>
            <w:r w:rsidRPr="009C69FE">
              <w:rPr>
                <w:rFonts w:cs="Arial"/>
                <w:b/>
                <w:sz w:val="24"/>
                <w:szCs w:val="24"/>
              </w:rPr>
              <w:t>Apportionment (art.17(5)):</w:t>
            </w:r>
            <w:r w:rsidRPr="009C69FE">
              <w:rPr>
                <w:rFonts w:cs="Arial"/>
                <w:sz w:val="24"/>
                <w:szCs w:val="24"/>
              </w:rPr>
              <w:br/>
            </w:r>
            <w:r w:rsidRPr="009C69FE">
              <w:rPr>
                <w:rFonts w:cs="Arial"/>
                <w:sz w:val="24"/>
                <w:szCs w:val="24"/>
              </w:rPr>
              <w:br/>
              <w:t xml:space="preserve">Where under this Article the carrier is not under any liability in respect of some of the factors causing the loss, </w:t>
            </w:r>
            <w:proofErr w:type="gramStart"/>
            <w:r w:rsidRPr="009C69FE">
              <w:rPr>
                <w:rFonts w:cs="Arial"/>
                <w:sz w:val="24"/>
                <w:szCs w:val="24"/>
              </w:rPr>
              <w:t>damage</w:t>
            </w:r>
            <w:proofErr w:type="gramEnd"/>
            <w:r w:rsidRPr="009C69FE">
              <w:rPr>
                <w:rFonts w:cs="Arial"/>
                <w:sz w:val="24"/>
                <w:szCs w:val="24"/>
              </w:rPr>
              <w:t xml:space="preserve"> or delay, he shall only be liable to the extent that those factors for which he is liable under this Article have contributed to the loss, damage or delay.</w:t>
            </w:r>
          </w:p>
        </w:tc>
      </w:tr>
    </w:tbl>
    <w:p w14:paraId="7DD97969" w14:textId="77777777" w:rsidR="00FF67DA" w:rsidRPr="009C69FE" w:rsidRDefault="00FF67DA" w:rsidP="00FF67DA">
      <w:pPr>
        <w:rPr>
          <w:rFonts w:cs="Arial"/>
          <w:sz w:val="24"/>
          <w:szCs w:val="24"/>
        </w:rPr>
      </w:pPr>
      <w:r w:rsidRPr="009C69FE">
        <w:rPr>
          <w:rFonts w:cs="Arial"/>
          <w:sz w:val="24"/>
          <w:szCs w:val="24"/>
        </w:rPr>
        <w:tab/>
      </w:r>
      <w:r w:rsidRPr="009C69FE">
        <w:rPr>
          <w:rFonts w:cs="Arial"/>
          <w:sz w:val="24"/>
          <w:szCs w:val="24"/>
        </w:rPr>
        <w:br/>
      </w:r>
      <w:r w:rsidR="00E12137" w:rsidRPr="009C69FE">
        <w:rPr>
          <w:rFonts w:cs="Arial"/>
          <w:b/>
          <w:sz w:val="24"/>
          <w:szCs w:val="24"/>
        </w:rPr>
        <w:t>3.7.3</w:t>
      </w:r>
      <w:r w:rsidR="007F2AA7" w:rsidRPr="009C69FE">
        <w:rPr>
          <w:rFonts w:cs="Arial"/>
          <w:sz w:val="24"/>
          <w:szCs w:val="24"/>
        </w:rPr>
        <w:t xml:space="preserve"> </w:t>
      </w:r>
      <w:r w:rsidRPr="009C69FE">
        <w:rPr>
          <w:rFonts w:cs="Arial"/>
          <w:b/>
          <w:sz w:val="24"/>
          <w:szCs w:val="24"/>
        </w:rPr>
        <w:t xml:space="preserve">Unavoidable circumstances </w:t>
      </w:r>
    </w:p>
    <w:p w14:paraId="1B139CBE" w14:textId="77777777" w:rsidR="00B31D88" w:rsidRPr="009C69FE" w:rsidRDefault="00FF67DA" w:rsidP="00FF67DA">
      <w:pPr>
        <w:rPr>
          <w:rFonts w:cs="Arial"/>
          <w:sz w:val="24"/>
          <w:szCs w:val="24"/>
        </w:rPr>
      </w:pPr>
      <w:r w:rsidRPr="009C69FE">
        <w:rPr>
          <w:rFonts w:cs="Arial"/>
          <w:sz w:val="24"/>
          <w:szCs w:val="24"/>
        </w:rPr>
        <w:t xml:space="preserve">This is the most important of the defences in the sense that the meaning attached to this defence really determines the nature of the level of responsibility imposed on the carrier.  Does it mean circumstances which are totally unavoidable </w:t>
      </w:r>
      <w:proofErr w:type="gramStart"/>
      <w:r w:rsidRPr="009C69FE">
        <w:rPr>
          <w:rFonts w:cs="Arial"/>
          <w:sz w:val="24"/>
          <w:szCs w:val="24"/>
        </w:rPr>
        <w:t>i.e.</w:t>
      </w:r>
      <w:proofErr w:type="gramEnd"/>
      <w:r w:rsidRPr="009C69FE">
        <w:rPr>
          <w:rFonts w:cs="Arial"/>
          <w:sz w:val="24"/>
          <w:szCs w:val="24"/>
        </w:rPr>
        <w:t xml:space="preserve"> nothing humanly possible could have been done to avoid them?  Does it mean circumstances that could not have been avoided b</w:t>
      </w:r>
      <w:r w:rsidR="00B31D88" w:rsidRPr="009C69FE">
        <w:rPr>
          <w:rFonts w:cs="Arial"/>
          <w:sz w:val="24"/>
          <w:szCs w:val="24"/>
        </w:rPr>
        <w:t>y taking reasonable steps?</w:t>
      </w:r>
    </w:p>
    <w:p w14:paraId="5A70F891" w14:textId="77777777" w:rsidR="00FF67DA" w:rsidRPr="009C69FE" w:rsidRDefault="00FF67DA" w:rsidP="00FF67DA">
      <w:pPr>
        <w:rPr>
          <w:rFonts w:cs="Arial"/>
          <w:sz w:val="24"/>
          <w:szCs w:val="24"/>
        </w:rPr>
      </w:pPr>
      <w:r w:rsidRPr="009C69FE">
        <w:rPr>
          <w:rFonts w:cs="Arial"/>
          <w:sz w:val="24"/>
          <w:szCs w:val="24"/>
        </w:rPr>
        <w:lastRenderedPageBreak/>
        <w:t>Clearly it covers those circumstances which do not readily fall within the other defences.  Thus</w:t>
      </w:r>
      <w:r w:rsidR="00926D00">
        <w:rPr>
          <w:rFonts w:cs="Arial"/>
          <w:sz w:val="24"/>
          <w:szCs w:val="24"/>
        </w:rPr>
        <w:t>,</w:t>
      </w:r>
      <w:r w:rsidRPr="009C69FE">
        <w:rPr>
          <w:rFonts w:cs="Arial"/>
          <w:sz w:val="24"/>
          <w:szCs w:val="24"/>
        </w:rPr>
        <w:t xml:space="preserve"> it can cover a wide range of possibilities such as damage caused by natural events or traffic accidents or delay due to strikes etc.  A common area of litigation is where there has been theft or robbery of the goods.  </w:t>
      </w:r>
    </w:p>
    <w:p w14:paraId="3AFCC0D2" w14:textId="77777777" w:rsidR="00FF67DA" w:rsidRPr="009C69FE" w:rsidRDefault="00FF67DA" w:rsidP="00FF67DA">
      <w:pPr>
        <w:rPr>
          <w:rFonts w:cs="Arial"/>
          <w:sz w:val="24"/>
          <w:szCs w:val="24"/>
        </w:rPr>
      </w:pPr>
      <w:r w:rsidRPr="009C69FE">
        <w:rPr>
          <w:rFonts w:cs="Arial"/>
          <w:sz w:val="24"/>
          <w:szCs w:val="24"/>
        </w:rPr>
        <w:t xml:space="preserve">The courts have varied in their approach to this defence.  </w:t>
      </w:r>
      <w:r w:rsidRPr="009C69FE">
        <w:rPr>
          <w:rFonts w:cs="Arial"/>
          <w:b/>
          <w:sz w:val="24"/>
          <w:szCs w:val="24"/>
        </w:rPr>
        <w:t>The Spanish Supreme Court</w:t>
      </w:r>
      <w:r w:rsidRPr="009C69FE">
        <w:rPr>
          <w:rFonts w:cs="Arial"/>
          <w:sz w:val="24"/>
          <w:szCs w:val="24"/>
        </w:rPr>
        <w:t xml:space="preserve"> in 1985 (20.12.85 (1986) II Uniform Law Review 630) seems to have applied a standard of due diligence and this seems to be </w:t>
      </w:r>
      <w:proofErr w:type="gramStart"/>
      <w:r w:rsidRPr="009C69FE">
        <w:rPr>
          <w:rFonts w:cs="Arial"/>
          <w:sz w:val="24"/>
          <w:szCs w:val="24"/>
        </w:rPr>
        <w:t>similar to</w:t>
      </w:r>
      <w:proofErr w:type="gramEnd"/>
      <w:r w:rsidRPr="009C69FE">
        <w:rPr>
          <w:rFonts w:cs="Arial"/>
          <w:sz w:val="24"/>
          <w:szCs w:val="24"/>
        </w:rPr>
        <w:t xml:space="preserve"> the test applied in Holland.  The English courts have followed a stricter line as taken by the German courts.</w:t>
      </w:r>
    </w:p>
    <w:p w14:paraId="0D7E1295" w14:textId="77777777" w:rsidR="00FF67DA" w:rsidRPr="009C69FE" w:rsidRDefault="00FF67DA" w:rsidP="00FF67DA">
      <w:pPr>
        <w:rPr>
          <w:rFonts w:cs="Arial"/>
          <w:sz w:val="24"/>
          <w:szCs w:val="24"/>
        </w:rPr>
      </w:pPr>
      <w:r w:rsidRPr="009C69FE">
        <w:rPr>
          <w:rFonts w:cs="Arial"/>
          <w:sz w:val="24"/>
          <w:szCs w:val="24"/>
        </w:rPr>
        <w:t xml:space="preserve">The leading English case is </w:t>
      </w:r>
      <w:r w:rsidRPr="009C69FE">
        <w:rPr>
          <w:rFonts w:cs="Arial"/>
          <w:b/>
          <w:sz w:val="24"/>
          <w:szCs w:val="24"/>
        </w:rPr>
        <w:t>Silber Trading v. Islander Trucking</w:t>
      </w:r>
      <w:r w:rsidRPr="009C69FE">
        <w:rPr>
          <w:rFonts w:cs="Arial"/>
          <w:sz w:val="24"/>
          <w:szCs w:val="24"/>
        </w:rPr>
        <w:t xml:space="preserve"> [1985] 2 Lloyd’s Rep. 243.  Armed robbers stole a load of stereo equipment and clothing worth over £100,000 from a lorry parked at a toll gate in Italy whilst the driver was resting in the cab.  The driver was required to take a rest at this point since otherwise he would have been in breach of regulations.  In an immediate sense there was nothing that the driver could have done to avoid the loss and although there was little evidence as to the precautions taken by the carrier it was clear that precautions such as ensuring the cab was locked or alarmed would have had little effect in the circumstances.  Nevertheless</w:t>
      </w:r>
      <w:r w:rsidR="00926D00">
        <w:rPr>
          <w:rFonts w:cs="Arial"/>
          <w:sz w:val="24"/>
          <w:szCs w:val="24"/>
        </w:rPr>
        <w:t>,</w:t>
      </w:r>
      <w:r w:rsidRPr="009C69FE">
        <w:rPr>
          <w:rFonts w:cs="Arial"/>
          <w:sz w:val="24"/>
          <w:szCs w:val="24"/>
        </w:rPr>
        <w:t xml:space="preserve"> the judge found that the carrier was liable.</w:t>
      </w:r>
    </w:p>
    <w:p w14:paraId="389B8CE3" w14:textId="77777777" w:rsidR="00FF67DA" w:rsidRPr="009C69FE" w:rsidRDefault="00FF67DA" w:rsidP="00FF67DA">
      <w:pPr>
        <w:rPr>
          <w:rFonts w:cs="Arial"/>
          <w:sz w:val="24"/>
          <w:szCs w:val="24"/>
        </w:rPr>
      </w:pPr>
      <w:r w:rsidRPr="009C69FE">
        <w:rPr>
          <w:rFonts w:cs="Arial"/>
          <w:sz w:val="24"/>
          <w:szCs w:val="24"/>
        </w:rPr>
        <w:t>He considered that CMR sets a standard somewhere between, on the one hand, a requirement to take every conceivable precaution, however extreme, within the limits of the law, and on the other hand a duty to do no more than act reasonably in accordance with prudent current practice.  He felt that the correct expression was to treat the words “could not avoid” as including “even with the utmost care.”  This includes consideration of the practicality of the precautions which it is suggested that the carrier should have taken.  In this case there was evidence to show that secure car parks were available nearby.  Although the driver himself could not have driven to them, had there been two drivers, it would have been possible for the lorry to have parked in one of them safely.  The failure to provide them was a failure of utmost care and so the carrier was liable.</w:t>
      </w:r>
    </w:p>
    <w:p w14:paraId="4278A121" w14:textId="77777777" w:rsidR="00FF67DA" w:rsidRPr="009C69FE" w:rsidRDefault="00FF67DA" w:rsidP="00FF67DA">
      <w:pPr>
        <w:rPr>
          <w:rFonts w:cs="Arial"/>
          <w:sz w:val="24"/>
          <w:szCs w:val="24"/>
        </w:rPr>
      </w:pPr>
      <w:r w:rsidRPr="009C69FE">
        <w:rPr>
          <w:rFonts w:cs="Arial"/>
          <w:sz w:val="24"/>
          <w:szCs w:val="24"/>
        </w:rPr>
        <w:t xml:space="preserve">For the courts this is not just a matter of physical practicality but includes financial practicality also.  In </w:t>
      </w:r>
      <w:proofErr w:type="spellStart"/>
      <w:r w:rsidRPr="009C69FE">
        <w:rPr>
          <w:rFonts w:cs="Arial"/>
          <w:b/>
          <w:sz w:val="24"/>
          <w:szCs w:val="24"/>
        </w:rPr>
        <w:t>Cicatiello</w:t>
      </w:r>
      <w:proofErr w:type="spellEnd"/>
      <w:r w:rsidRPr="009C69FE">
        <w:rPr>
          <w:rFonts w:cs="Arial"/>
          <w:b/>
          <w:sz w:val="24"/>
          <w:szCs w:val="24"/>
        </w:rPr>
        <w:t xml:space="preserve"> v. Anglo European Shipping Services Ltd</w:t>
      </w:r>
      <w:r w:rsidRPr="009C69FE">
        <w:rPr>
          <w:rFonts w:cs="Arial"/>
          <w:sz w:val="24"/>
          <w:szCs w:val="24"/>
        </w:rPr>
        <w:t xml:space="preserve"> [1994] 1 Lloyd’s Rep. 678 the court found that given the inexpensive nature of the goods it was financially impractical to supply two drivers in that case.</w:t>
      </w:r>
    </w:p>
    <w:p w14:paraId="28CA3F77" w14:textId="77777777" w:rsidR="00FF67DA" w:rsidRPr="009C69FE" w:rsidRDefault="00AC31D4" w:rsidP="00FF67DA">
      <w:pPr>
        <w:rPr>
          <w:rFonts w:cs="Arial"/>
          <w:b/>
          <w:sz w:val="24"/>
          <w:szCs w:val="24"/>
        </w:rPr>
      </w:pPr>
      <w:r>
        <w:rPr>
          <w:rFonts w:cs="Arial"/>
          <w:b/>
          <w:sz w:val="24"/>
          <w:szCs w:val="24"/>
        </w:rPr>
        <w:t>3.7.4 D</w:t>
      </w:r>
      <w:r w:rsidR="00FF67DA" w:rsidRPr="009C69FE">
        <w:rPr>
          <w:rFonts w:cs="Arial"/>
          <w:b/>
          <w:sz w:val="24"/>
          <w:szCs w:val="24"/>
        </w:rPr>
        <w:t>efective vehicle</w:t>
      </w:r>
    </w:p>
    <w:p w14:paraId="71F16EDA" w14:textId="1B300783" w:rsidR="00FF67DA" w:rsidRPr="009C69FE" w:rsidRDefault="00FF67DA" w:rsidP="00FF67DA">
      <w:pPr>
        <w:rPr>
          <w:rFonts w:cs="Arial"/>
          <w:sz w:val="24"/>
          <w:szCs w:val="24"/>
        </w:rPr>
      </w:pPr>
      <w:r w:rsidRPr="009C69FE">
        <w:rPr>
          <w:rFonts w:cs="Arial"/>
          <w:sz w:val="24"/>
          <w:szCs w:val="24"/>
        </w:rPr>
        <w:t>The carrier has an absolute liability for the condition of the vehicle.  If a defect in it is the cause of the loss</w:t>
      </w:r>
      <w:r w:rsidR="00926D00">
        <w:rPr>
          <w:rFonts w:cs="Arial"/>
          <w:sz w:val="24"/>
          <w:szCs w:val="24"/>
        </w:rPr>
        <w:t>,</w:t>
      </w:r>
      <w:r w:rsidRPr="009C69FE">
        <w:rPr>
          <w:rFonts w:cs="Arial"/>
          <w:sz w:val="24"/>
          <w:szCs w:val="24"/>
        </w:rPr>
        <w:t xml:space="preserve"> then he cannot show that this defect was unavoidable.  The courts somet</w:t>
      </w:r>
      <w:r w:rsidR="001D4231" w:rsidRPr="009C69FE">
        <w:rPr>
          <w:rFonts w:cs="Arial"/>
          <w:sz w:val="24"/>
          <w:szCs w:val="24"/>
        </w:rPr>
        <w:t>imes apply this rule too easily</w:t>
      </w:r>
      <w:r w:rsidRPr="009C69FE">
        <w:rPr>
          <w:rFonts w:cs="Arial"/>
          <w:sz w:val="24"/>
          <w:szCs w:val="24"/>
        </w:rPr>
        <w:t xml:space="preserve">.  In </w:t>
      </w:r>
      <w:proofErr w:type="spellStart"/>
      <w:r w:rsidRPr="009C69FE">
        <w:rPr>
          <w:rFonts w:cs="Arial"/>
          <w:b/>
          <w:sz w:val="24"/>
          <w:szCs w:val="24"/>
        </w:rPr>
        <w:t>Walek</w:t>
      </w:r>
      <w:proofErr w:type="spellEnd"/>
      <w:r w:rsidRPr="009C69FE">
        <w:rPr>
          <w:rFonts w:cs="Arial"/>
          <w:b/>
          <w:sz w:val="24"/>
          <w:szCs w:val="24"/>
        </w:rPr>
        <w:t xml:space="preserve"> &amp; Co v. Chapman &amp; Ball (International) Ltd</w:t>
      </w:r>
      <w:r w:rsidRPr="009C69FE">
        <w:rPr>
          <w:rFonts w:cs="Arial"/>
          <w:sz w:val="24"/>
          <w:szCs w:val="24"/>
        </w:rPr>
        <w:t xml:space="preserve"> [1980] 2 Lloyd’s R</w:t>
      </w:r>
      <w:r w:rsidR="001D4231" w:rsidRPr="009C69FE">
        <w:rPr>
          <w:rFonts w:cs="Arial"/>
          <w:sz w:val="24"/>
          <w:szCs w:val="24"/>
        </w:rPr>
        <w:t>ep.  279</w:t>
      </w:r>
      <w:r w:rsidR="00F22BD4">
        <w:rPr>
          <w:rFonts w:cs="Arial"/>
          <w:sz w:val="24"/>
          <w:szCs w:val="24"/>
        </w:rPr>
        <w:t xml:space="preserve"> (</w:t>
      </w:r>
      <w:r w:rsidR="00F22BD4" w:rsidRPr="009C69FE">
        <w:rPr>
          <w:rFonts w:cs="Arial"/>
          <w:sz w:val="24"/>
          <w:szCs w:val="24"/>
        </w:rPr>
        <w:t xml:space="preserve">third party carriers </w:t>
      </w:r>
      <w:r w:rsidR="00F22BD4">
        <w:rPr>
          <w:rFonts w:cs="Arial"/>
          <w:sz w:val="24"/>
          <w:szCs w:val="24"/>
        </w:rPr>
        <w:t xml:space="preserve">employed to perform the carriage by the principal carrier </w:t>
      </w:r>
      <w:r w:rsidR="00F22BD4" w:rsidRPr="009C69FE">
        <w:rPr>
          <w:rFonts w:cs="Arial"/>
          <w:sz w:val="24"/>
          <w:szCs w:val="24"/>
        </w:rPr>
        <w:t>hired a trailer with a defective cover from the principal carrier (in effect the sender for this purpose).</w:t>
      </w:r>
      <w:r w:rsidR="00F22BD4">
        <w:rPr>
          <w:rFonts w:cs="Arial"/>
          <w:sz w:val="24"/>
          <w:szCs w:val="24"/>
        </w:rPr>
        <w:t xml:space="preserve"> </w:t>
      </w:r>
      <w:r w:rsidRPr="009C69FE">
        <w:rPr>
          <w:rFonts w:cs="Arial"/>
          <w:sz w:val="24"/>
          <w:szCs w:val="24"/>
        </w:rPr>
        <w:t>Because of the defect the goods were damaged.  The court he</w:t>
      </w:r>
      <w:r w:rsidR="002A0923" w:rsidRPr="009C69FE">
        <w:rPr>
          <w:rFonts w:cs="Arial"/>
          <w:sz w:val="24"/>
          <w:szCs w:val="24"/>
        </w:rPr>
        <w:t>l</w:t>
      </w:r>
      <w:r w:rsidR="001D4231" w:rsidRPr="009C69FE">
        <w:rPr>
          <w:rFonts w:cs="Arial"/>
          <w:sz w:val="24"/>
          <w:szCs w:val="24"/>
        </w:rPr>
        <w:t>d the third party</w:t>
      </w:r>
      <w:r w:rsidR="002A0923" w:rsidRPr="009C69FE">
        <w:rPr>
          <w:rFonts w:cs="Arial"/>
          <w:sz w:val="24"/>
          <w:szCs w:val="24"/>
        </w:rPr>
        <w:t xml:space="preserve"> liable </w:t>
      </w:r>
      <w:proofErr w:type="gramStart"/>
      <w:r w:rsidR="002A0923" w:rsidRPr="009C69FE">
        <w:rPr>
          <w:rFonts w:cs="Arial"/>
          <w:sz w:val="24"/>
          <w:szCs w:val="24"/>
        </w:rPr>
        <w:t>on the basis</w:t>
      </w:r>
      <w:r w:rsidRPr="009C69FE">
        <w:rPr>
          <w:rFonts w:cs="Arial"/>
          <w:sz w:val="24"/>
          <w:szCs w:val="24"/>
        </w:rPr>
        <w:t xml:space="preserve"> of</w:t>
      </w:r>
      <w:proofErr w:type="gramEnd"/>
      <w:r w:rsidRPr="009C69FE">
        <w:rPr>
          <w:rFonts w:cs="Arial"/>
          <w:sz w:val="24"/>
          <w:szCs w:val="24"/>
        </w:rPr>
        <w:t xml:space="preserve"> art.17(3).  </w:t>
      </w:r>
      <w:r w:rsidR="001D4231" w:rsidRPr="009C69FE">
        <w:rPr>
          <w:rFonts w:cs="Arial"/>
          <w:sz w:val="24"/>
          <w:szCs w:val="24"/>
        </w:rPr>
        <w:t>Arguably t</w:t>
      </w:r>
      <w:r w:rsidRPr="009C69FE">
        <w:rPr>
          <w:rFonts w:cs="Arial"/>
          <w:sz w:val="24"/>
          <w:szCs w:val="24"/>
        </w:rPr>
        <w:t>his w</w:t>
      </w:r>
      <w:r w:rsidR="001D4231" w:rsidRPr="009C69FE">
        <w:rPr>
          <w:rFonts w:cs="Arial"/>
          <w:sz w:val="24"/>
          <w:szCs w:val="24"/>
        </w:rPr>
        <w:t>as the wrong basis. The principal carrier</w:t>
      </w:r>
      <w:r w:rsidRPr="009C69FE">
        <w:rPr>
          <w:rFonts w:cs="Arial"/>
          <w:sz w:val="24"/>
          <w:szCs w:val="24"/>
        </w:rPr>
        <w:t xml:space="preserve"> was at fault for supplying a d</w:t>
      </w:r>
      <w:r w:rsidR="001D4231" w:rsidRPr="009C69FE">
        <w:rPr>
          <w:rFonts w:cs="Arial"/>
          <w:sz w:val="24"/>
          <w:szCs w:val="24"/>
        </w:rPr>
        <w:t>efective cover and the third party</w:t>
      </w:r>
      <w:r w:rsidRPr="009C69FE">
        <w:rPr>
          <w:rFonts w:cs="Arial"/>
          <w:sz w:val="24"/>
          <w:szCs w:val="24"/>
        </w:rPr>
        <w:t xml:space="preserve"> was at fault for not checking the cover which would have revealed the defect.  Liability should have been shared between them (see below).</w:t>
      </w:r>
    </w:p>
    <w:p w14:paraId="56368AFE" w14:textId="77777777" w:rsidR="00FF67DA" w:rsidRPr="009C69FE" w:rsidRDefault="002D50CB" w:rsidP="00FF67DA">
      <w:pPr>
        <w:rPr>
          <w:rFonts w:cs="Arial"/>
          <w:b/>
          <w:sz w:val="24"/>
          <w:szCs w:val="24"/>
        </w:rPr>
      </w:pPr>
      <w:r w:rsidRPr="009C69FE">
        <w:rPr>
          <w:rFonts w:cs="Arial"/>
          <w:b/>
          <w:sz w:val="24"/>
          <w:szCs w:val="24"/>
        </w:rPr>
        <w:lastRenderedPageBreak/>
        <w:t>3.7.5</w:t>
      </w:r>
      <w:r w:rsidR="00FF67DA" w:rsidRPr="009C69FE">
        <w:rPr>
          <w:rFonts w:cs="Arial"/>
          <w:b/>
          <w:sz w:val="24"/>
          <w:szCs w:val="24"/>
        </w:rPr>
        <w:t xml:space="preserve"> Relationship of defences.</w:t>
      </w:r>
    </w:p>
    <w:p w14:paraId="057F1E66" w14:textId="77777777" w:rsidR="00FF67DA" w:rsidRPr="009C69FE" w:rsidRDefault="00FF67DA" w:rsidP="00FF67DA">
      <w:pPr>
        <w:rPr>
          <w:rFonts w:cs="Arial"/>
          <w:sz w:val="24"/>
          <w:szCs w:val="24"/>
        </w:rPr>
      </w:pPr>
      <w:r w:rsidRPr="009C69FE">
        <w:rPr>
          <w:rFonts w:cs="Arial"/>
          <w:sz w:val="24"/>
          <w:szCs w:val="24"/>
        </w:rPr>
        <w:t>The secondary defences involve special risks which have either been accepted or created by the sender of the goods for whose acts the consignee can expect to be bound.  There is clearly an overlap with the primary defences</w:t>
      </w:r>
      <w:r w:rsidR="00926D00">
        <w:rPr>
          <w:rFonts w:cs="Arial"/>
          <w:sz w:val="24"/>
          <w:szCs w:val="24"/>
        </w:rPr>
        <w:t>,</w:t>
      </w:r>
      <w:r w:rsidRPr="009C69FE">
        <w:rPr>
          <w:rFonts w:cs="Arial"/>
          <w:sz w:val="24"/>
          <w:szCs w:val="24"/>
        </w:rPr>
        <w:t xml:space="preserve"> but the latter can deal with any case which does not fall within the special risks.  </w:t>
      </w:r>
    </w:p>
    <w:p w14:paraId="78BDE6A6" w14:textId="77777777" w:rsidR="00FF67DA" w:rsidRPr="009C69FE" w:rsidRDefault="00FF67DA" w:rsidP="00FF67DA">
      <w:pPr>
        <w:rPr>
          <w:rFonts w:cs="Arial"/>
          <w:sz w:val="24"/>
          <w:szCs w:val="24"/>
        </w:rPr>
      </w:pPr>
      <w:r w:rsidRPr="009C69FE">
        <w:rPr>
          <w:rFonts w:cs="Arial"/>
          <w:sz w:val="24"/>
          <w:szCs w:val="24"/>
        </w:rPr>
        <w:t xml:space="preserve">The main reason for separating them is to provide the carrier with an easier burden of proof.  This is perhaps due to the difficulties of proof in the circumstances envisaged.  However, the courts have difficulty in expressing the exact level of proof required of the carrier.  It may be that it is sufficient to show a possibility which is more than a mere matter of speculation </w:t>
      </w:r>
      <w:proofErr w:type="gramStart"/>
      <w:r w:rsidRPr="009C69FE">
        <w:rPr>
          <w:rFonts w:cs="Arial"/>
          <w:sz w:val="24"/>
          <w:szCs w:val="24"/>
        </w:rPr>
        <w:t>i.e.</w:t>
      </w:r>
      <w:proofErr w:type="gramEnd"/>
      <w:r w:rsidRPr="009C69FE">
        <w:rPr>
          <w:rFonts w:cs="Arial"/>
          <w:sz w:val="24"/>
          <w:szCs w:val="24"/>
        </w:rPr>
        <w:t xml:space="preserve"> that the risk existed and that the damage is consistent with it.  The process of proof may work better in a civil law system where there are stages of proof - in a Dutch case, the court in earlier proceedings gave the carrier the benefit of the presumption and put the burden on the claimant.  In the later proceedings the claimant was able to produce witnesses to show that the heavier packages had been loaded on the floor of the lorry and there were no empty spaces between them (</w:t>
      </w:r>
      <w:r w:rsidRPr="009C69FE">
        <w:rPr>
          <w:rFonts w:cs="Arial"/>
          <w:b/>
          <w:sz w:val="24"/>
          <w:szCs w:val="24"/>
        </w:rPr>
        <w:t>Amsterdam</w:t>
      </w:r>
      <w:r w:rsidRPr="009C69FE">
        <w:rPr>
          <w:rFonts w:cs="Arial"/>
          <w:sz w:val="24"/>
          <w:szCs w:val="24"/>
        </w:rPr>
        <w:t xml:space="preserve">, 13.3.1974 (1974) Schip </w:t>
      </w:r>
      <w:proofErr w:type="spellStart"/>
      <w:r w:rsidRPr="009C69FE">
        <w:rPr>
          <w:rFonts w:cs="Arial"/>
          <w:sz w:val="24"/>
          <w:szCs w:val="24"/>
        </w:rPr>
        <w:t>en</w:t>
      </w:r>
      <w:proofErr w:type="spellEnd"/>
      <w:r w:rsidRPr="009C69FE">
        <w:rPr>
          <w:rFonts w:cs="Arial"/>
          <w:sz w:val="24"/>
          <w:szCs w:val="24"/>
        </w:rPr>
        <w:t xml:space="preserve"> Schade No.77).</w:t>
      </w:r>
    </w:p>
    <w:p w14:paraId="284665F8" w14:textId="77777777" w:rsidR="00FF67DA" w:rsidRPr="009C69FE" w:rsidRDefault="00FF67DA" w:rsidP="00FF67DA">
      <w:pPr>
        <w:rPr>
          <w:rFonts w:cs="Arial"/>
          <w:sz w:val="24"/>
          <w:szCs w:val="24"/>
        </w:rPr>
      </w:pPr>
      <w:r w:rsidRPr="009C69FE">
        <w:rPr>
          <w:rFonts w:cs="Arial"/>
          <w:sz w:val="24"/>
          <w:szCs w:val="24"/>
        </w:rPr>
        <w:t xml:space="preserve">A common issue that arises across the defences is the inter-relationship of duties between the sender and the carrier.  To what extent is the sender required to warn of any special requirements of the goods or to ask for </w:t>
      </w:r>
      <w:proofErr w:type="gramStart"/>
      <w:r w:rsidRPr="009C69FE">
        <w:rPr>
          <w:rFonts w:cs="Arial"/>
          <w:sz w:val="24"/>
          <w:szCs w:val="24"/>
        </w:rPr>
        <w:t>particular equipment</w:t>
      </w:r>
      <w:proofErr w:type="gramEnd"/>
      <w:r w:rsidRPr="009C69FE">
        <w:rPr>
          <w:rFonts w:cs="Arial"/>
          <w:sz w:val="24"/>
          <w:szCs w:val="24"/>
        </w:rPr>
        <w:t xml:space="preserve"> o</w:t>
      </w:r>
      <w:r w:rsidR="00926D00">
        <w:rPr>
          <w:rFonts w:cs="Arial"/>
          <w:sz w:val="24"/>
          <w:szCs w:val="24"/>
        </w:rPr>
        <w:t>r</w:t>
      </w:r>
      <w:r w:rsidRPr="009C69FE">
        <w:rPr>
          <w:rFonts w:cs="Arial"/>
          <w:sz w:val="24"/>
          <w:szCs w:val="24"/>
        </w:rPr>
        <w:t xml:space="preserve"> methods of transport to be employed?  To what extent is the carrier required to warn the sender of any problems that might arise because of the instructions given by the sender or because the packing or loading (if performed by the sender) appears to be defective? Is a warning sufficient? Can it shift the risk back to the sender?  Must the carrier actually conduct a check of the </w:t>
      </w:r>
      <w:proofErr w:type="gramStart"/>
      <w:r w:rsidRPr="009C69FE">
        <w:rPr>
          <w:rFonts w:cs="Arial"/>
          <w:sz w:val="24"/>
          <w:szCs w:val="24"/>
        </w:rPr>
        <w:t>packing</w:t>
      </w:r>
      <w:proofErr w:type="gramEnd"/>
      <w:r w:rsidRPr="009C69FE">
        <w:rPr>
          <w:rFonts w:cs="Arial"/>
          <w:sz w:val="24"/>
          <w:szCs w:val="24"/>
        </w:rPr>
        <w:t xml:space="preserve"> or any loading done by the sender?</w:t>
      </w:r>
    </w:p>
    <w:p w14:paraId="2FC291B8" w14:textId="77777777" w:rsidR="00FF67DA" w:rsidRPr="009C69FE" w:rsidRDefault="00FF67DA" w:rsidP="00FF4939">
      <w:pPr>
        <w:rPr>
          <w:rFonts w:cs="Arial"/>
          <w:sz w:val="24"/>
          <w:szCs w:val="24"/>
        </w:rPr>
      </w:pPr>
      <w:r w:rsidRPr="009C69FE">
        <w:rPr>
          <w:rFonts w:cs="Arial"/>
          <w:sz w:val="24"/>
          <w:szCs w:val="24"/>
        </w:rPr>
        <w:t>These questions have given rise to a great variety of responses by the courts.  In general</w:t>
      </w:r>
      <w:r w:rsidR="00926D00">
        <w:rPr>
          <w:rFonts w:cs="Arial"/>
          <w:sz w:val="24"/>
          <w:szCs w:val="24"/>
        </w:rPr>
        <w:t>,</w:t>
      </w:r>
      <w:r w:rsidRPr="009C69FE">
        <w:rPr>
          <w:rFonts w:cs="Arial"/>
          <w:sz w:val="24"/>
          <w:szCs w:val="24"/>
        </w:rPr>
        <w:t xml:space="preserve"> it seems that a carrier should check the packing and loading if he is able and make reservations on the consignment note if he has (or could be expected to have) concerns which have not been resolved by discussion with the sender.  The position is the same if he has concerns about the instructions given to him.  Naturally, the sender is required to inform the carrier of any special requirements which the carrier could not be expected to know.</w:t>
      </w:r>
    </w:p>
    <w:p w14:paraId="565D0347" w14:textId="77777777" w:rsidR="00FF67DA" w:rsidRPr="00FF4939" w:rsidRDefault="00FF67DA" w:rsidP="00FF4939">
      <w:pPr>
        <w:widowControl w:val="0"/>
        <w:suppressAutoHyphens/>
        <w:autoSpaceDE w:val="0"/>
        <w:autoSpaceDN w:val="0"/>
        <w:adjustRightInd w:val="0"/>
        <w:spacing w:before="120" w:after="120" w:line="288" w:lineRule="auto"/>
        <w:rPr>
          <w:rFonts w:cstheme="minorHAnsi"/>
          <w:color w:val="000000"/>
          <w:sz w:val="24"/>
          <w:szCs w:val="24"/>
        </w:rPr>
      </w:pPr>
      <w:r w:rsidRPr="009C69FE">
        <w:rPr>
          <w:rFonts w:cs="Arial"/>
          <w:sz w:val="24"/>
          <w:szCs w:val="24"/>
        </w:rPr>
        <w:t xml:space="preserve">A particular difficulty is caused by the relationship between inherent vice (art.17(2)) and the nature of the certain types of goods (art.17(4)(d)).  The distinction seems to be between a specific defect in the </w:t>
      </w:r>
      <w:proofErr w:type="gramStart"/>
      <w:r w:rsidRPr="009C69FE">
        <w:rPr>
          <w:rFonts w:cs="Arial"/>
          <w:sz w:val="24"/>
          <w:szCs w:val="24"/>
        </w:rPr>
        <w:t>particular goods</w:t>
      </w:r>
      <w:proofErr w:type="gramEnd"/>
      <w:r w:rsidRPr="009C69FE">
        <w:rPr>
          <w:rFonts w:cs="Arial"/>
          <w:sz w:val="24"/>
          <w:szCs w:val="24"/>
        </w:rPr>
        <w:t xml:space="preserve"> and a general tendency of goods of that type to suffer some deterioration of the kind specified during transportation</w:t>
      </w:r>
      <w:r w:rsidR="00FF4939">
        <w:rPr>
          <w:rFonts w:cs="Arial"/>
          <w:sz w:val="24"/>
          <w:szCs w:val="24"/>
        </w:rPr>
        <w:t xml:space="preserve"> (a distinction accepted recently in </w:t>
      </w:r>
      <w:r w:rsidR="00FF4939" w:rsidRPr="00FF4939">
        <w:rPr>
          <w:rFonts w:cstheme="minorHAnsi"/>
          <w:b/>
          <w:bCs/>
          <w:color w:val="000000"/>
          <w:sz w:val="24"/>
          <w:szCs w:val="24"/>
        </w:rPr>
        <w:t>Stef Transport Rennes, Stef International Ouest v D &amp; M Fraser (A Firm)</w:t>
      </w:r>
      <w:r w:rsidR="00FF4939" w:rsidRPr="00FF4939">
        <w:rPr>
          <w:rFonts w:cstheme="minorHAnsi"/>
          <w:color w:val="000000"/>
          <w:sz w:val="24"/>
          <w:szCs w:val="24"/>
        </w:rPr>
        <w:t xml:space="preserve"> [2018] EWHC 2756 (Comm)</w:t>
      </w:r>
      <w:r w:rsidRPr="009C69FE">
        <w:rPr>
          <w:rFonts w:cs="Arial"/>
          <w:sz w:val="24"/>
          <w:szCs w:val="24"/>
        </w:rPr>
        <w:t>.  If special equipment has been used to protect the goods it is natural that the carrier should prove that it was properly maintained and operated correctly</w:t>
      </w:r>
      <w:r w:rsidR="00C36EDE" w:rsidRPr="009C69FE">
        <w:rPr>
          <w:rFonts w:cs="Arial"/>
          <w:sz w:val="24"/>
          <w:szCs w:val="24"/>
        </w:rPr>
        <w:t xml:space="preserve"> as indicated in art 18(4)</w:t>
      </w:r>
      <w:r w:rsidRPr="009C69FE">
        <w:rPr>
          <w:rFonts w:cs="Arial"/>
          <w:sz w:val="24"/>
          <w:szCs w:val="24"/>
        </w:rPr>
        <w:t xml:space="preserve">.  </w:t>
      </w:r>
      <w:r w:rsidR="00C36EDE" w:rsidRPr="009C69FE">
        <w:rPr>
          <w:rFonts w:cs="Arial"/>
          <w:sz w:val="24"/>
          <w:szCs w:val="24"/>
        </w:rPr>
        <w:t xml:space="preserve">There is, however, disagreement as to whether art 17(3) applies to art 17(4)(d) where special equipment is used.  If an unavoidable defect in such equipment causes the loss can the carrier escape liability by establishing that he took the utmost care (and so is within art 18(4)) or is he liable under art 17(3)?  In </w:t>
      </w:r>
      <w:r w:rsidR="00C36EDE" w:rsidRPr="009C69FE">
        <w:rPr>
          <w:rFonts w:cs="Arial"/>
          <w:b/>
          <w:sz w:val="24"/>
          <w:szCs w:val="24"/>
        </w:rPr>
        <w:t xml:space="preserve">Ulster-Swift Ltd v. Taunton </w:t>
      </w:r>
      <w:r w:rsidR="00C36EDE" w:rsidRPr="009C69FE">
        <w:rPr>
          <w:rFonts w:cs="Arial"/>
          <w:b/>
          <w:sz w:val="24"/>
          <w:szCs w:val="24"/>
        </w:rPr>
        <w:lastRenderedPageBreak/>
        <w:t>Meat Haulage Ltd</w:t>
      </w:r>
      <w:r w:rsidR="00C36EDE" w:rsidRPr="009C69FE">
        <w:rPr>
          <w:rFonts w:cs="Arial"/>
          <w:sz w:val="24"/>
          <w:szCs w:val="24"/>
        </w:rPr>
        <w:t xml:space="preserve"> [1977] 1 Lloyd’s Rep. 346, the carrier was liable when frozen goods arrived thawed although his evidence was that the equipment was working normally. The court was focussed on the burden of proof and so did not quite address this issue</w:t>
      </w:r>
      <w:r w:rsidR="000442D3">
        <w:rPr>
          <w:rFonts w:cs="Arial"/>
          <w:sz w:val="24"/>
          <w:szCs w:val="24"/>
        </w:rPr>
        <w:t>,</w:t>
      </w:r>
      <w:r w:rsidR="00C36EDE" w:rsidRPr="009C69FE">
        <w:rPr>
          <w:rFonts w:cs="Arial"/>
          <w:sz w:val="24"/>
          <w:szCs w:val="24"/>
        </w:rPr>
        <w:t xml:space="preserve"> but </w:t>
      </w:r>
      <w:r w:rsidR="00B11659" w:rsidRPr="009C69FE">
        <w:rPr>
          <w:rFonts w:cs="Arial"/>
          <w:sz w:val="24"/>
          <w:szCs w:val="24"/>
        </w:rPr>
        <w:t>some criticise it for being too harsh on the carrier.</w:t>
      </w:r>
    </w:p>
    <w:p w14:paraId="4953A6EA" w14:textId="77777777" w:rsidR="00FF67DA" w:rsidRPr="009C69FE" w:rsidRDefault="002D50CB" w:rsidP="00FF67DA">
      <w:pPr>
        <w:rPr>
          <w:rFonts w:cs="Arial"/>
          <w:sz w:val="24"/>
          <w:szCs w:val="24"/>
        </w:rPr>
      </w:pPr>
      <w:r w:rsidRPr="009C69FE">
        <w:rPr>
          <w:rFonts w:cs="Arial"/>
          <w:b/>
          <w:sz w:val="24"/>
          <w:szCs w:val="24"/>
        </w:rPr>
        <w:t>3.7.6</w:t>
      </w:r>
      <w:r w:rsidR="00FF67DA" w:rsidRPr="009C69FE">
        <w:rPr>
          <w:rFonts w:cs="Arial"/>
          <w:b/>
          <w:sz w:val="24"/>
          <w:szCs w:val="24"/>
        </w:rPr>
        <w:t xml:space="preserve"> Apportionment</w:t>
      </w:r>
      <w:r w:rsidR="00FF67DA" w:rsidRPr="009C69FE">
        <w:rPr>
          <w:rFonts w:cs="Arial"/>
          <w:sz w:val="24"/>
          <w:szCs w:val="24"/>
        </w:rPr>
        <w:br/>
      </w:r>
      <w:r w:rsidR="00FF67DA" w:rsidRPr="009C69FE">
        <w:rPr>
          <w:rFonts w:cs="Arial"/>
          <w:sz w:val="24"/>
          <w:szCs w:val="24"/>
        </w:rPr>
        <w:br/>
        <w:t xml:space="preserve">Article 17(5) contains a very important rule which enables a carrier to reduce his liability if there are factors which have combined with his own acts or omissions to produce the loss.  The court does not have to work </w:t>
      </w:r>
      <w:proofErr w:type="gramStart"/>
      <w:r w:rsidR="00FF67DA" w:rsidRPr="009C69FE">
        <w:rPr>
          <w:rFonts w:cs="Arial"/>
          <w:sz w:val="24"/>
          <w:szCs w:val="24"/>
        </w:rPr>
        <w:t>on the basis of</w:t>
      </w:r>
      <w:proofErr w:type="gramEnd"/>
      <w:r w:rsidR="00FF67DA" w:rsidRPr="009C69FE">
        <w:rPr>
          <w:rFonts w:cs="Arial"/>
          <w:sz w:val="24"/>
          <w:szCs w:val="24"/>
        </w:rPr>
        <w:t xml:space="preserve"> the exact extent of the contribution made by each cause.  If it is not possible to determine this, the court can still make an apportionment based on the degree of fault which it feels can</w:t>
      </w:r>
      <w:r w:rsidR="00B11659" w:rsidRPr="009C69FE">
        <w:rPr>
          <w:rFonts w:cs="Arial"/>
          <w:sz w:val="24"/>
          <w:szCs w:val="24"/>
        </w:rPr>
        <w:t xml:space="preserve"> be attributed to each party.  </w:t>
      </w:r>
      <w:r w:rsidR="00FF67DA" w:rsidRPr="009C69FE">
        <w:rPr>
          <w:rFonts w:cs="Arial"/>
          <w:sz w:val="24"/>
          <w:szCs w:val="24"/>
        </w:rPr>
        <w:t>In one case, a vehicle overturned in a storm with the result that a press packed in a case was damaged.  The press had not been stowed properly by the sender.  In addition</w:t>
      </w:r>
      <w:r w:rsidR="00FF4939">
        <w:rPr>
          <w:rFonts w:cs="Arial"/>
          <w:sz w:val="24"/>
          <w:szCs w:val="24"/>
        </w:rPr>
        <w:t>,</w:t>
      </w:r>
      <w:r w:rsidR="00FF67DA" w:rsidRPr="009C69FE">
        <w:rPr>
          <w:rFonts w:cs="Arial"/>
          <w:sz w:val="24"/>
          <w:szCs w:val="24"/>
        </w:rPr>
        <w:t xml:space="preserve"> the floor of the vehicle was slippery due to oil escaping from the press.  The carrier was at fault for not doing something about the faulty </w:t>
      </w:r>
      <w:r w:rsidR="00FF4939" w:rsidRPr="009C69FE">
        <w:rPr>
          <w:rFonts w:cs="Arial"/>
          <w:sz w:val="24"/>
          <w:szCs w:val="24"/>
        </w:rPr>
        <w:t>stowage but</w:t>
      </w:r>
      <w:r w:rsidR="00FF67DA" w:rsidRPr="009C69FE">
        <w:rPr>
          <w:rFonts w:cs="Arial"/>
          <w:sz w:val="24"/>
          <w:szCs w:val="24"/>
        </w:rPr>
        <w:t xml:space="preserve"> could not be blamed for the oil which would not have been visible when taking over the goods.  Liability was apportioned two-thirds against the sender and one-third against the carrier (</w:t>
      </w:r>
      <w:r w:rsidR="00FF67DA" w:rsidRPr="009C69FE">
        <w:rPr>
          <w:rFonts w:cs="Arial"/>
          <w:b/>
          <w:sz w:val="24"/>
          <w:szCs w:val="24"/>
        </w:rPr>
        <w:t>Reims</w:t>
      </w:r>
      <w:r w:rsidR="00FF67DA" w:rsidRPr="009C69FE">
        <w:rPr>
          <w:rFonts w:cs="Arial"/>
          <w:sz w:val="24"/>
          <w:szCs w:val="24"/>
        </w:rPr>
        <w:t xml:space="preserve">, 13.7.1977, </w:t>
      </w:r>
      <w:r w:rsidR="00B11659" w:rsidRPr="009C69FE">
        <w:rPr>
          <w:rFonts w:cs="Arial"/>
          <w:sz w:val="24"/>
          <w:szCs w:val="24"/>
        </w:rPr>
        <w:t>(</w:t>
      </w:r>
      <w:r w:rsidR="00FF67DA" w:rsidRPr="009C69FE">
        <w:rPr>
          <w:rFonts w:cs="Arial"/>
          <w:sz w:val="24"/>
          <w:szCs w:val="24"/>
        </w:rPr>
        <w:t>1977</w:t>
      </w:r>
      <w:r w:rsidR="00B11659" w:rsidRPr="009C69FE">
        <w:rPr>
          <w:rFonts w:cs="Arial"/>
          <w:sz w:val="24"/>
          <w:szCs w:val="24"/>
        </w:rPr>
        <w:t>)</w:t>
      </w:r>
      <w:r w:rsidR="00FF67DA" w:rsidRPr="009C69FE">
        <w:rPr>
          <w:rFonts w:cs="Arial"/>
          <w:sz w:val="24"/>
          <w:szCs w:val="24"/>
        </w:rPr>
        <w:t xml:space="preserve"> Bulletin des Transports et de la </w:t>
      </w:r>
      <w:proofErr w:type="spellStart"/>
      <w:r w:rsidR="00FF67DA" w:rsidRPr="009C69FE">
        <w:rPr>
          <w:rFonts w:cs="Arial"/>
          <w:sz w:val="24"/>
          <w:szCs w:val="24"/>
        </w:rPr>
        <w:t>Logistique</w:t>
      </w:r>
      <w:proofErr w:type="spellEnd"/>
      <w:r w:rsidR="00FF67DA" w:rsidRPr="009C69FE">
        <w:rPr>
          <w:rFonts w:cs="Arial"/>
          <w:sz w:val="24"/>
          <w:szCs w:val="24"/>
        </w:rPr>
        <w:t xml:space="preserve"> 406).   </w:t>
      </w:r>
      <w:r w:rsidR="00FF4939">
        <w:rPr>
          <w:rFonts w:cs="Arial"/>
          <w:sz w:val="24"/>
          <w:szCs w:val="24"/>
        </w:rPr>
        <w:t xml:space="preserve">See also </w:t>
      </w:r>
      <w:r w:rsidR="00FF4939" w:rsidRPr="00FF4939">
        <w:rPr>
          <w:rFonts w:cstheme="minorHAnsi"/>
          <w:b/>
          <w:bCs/>
          <w:color w:val="000000"/>
          <w:sz w:val="24"/>
          <w:szCs w:val="24"/>
        </w:rPr>
        <w:t>Stef Transport Rennes, Stef International Ouest v D &amp; M Fraser (A Firm)</w:t>
      </w:r>
      <w:r w:rsidR="00FF4939" w:rsidRPr="00FF4939">
        <w:rPr>
          <w:rFonts w:cstheme="minorHAnsi"/>
          <w:color w:val="000000"/>
          <w:sz w:val="24"/>
          <w:szCs w:val="24"/>
        </w:rPr>
        <w:t xml:space="preserve"> [2018] EWHC 2756 (Comm)</w:t>
      </w:r>
      <w:r w:rsidR="00FF4939">
        <w:rPr>
          <w:rFonts w:cstheme="minorHAnsi"/>
          <w:color w:val="000000"/>
          <w:sz w:val="24"/>
          <w:szCs w:val="24"/>
        </w:rPr>
        <w:t xml:space="preserve"> where the loss was divided 50-50 since the deterioration in the goods (cheese) was due </w:t>
      </w:r>
      <w:r w:rsidR="00491A54">
        <w:rPr>
          <w:rFonts w:cstheme="minorHAnsi"/>
          <w:color w:val="000000"/>
          <w:sz w:val="24"/>
          <w:szCs w:val="24"/>
        </w:rPr>
        <w:t xml:space="preserve">both to the way the goods had been stowed </w:t>
      </w:r>
      <w:r w:rsidR="00FF4939">
        <w:rPr>
          <w:rFonts w:cstheme="minorHAnsi"/>
          <w:color w:val="000000"/>
          <w:sz w:val="24"/>
          <w:szCs w:val="24"/>
        </w:rPr>
        <w:t>in</w:t>
      </w:r>
      <w:r w:rsidR="00491A54">
        <w:rPr>
          <w:rFonts w:cstheme="minorHAnsi"/>
          <w:color w:val="000000"/>
          <w:sz w:val="24"/>
          <w:szCs w:val="24"/>
        </w:rPr>
        <w:t>to</w:t>
      </w:r>
      <w:r w:rsidR="00FF4939">
        <w:rPr>
          <w:rFonts w:cstheme="minorHAnsi"/>
          <w:color w:val="000000"/>
          <w:sz w:val="24"/>
          <w:szCs w:val="24"/>
        </w:rPr>
        <w:t xml:space="preserve"> the refrigerated lorry by the sender and the mode of operation of the refrigeration unit.</w:t>
      </w:r>
    </w:p>
    <w:p w14:paraId="29373CF8" w14:textId="77777777" w:rsidR="00FF67DA" w:rsidRPr="009C69FE" w:rsidRDefault="002D50CB" w:rsidP="00FF67DA">
      <w:pPr>
        <w:rPr>
          <w:rFonts w:cs="Arial"/>
          <w:sz w:val="24"/>
          <w:szCs w:val="24"/>
        </w:rPr>
      </w:pPr>
      <w:r w:rsidRPr="009C69FE">
        <w:rPr>
          <w:rFonts w:cs="Arial"/>
          <w:b/>
          <w:sz w:val="24"/>
          <w:szCs w:val="24"/>
        </w:rPr>
        <w:t>3.7.7</w:t>
      </w:r>
      <w:r w:rsidR="00E409D0" w:rsidRPr="009C69FE">
        <w:rPr>
          <w:rFonts w:cs="Arial"/>
          <w:b/>
          <w:sz w:val="24"/>
          <w:szCs w:val="24"/>
        </w:rPr>
        <w:t xml:space="preserve"> </w:t>
      </w:r>
      <w:r w:rsidR="00FF67DA" w:rsidRPr="009C69FE">
        <w:rPr>
          <w:rFonts w:cs="Arial"/>
          <w:b/>
          <w:sz w:val="24"/>
          <w:szCs w:val="24"/>
        </w:rPr>
        <w:t>Delay</w:t>
      </w:r>
      <w:r w:rsidR="00E409D0" w:rsidRPr="009C69FE">
        <w:rPr>
          <w:rFonts w:cs="Arial"/>
          <w:sz w:val="24"/>
          <w:szCs w:val="24"/>
        </w:rPr>
        <w:br/>
      </w:r>
      <w:r w:rsidR="00E409D0" w:rsidRPr="009C69FE">
        <w:rPr>
          <w:rFonts w:cs="Arial"/>
          <w:sz w:val="24"/>
          <w:szCs w:val="24"/>
        </w:rPr>
        <w:br/>
      </w:r>
      <w:r w:rsidR="00FF67DA" w:rsidRPr="009C69FE">
        <w:rPr>
          <w:rFonts w:cs="Arial"/>
          <w:sz w:val="24"/>
          <w:szCs w:val="24"/>
        </w:rPr>
        <w:t>Article 17 makes the carrier liable for delay. Article 19 defines delay where the goods have not been delivered within the agreed time-limit or when, failing such an agreed time-limit, the actual duration of the carriage having regard to the circumstances of the case, and in particular, in the case of partial loads, the time required for making up a complete load in the normal way, exceeds the time it would be reasonable to allow a diligent carrier.  As appears above only the primary defences apply to delay.</w:t>
      </w:r>
    </w:p>
    <w:p w14:paraId="472AC764" w14:textId="77777777" w:rsidR="00E409D0" w:rsidRPr="009C69FE" w:rsidRDefault="00FF67DA" w:rsidP="00FF67DA">
      <w:pPr>
        <w:rPr>
          <w:rFonts w:cs="Arial"/>
          <w:sz w:val="24"/>
          <w:szCs w:val="24"/>
        </w:rPr>
      </w:pPr>
      <w:r w:rsidRPr="009C69FE">
        <w:rPr>
          <w:rFonts w:cs="Arial"/>
          <w:sz w:val="24"/>
          <w:szCs w:val="24"/>
        </w:rPr>
        <w:t>By article 20 if goods are delayed beyond a period of 30 days following the expiry of the agreed time-limit, or if there is no agreed time-limit, 60 days from the time of taking over, the claimant can treat them as lost.</w:t>
      </w:r>
    </w:p>
    <w:p w14:paraId="4F30243D" w14:textId="77777777" w:rsidR="00FF67DA" w:rsidRPr="009C69FE" w:rsidRDefault="002D50CB" w:rsidP="00FF67DA">
      <w:pPr>
        <w:rPr>
          <w:rFonts w:cs="Arial"/>
          <w:sz w:val="24"/>
          <w:szCs w:val="24"/>
        </w:rPr>
      </w:pPr>
      <w:r w:rsidRPr="009C69FE">
        <w:rPr>
          <w:rFonts w:cs="Arial"/>
          <w:b/>
          <w:sz w:val="24"/>
          <w:szCs w:val="24"/>
        </w:rPr>
        <w:t>3.7.8</w:t>
      </w:r>
      <w:r w:rsidR="00E409D0" w:rsidRPr="009C69FE">
        <w:rPr>
          <w:rFonts w:cs="Arial"/>
          <w:b/>
          <w:sz w:val="24"/>
          <w:szCs w:val="24"/>
        </w:rPr>
        <w:t xml:space="preserve"> </w:t>
      </w:r>
      <w:r w:rsidR="00FF67DA" w:rsidRPr="009C69FE">
        <w:rPr>
          <w:rFonts w:cs="Arial"/>
          <w:b/>
          <w:sz w:val="24"/>
          <w:szCs w:val="24"/>
        </w:rPr>
        <w:t>CIM</w:t>
      </w:r>
      <w:r w:rsidR="00FF67DA" w:rsidRPr="009C69FE">
        <w:rPr>
          <w:rFonts w:cs="Arial"/>
          <w:b/>
          <w:sz w:val="24"/>
          <w:szCs w:val="24"/>
        </w:rPr>
        <w:br/>
      </w:r>
      <w:r w:rsidR="00FF67DA" w:rsidRPr="009C69FE">
        <w:rPr>
          <w:rFonts w:cs="Arial"/>
          <w:sz w:val="24"/>
          <w:szCs w:val="24"/>
        </w:rPr>
        <w:br/>
        <w:t xml:space="preserve">Old and new CIM have substantially similar rules governing liability and both are substantially </w:t>
      </w:r>
      <w:proofErr w:type="gramStart"/>
      <w:r w:rsidR="00FF67DA" w:rsidRPr="009C69FE">
        <w:rPr>
          <w:rFonts w:cs="Arial"/>
          <w:sz w:val="24"/>
          <w:szCs w:val="24"/>
        </w:rPr>
        <w:t>similar to</w:t>
      </w:r>
      <w:proofErr w:type="gramEnd"/>
      <w:r w:rsidR="00FF67DA" w:rsidRPr="009C69FE">
        <w:rPr>
          <w:rFonts w:cs="Arial"/>
          <w:sz w:val="24"/>
          <w:szCs w:val="24"/>
        </w:rPr>
        <w:t xml:space="preserve"> CMR.  Instead of delay they refer to the transit period being exceeded and contain specific times based on hours per kilometre as transit periods in the absence of agreed times (see art.16 new CIM).  There is also a provision treating delay over a certain period as presumed loss (art.29).</w:t>
      </w:r>
      <w:r w:rsidR="00FF67DA" w:rsidRPr="009C69FE">
        <w:rPr>
          <w:rFonts w:cs="Arial"/>
          <w:sz w:val="24"/>
          <w:szCs w:val="24"/>
        </w:rPr>
        <w:br/>
      </w:r>
      <w:r w:rsidR="00FF67DA" w:rsidRPr="009C69FE">
        <w:rPr>
          <w:rFonts w:cs="Arial"/>
          <w:sz w:val="24"/>
          <w:szCs w:val="24"/>
        </w:rPr>
        <w:br/>
        <w:t>New CIM has the same primary defences as CMR in article 23(2):</w:t>
      </w:r>
      <w:r w:rsidR="00FF67DA" w:rsidRPr="009C69FE">
        <w:rPr>
          <w:rFonts w:cs="Arial"/>
          <w:sz w:val="24"/>
          <w:szCs w:val="24"/>
        </w:rPr>
        <w:br/>
      </w:r>
      <w:r w:rsidR="00FF67DA" w:rsidRPr="009C69FE">
        <w:rPr>
          <w:rFonts w:cs="Arial"/>
          <w:sz w:val="24"/>
          <w:szCs w:val="24"/>
        </w:rPr>
        <w:br/>
        <w:t xml:space="preserve">”The carrier shall be relieved of liability to the extent that the loss or damage or the </w:t>
      </w:r>
      <w:r w:rsidR="00FF67DA" w:rsidRPr="009C69FE">
        <w:rPr>
          <w:rFonts w:cs="Arial"/>
          <w:sz w:val="24"/>
          <w:szCs w:val="24"/>
        </w:rPr>
        <w:lastRenderedPageBreak/>
        <w:t>exceeding of the transit period was caused by the fault of the person entitled, by an order given by the person entitled other than as a result of the fault of the carrier, by an inherent defect in the goods (decay, wastage etc.), or by circumstances which the carrier could not avoid and the consequences of which he was unable to prevent.”</w:t>
      </w:r>
      <w:r w:rsidR="00FF67DA" w:rsidRPr="009C69FE">
        <w:rPr>
          <w:rFonts w:cs="Arial"/>
          <w:sz w:val="24"/>
          <w:szCs w:val="24"/>
        </w:rPr>
        <w:br/>
      </w:r>
      <w:r w:rsidR="00FF67DA" w:rsidRPr="009C69FE">
        <w:rPr>
          <w:rFonts w:cs="Arial"/>
          <w:sz w:val="24"/>
          <w:szCs w:val="24"/>
        </w:rPr>
        <w:br/>
        <w:t xml:space="preserve">The secondary defences are along the same lines but with differences relevant to rail transport e.g. article 23(3)(a) provides a defence where damage arises from carriage in open wagons and can apply even where the wagon is sheeted.  </w:t>
      </w:r>
      <w:proofErr w:type="gramStart"/>
      <w:r w:rsidR="00FF67DA" w:rsidRPr="009C69FE">
        <w:rPr>
          <w:rFonts w:cs="Arial"/>
          <w:sz w:val="24"/>
          <w:szCs w:val="24"/>
        </w:rPr>
        <w:t>Also</w:t>
      </w:r>
      <w:proofErr w:type="gramEnd"/>
      <w:r w:rsidR="00FF67DA" w:rsidRPr="009C69FE">
        <w:rPr>
          <w:rFonts w:cs="Arial"/>
          <w:sz w:val="24"/>
          <w:szCs w:val="24"/>
        </w:rPr>
        <w:t xml:space="preserve"> article 23(3)(g) refers to carriage which must be accompanied by an attendant and the loss or damage results from a risk which the attendant was intended to avert.</w:t>
      </w:r>
    </w:p>
    <w:p w14:paraId="04EB1AFF" w14:textId="77777777" w:rsidR="00FF67DA" w:rsidRPr="009C69FE" w:rsidRDefault="00FF67DA" w:rsidP="00FF67DA">
      <w:pPr>
        <w:rPr>
          <w:rFonts w:cs="Arial"/>
          <w:sz w:val="24"/>
          <w:szCs w:val="24"/>
        </w:rPr>
      </w:pPr>
      <w:r w:rsidRPr="009C69FE">
        <w:rPr>
          <w:rFonts w:cs="Arial"/>
          <w:sz w:val="24"/>
          <w:szCs w:val="24"/>
        </w:rPr>
        <w:t xml:space="preserve">As with CMR a different burden of proof is applied to the different defences </w:t>
      </w:r>
      <w:proofErr w:type="gramStart"/>
      <w:r w:rsidRPr="009C69FE">
        <w:rPr>
          <w:rFonts w:cs="Arial"/>
          <w:sz w:val="24"/>
          <w:szCs w:val="24"/>
        </w:rPr>
        <w:t>and also</w:t>
      </w:r>
      <w:proofErr w:type="gramEnd"/>
      <w:r w:rsidRPr="009C69FE">
        <w:rPr>
          <w:rFonts w:cs="Arial"/>
          <w:sz w:val="24"/>
          <w:szCs w:val="24"/>
        </w:rPr>
        <w:t xml:space="preserve"> similarly to CMR the presumption in respect of open wagons is removed in the case of loss of an abnormally large quantity or package (art.25(3)).  </w:t>
      </w:r>
    </w:p>
    <w:p w14:paraId="4A774C27" w14:textId="77777777" w:rsidR="001D0BF5" w:rsidRPr="009C69FE" w:rsidRDefault="00FF67DA" w:rsidP="00FF67DA">
      <w:pPr>
        <w:rPr>
          <w:rFonts w:cs="Arial"/>
          <w:sz w:val="24"/>
          <w:szCs w:val="24"/>
        </w:rPr>
      </w:pPr>
      <w:r w:rsidRPr="009C69FE">
        <w:rPr>
          <w:rFonts w:cs="Arial"/>
          <w:sz w:val="24"/>
          <w:szCs w:val="24"/>
        </w:rPr>
        <w:t xml:space="preserve">Unlike CMR the other qualifications to the special risks are not referred to.  Nor is there any equivalent to art.17(3) (defective vehicle) </w:t>
      </w:r>
      <w:r w:rsidR="00E409D0" w:rsidRPr="009C69FE">
        <w:rPr>
          <w:rFonts w:cs="Arial"/>
          <w:sz w:val="24"/>
          <w:szCs w:val="24"/>
        </w:rPr>
        <w:t>or art.17(5) (apportionment)</w:t>
      </w:r>
      <w:r w:rsidR="00452A0C" w:rsidRPr="009C69FE">
        <w:rPr>
          <w:rFonts w:cs="Arial"/>
          <w:sz w:val="24"/>
          <w:szCs w:val="24"/>
        </w:rPr>
        <w:t xml:space="preserve"> although </w:t>
      </w:r>
      <w:r w:rsidR="00B72EAA" w:rsidRPr="009C69FE">
        <w:rPr>
          <w:rFonts w:cs="Arial"/>
          <w:sz w:val="24"/>
          <w:szCs w:val="24"/>
        </w:rPr>
        <w:t xml:space="preserve">a </w:t>
      </w:r>
      <w:r w:rsidR="001D0BF5" w:rsidRPr="009C69FE">
        <w:rPr>
          <w:rFonts w:cs="Arial"/>
          <w:sz w:val="24"/>
          <w:szCs w:val="24"/>
        </w:rPr>
        <w:t xml:space="preserve"> CIM Explanatory Report </w:t>
      </w:r>
      <w:r w:rsidR="00B72EAA" w:rsidRPr="009C69FE">
        <w:rPr>
          <w:rFonts w:cs="Arial"/>
          <w:sz w:val="24"/>
          <w:szCs w:val="24"/>
        </w:rPr>
        <w:t xml:space="preserve">suggests that a change of wording in the new rules was designed to bring in apportionment </w:t>
      </w:r>
      <w:r w:rsidR="00452A0C" w:rsidRPr="009C69FE">
        <w:rPr>
          <w:rFonts w:cs="Arial"/>
          <w:sz w:val="24"/>
          <w:szCs w:val="24"/>
        </w:rPr>
        <w:t xml:space="preserve"> </w:t>
      </w:r>
      <w:r w:rsidR="00B72EAA" w:rsidRPr="009C69FE">
        <w:rPr>
          <w:rFonts w:cs="Arial"/>
          <w:sz w:val="24"/>
          <w:szCs w:val="24"/>
        </w:rPr>
        <w:t xml:space="preserve"> </w:t>
      </w:r>
      <w:hyperlink r:id="rId37" w:history="1">
        <w:r w:rsidR="00B72EAA" w:rsidRPr="009C69FE">
          <w:rPr>
            <w:rStyle w:val="Hyperlink"/>
            <w:rFonts w:cs="Arial"/>
            <w:sz w:val="24"/>
            <w:szCs w:val="24"/>
          </w:rPr>
          <w:t>http://otif.org/fileadmin/user_upload/otif_verlinkte_files/07_veroeff/03_erlaeut/05_CIM_e_Consolidated_Explanatory_report.pdf</w:t>
        </w:r>
      </w:hyperlink>
      <w:r w:rsidR="00B72EAA" w:rsidRPr="009C69FE">
        <w:rPr>
          <w:rFonts w:cs="Arial"/>
          <w:sz w:val="24"/>
          <w:szCs w:val="24"/>
        </w:rPr>
        <w:t xml:space="preserve"> ).</w:t>
      </w:r>
    </w:p>
    <w:p w14:paraId="5DB151C0" w14:textId="77777777" w:rsidR="00FF67DA" w:rsidRPr="009C69FE" w:rsidRDefault="00FF67DA" w:rsidP="00FF67DA">
      <w:pPr>
        <w:rPr>
          <w:rFonts w:cs="Arial"/>
          <w:sz w:val="24"/>
          <w:szCs w:val="24"/>
        </w:rPr>
      </w:pPr>
      <w:r w:rsidRPr="009C69FE">
        <w:rPr>
          <w:rFonts w:cs="Arial"/>
          <w:sz w:val="24"/>
          <w:szCs w:val="24"/>
        </w:rPr>
        <w:t>A further difference is that CIM has a specific rule which specifies allowances in the case of goods which by their nature are subject to wastage in transit so that the carrier is only liable where the loss exceeds 2% for liquid or moist goods and 1% for dry goods (art.31).</w:t>
      </w:r>
    </w:p>
    <w:p w14:paraId="769A2DEE" w14:textId="77777777" w:rsidR="00FF67DA" w:rsidRPr="009C69FE" w:rsidRDefault="00FF67DA" w:rsidP="00FF67DA">
      <w:pPr>
        <w:rPr>
          <w:rFonts w:cs="Arial"/>
          <w:sz w:val="24"/>
          <w:szCs w:val="24"/>
        </w:rPr>
      </w:pPr>
      <w:r w:rsidRPr="009C69FE">
        <w:rPr>
          <w:rFonts w:cs="Arial"/>
          <w:sz w:val="24"/>
          <w:szCs w:val="24"/>
        </w:rPr>
        <w:t>New CIM also contains a special rule for railway wagons consigned as goods.  The carrier is liable in the usual way unless he can prove that the loss or damage was not caused by his fault (art.24).</w:t>
      </w:r>
    </w:p>
    <w:p w14:paraId="13E0F4FB" w14:textId="77777777" w:rsidR="00FF67DA" w:rsidRPr="009C69FE" w:rsidRDefault="00E12137" w:rsidP="00FF67DA">
      <w:pPr>
        <w:rPr>
          <w:rFonts w:cs="Arial"/>
          <w:b/>
          <w:sz w:val="24"/>
          <w:szCs w:val="24"/>
        </w:rPr>
      </w:pPr>
      <w:r w:rsidRPr="009C69FE">
        <w:rPr>
          <w:rFonts w:cs="Arial"/>
          <w:b/>
          <w:sz w:val="24"/>
          <w:szCs w:val="24"/>
        </w:rPr>
        <w:t>3.8</w:t>
      </w:r>
      <w:r w:rsidR="00FF67DA" w:rsidRPr="009C69FE">
        <w:rPr>
          <w:rFonts w:cs="Arial"/>
          <w:b/>
          <w:sz w:val="24"/>
          <w:szCs w:val="24"/>
        </w:rPr>
        <w:t xml:space="preserve"> Compensation</w:t>
      </w:r>
      <w:r w:rsidR="00E409D0" w:rsidRPr="009C69FE">
        <w:rPr>
          <w:rFonts w:cs="Arial"/>
          <w:b/>
          <w:sz w:val="24"/>
          <w:szCs w:val="24"/>
        </w:rPr>
        <w:br/>
      </w:r>
      <w:r w:rsidR="00E409D0" w:rsidRPr="009C69FE">
        <w:rPr>
          <w:rFonts w:cs="Arial"/>
          <w:b/>
          <w:sz w:val="24"/>
          <w:szCs w:val="24"/>
        </w:rPr>
        <w:br/>
      </w:r>
      <w:r w:rsidRPr="009C69FE">
        <w:rPr>
          <w:rFonts w:cs="Arial"/>
          <w:b/>
          <w:sz w:val="24"/>
          <w:szCs w:val="24"/>
        </w:rPr>
        <w:t>3.8.1</w:t>
      </w:r>
      <w:r w:rsidR="003D228D" w:rsidRPr="009C69FE">
        <w:rPr>
          <w:rFonts w:cs="Arial"/>
          <w:sz w:val="24"/>
          <w:szCs w:val="24"/>
        </w:rPr>
        <w:t xml:space="preserve"> </w:t>
      </w:r>
      <w:r w:rsidR="00E409D0" w:rsidRPr="009C69FE">
        <w:rPr>
          <w:rFonts w:cs="Arial"/>
          <w:sz w:val="24"/>
          <w:szCs w:val="24"/>
        </w:rPr>
        <w:t>Both CMR and CIM</w:t>
      </w:r>
      <w:r w:rsidR="00FF67DA" w:rsidRPr="009C69FE">
        <w:rPr>
          <w:rFonts w:cs="Arial"/>
          <w:sz w:val="24"/>
          <w:szCs w:val="24"/>
        </w:rPr>
        <w:t xml:space="preserve"> contain rules which regulate the compensation payable to the claimant.  The </w:t>
      </w:r>
      <w:proofErr w:type="gramStart"/>
      <w:r w:rsidR="00FF67DA" w:rsidRPr="009C69FE">
        <w:rPr>
          <w:rFonts w:cs="Arial"/>
          <w:sz w:val="24"/>
          <w:szCs w:val="24"/>
        </w:rPr>
        <w:t>main focus</w:t>
      </w:r>
      <w:proofErr w:type="gramEnd"/>
      <w:r w:rsidR="00FF67DA" w:rsidRPr="009C69FE">
        <w:rPr>
          <w:rFonts w:cs="Arial"/>
          <w:sz w:val="24"/>
          <w:szCs w:val="24"/>
        </w:rPr>
        <w:t xml:space="preserve"> of these rules is to provide for a limit on the liability of the carrier and to determine the situations where this limit can be broken or exceeded.</w:t>
      </w:r>
    </w:p>
    <w:p w14:paraId="3822FBDA" w14:textId="77777777" w:rsidR="00FF67DA" w:rsidRPr="009C69FE" w:rsidRDefault="00E12137" w:rsidP="00FF67DA">
      <w:pPr>
        <w:rPr>
          <w:rFonts w:cs="Arial"/>
          <w:b/>
          <w:sz w:val="24"/>
          <w:szCs w:val="24"/>
        </w:rPr>
      </w:pPr>
      <w:r w:rsidRPr="009C69FE">
        <w:rPr>
          <w:rFonts w:cs="Arial"/>
          <w:b/>
          <w:sz w:val="24"/>
          <w:szCs w:val="24"/>
        </w:rPr>
        <w:t>3.8</w:t>
      </w:r>
      <w:r w:rsidR="003D228D" w:rsidRPr="009C69FE">
        <w:rPr>
          <w:rFonts w:cs="Arial"/>
          <w:b/>
          <w:sz w:val="24"/>
          <w:szCs w:val="24"/>
        </w:rPr>
        <w:t>.2</w:t>
      </w:r>
      <w:r w:rsidR="00FF67DA" w:rsidRPr="009C69FE">
        <w:rPr>
          <w:rFonts w:cs="Arial"/>
          <w:b/>
          <w:sz w:val="24"/>
          <w:szCs w:val="24"/>
        </w:rPr>
        <w:t xml:space="preserve"> Calculating value and the limit of </w:t>
      </w:r>
      <w:proofErr w:type="gramStart"/>
      <w:r w:rsidR="00FF67DA" w:rsidRPr="009C69FE">
        <w:rPr>
          <w:rFonts w:cs="Arial"/>
          <w:b/>
          <w:sz w:val="24"/>
          <w:szCs w:val="24"/>
        </w:rPr>
        <w:t>liability</w:t>
      </w:r>
      <w:proofErr w:type="gramEnd"/>
    </w:p>
    <w:p w14:paraId="3124BCA7" w14:textId="5D0FA803" w:rsidR="00FF67DA" w:rsidRPr="009C69FE" w:rsidRDefault="00FF67DA" w:rsidP="00FF67DA">
      <w:pPr>
        <w:rPr>
          <w:rFonts w:cs="Arial"/>
          <w:sz w:val="24"/>
          <w:szCs w:val="24"/>
        </w:rPr>
      </w:pPr>
      <w:r w:rsidRPr="009C69FE">
        <w:rPr>
          <w:rFonts w:cs="Arial"/>
          <w:sz w:val="24"/>
          <w:szCs w:val="24"/>
        </w:rPr>
        <w:t>CMR starts by stating that compensation is to be calculated by reference to the value of the goods at the place and time they were accepted for carriage (art. 23(1)).  It is to this value that the limit is applied.  The limit is 8.33 units of account per kilogram (art.23(3)).  Units of account (a reference to the special drawing right adopted by the IMF) were adopted in place of a system based on a specified measure of gold expressed in terms of gold francs.  One unit of account is usually wo</w:t>
      </w:r>
      <w:r w:rsidR="002D50CB" w:rsidRPr="009C69FE">
        <w:rPr>
          <w:rFonts w:cs="Arial"/>
          <w:sz w:val="24"/>
          <w:szCs w:val="24"/>
        </w:rPr>
        <w:t>rth slightly more than a Euro.</w:t>
      </w:r>
      <w:r w:rsidR="002D50CB" w:rsidRPr="009C69FE">
        <w:rPr>
          <w:rFonts w:cs="Arial"/>
          <w:sz w:val="24"/>
          <w:szCs w:val="24"/>
        </w:rPr>
        <w:br/>
      </w:r>
      <w:r w:rsidR="002D50CB" w:rsidRPr="009C69FE">
        <w:rPr>
          <w:rFonts w:cs="Arial"/>
          <w:sz w:val="24"/>
          <w:szCs w:val="24"/>
        </w:rPr>
        <w:br/>
      </w:r>
      <w:r w:rsidRPr="009C69FE">
        <w:rPr>
          <w:rFonts w:cs="Arial"/>
          <w:sz w:val="24"/>
          <w:szCs w:val="24"/>
        </w:rPr>
        <w:t xml:space="preserve">In addition CMR provides for the carriage charges, Customs duties and other charges incurred in respect of the carriage to be refunded in full in the case of total loss and in proportion to the loss sustained in the case of partial loss (art.23(4)).  These sums are not subject to limitation.  The House of Lords gave this provision a controversially wide </w:t>
      </w:r>
      <w:r w:rsidRPr="009C69FE">
        <w:rPr>
          <w:rFonts w:cs="Arial"/>
          <w:sz w:val="24"/>
          <w:szCs w:val="24"/>
        </w:rPr>
        <w:lastRenderedPageBreak/>
        <w:t xml:space="preserve">interpretation in the case of </w:t>
      </w:r>
      <w:r w:rsidRPr="009C69FE">
        <w:rPr>
          <w:rFonts w:cs="Arial"/>
          <w:b/>
          <w:sz w:val="24"/>
          <w:szCs w:val="24"/>
        </w:rPr>
        <w:t xml:space="preserve">James Buchanan &amp; Co Ltd v. </w:t>
      </w:r>
      <w:proofErr w:type="spellStart"/>
      <w:r w:rsidRPr="009C69FE">
        <w:rPr>
          <w:rFonts w:cs="Arial"/>
          <w:b/>
          <w:sz w:val="24"/>
          <w:szCs w:val="24"/>
        </w:rPr>
        <w:t>Babco</w:t>
      </w:r>
      <w:proofErr w:type="spellEnd"/>
      <w:r w:rsidRPr="009C69FE">
        <w:rPr>
          <w:rFonts w:cs="Arial"/>
          <w:b/>
          <w:sz w:val="24"/>
          <w:szCs w:val="24"/>
        </w:rPr>
        <w:t xml:space="preserve"> Forwarding &amp; Shipping (UK) Ltd</w:t>
      </w:r>
      <w:r w:rsidRPr="009C69FE">
        <w:rPr>
          <w:rFonts w:cs="Arial"/>
          <w:sz w:val="24"/>
          <w:szCs w:val="24"/>
        </w:rPr>
        <w:t xml:space="preserve"> [1978] 1 Lloyd’s Rep. 203</w:t>
      </w:r>
      <w:r w:rsidR="00A76883">
        <w:rPr>
          <w:rFonts w:cs="Arial"/>
          <w:sz w:val="24"/>
          <w:szCs w:val="24"/>
        </w:rPr>
        <w:t xml:space="preserve"> (see abo</w:t>
      </w:r>
      <w:r w:rsidR="001509B4">
        <w:rPr>
          <w:rFonts w:cs="Arial"/>
          <w:sz w:val="24"/>
          <w:szCs w:val="24"/>
        </w:rPr>
        <w:t xml:space="preserve">ve para. </w:t>
      </w:r>
      <w:r w:rsidR="00F4393D">
        <w:rPr>
          <w:rFonts w:cs="Arial"/>
          <w:sz w:val="24"/>
          <w:szCs w:val="24"/>
        </w:rPr>
        <w:t>3.2.1)</w:t>
      </w:r>
      <w:r w:rsidRPr="009C69FE">
        <w:rPr>
          <w:rFonts w:cs="Arial"/>
          <w:sz w:val="24"/>
          <w:szCs w:val="24"/>
        </w:rPr>
        <w:t>, which allowed a claimant to recover £30,000 in excise duty paid to the authorities in respect of whisky worth £7,000 in the export market because the whisky was stolen from the carrier in circumstances where it could not be proved that the whisky had left the country.</w:t>
      </w:r>
    </w:p>
    <w:p w14:paraId="69662011" w14:textId="77777777" w:rsidR="00FF67DA" w:rsidRPr="009C69FE" w:rsidRDefault="00FF67DA" w:rsidP="00FF67DA">
      <w:pPr>
        <w:rPr>
          <w:rFonts w:cs="Arial"/>
          <w:sz w:val="24"/>
          <w:szCs w:val="24"/>
        </w:rPr>
      </w:pPr>
      <w:r w:rsidRPr="009C69FE">
        <w:rPr>
          <w:rFonts w:cs="Arial"/>
          <w:sz w:val="24"/>
          <w:szCs w:val="24"/>
        </w:rPr>
        <w:t xml:space="preserve">For CIM the limit is 17 units of account per kg (art.30(2)).  In other </w:t>
      </w:r>
      <w:proofErr w:type="gramStart"/>
      <w:r w:rsidRPr="009C69FE">
        <w:rPr>
          <w:rFonts w:cs="Arial"/>
          <w:sz w:val="24"/>
          <w:szCs w:val="24"/>
        </w:rPr>
        <w:t>respects</w:t>
      </w:r>
      <w:proofErr w:type="gramEnd"/>
      <w:r w:rsidRPr="009C69FE">
        <w:rPr>
          <w:rFonts w:cs="Arial"/>
          <w:sz w:val="24"/>
          <w:szCs w:val="24"/>
        </w:rPr>
        <w:t xml:space="preserve"> the rules are much the same as CMR (see art.30(1) and art,30(4)) except that in referring to other sums paid in relation to the carriage of the goods lost (art.30(4) new CIM goes on to say “except excise duties for goods carried under a procedure suspending those duties.”</w:t>
      </w:r>
    </w:p>
    <w:p w14:paraId="0DE91E5F" w14:textId="77777777" w:rsidR="00FF67DA" w:rsidRPr="009C69FE" w:rsidRDefault="00FF67DA" w:rsidP="00FF67DA">
      <w:pPr>
        <w:rPr>
          <w:rFonts w:cs="Arial"/>
          <w:sz w:val="24"/>
          <w:szCs w:val="24"/>
        </w:rPr>
      </w:pPr>
      <w:r w:rsidRPr="009C69FE">
        <w:rPr>
          <w:rFonts w:cs="Arial"/>
          <w:sz w:val="24"/>
          <w:szCs w:val="24"/>
        </w:rPr>
        <w:t xml:space="preserve">For delay a limit equal to the carriage charge is imposed by CMR (art.23(5)) and four times the carriage charge for CIM (art.33(1)).  </w:t>
      </w:r>
    </w:p>
    <w:p w14:paraId="433ECF18" w14:textId="77777777" w:rsidR="00FF67DA" w:rsidRPr="009C69FE" w:rsidRDefault="00FF67DA" w:rsidP="00FF67DA">
      <w:pPr>
        <w:rPr>
          <w:rFonts w:cs="Arial"/>
          <w:sz w:val="24"/>
          <w:szCs w:val="24"/>
        </w:rPr>
      </w:pPr>
      <w:r w:rsidRPr="009C69FE">
        <w:rPr>
          <w:rFonts w:cs="Arial"/>
          <w:sz w:val="24"/>
          <w:szCs w:val="24"/>
        </w:rPr>
        <w:br/>
      </w:r>
      <w:r w:rsidR="00E12137" w:rsidRPr="009C69FE">
        <w:rPr>
          <w:rFonts w:cs="Arial"/>
          <w:b/>
          <w:sz w:val="24"/>
          <w:szCs w:val="24"/>
        </w:rPr>
        <w:t>3</w:t>
      </w:r>
      <w:r w:rsidR="003D228D" w:rsidRPr="009C69FE">
        <w:rPr>
          <w:rFonts w:cs="Arial"/>
          <w:b/>
          <w:sz w:val="24"/>
          <w:szCs w:val="24"/>
        </w:rPr>
        <w:t>.</w:t>
      </w:r>
      <w:r w:rsidR="00E12137" w:rsidRPr="009C69FE">
        <w:rPr>
          <w:rFonts w:cs="Arial"/>
          <w:b/>
          <w:sz w:val="24"/>
          <w:szCs w:val="24"/>
        </w:rPr>
        <w:t xml:space="preserve">8 </w:t>
      </w:r>
      <w:r w:rsidR="003D228D" w:rsidRPr="009C69FE">
        <w:rPr>
          <w:rFonts w:cs="Arial"/>
          <w:b/>
          <w:sz w:val="24"/>
          <w:szCs w:val="24"/>
        </w:rPr>
        <w:t>3</w:t>
      </w:r>
      <w:r w:rsidR="00832BFB" w:rsidRPr="009C69FE">
        <w:rPr>
          <w:rFonts w:cs="Arial"/>
          <w:b/>
          <w:sz w:val="24"/>
          <w:szCs w:val="24"/>
        </w:rPr>
        <w:t xml:space="preserve"> </w:t>
      </w:r>
      <w:r w:rsidR="00762846" w:rsidRPr="009C69FE">
        <w:rPr>
          <w:rFonts w:cs="Arial"/>
          <w:b/>
          <w:sz w:val="24"/>
          <w:szCs w:val="24"/>
        </w:rPr>
        <w:t>Breaking</w:t>
      </w:r>
      <w:r w:rsidRPr="009C69FE">
        <w:rPr>
          <w:rFonts w:cs="Arial"/>
          <w:b/>
          <w:sz w:val="24"/>
          <w:szCs w:val="24"/>
        </w:rPr>
        <w:t xml:space="preserve"> the limit</w:t>
      </w:r>
      <w:r w:rsidR="003D228D" w:rsidRPr="009C69FE">
        <w:rPr>
          <w:rFonts w:cs="Arial"/>
          <w:b/>
          <w:sz w:val="24"/>
          <w:szCs w:val="24"/>
        </w:rPr>
        <w:br/>
      </w:r>
      <w:r w:rsidR="003D228D" w:rsidRPr="009C69FE">
        <w:rPr>
          <w:rFonts w:cs="Arial"/>
          <w:b/>
          <w:sz w:val="24"/>
          <w:szCs w:val="24"/>
        </w:rPr>
        <w:br/>
      </w:r>
      <w:r w:rsidR="002D50CB" w:rsidRPr="009C69FE">
        <w:rPr>
          <w:rFonts w:cs="Arial"/>
          <w:b/>
          <w:sz w:val="24"/>
          <w:szCs w:val="24"/>
        </w:rPr>
        <w:t>3</w:t>
      </w:r>
      <w:r w:rsidR="003D228D" w:rsidRPr="009C69FE">
        <w:rPr>
          <w:rFonts w:cs="Arial"/>
          <w:b/>
          <w:sz w:val="24"/>
          <w:szCs w:val="24"/>
        </w:rPr>
        <w:t>.</w:t>
      </w:r>
      <w:r w:rsidR="00E12137" w:rsidRPr="009C69FE">
        <w:rPr>
          <w:rFonts w:cs="Arial"/>
          <w:b/>
          <w:sz w:val="24"/>
          <w:szCs w:val="24"/>
        </w:rPr>
        <w:t>8.3.1</w:t>
      </w:r>
      <w:r w:rsidRPr="009C69FE">
        <w:rPr>
          <w:rFonts w:cs="Arial"/>
          <w:b/>
          <w:sz w:val="24"/>
          <w:szCs w:val="24"/>
        </w:rPr>
        <w:t xml:space="preserve"> By agreement</w:t>
      </w:r>
      <w:r w:rsidR="00832BFB" w:rsidRPr="009C69FE">
        <w:rPr>
          <w:rFonts w:cs="Arial"/>
          <w:sz w:val="24"/>
          <w:szCs w:val="24"/>
        </w:rPr>
        <w:br/>
      </w:r>
      <w:r w:rsidR="00832BFB" w:rsidRPr="009C69FE">
        <w:rPr>
          <w:rFonts w:cs="Arial"/>
          <w:sz w:val="24"/>
          <w:szCs w:val="24"/>
        </w:rPr>
        <w:br/>
      </w:r>
      <w:r w:rsidR="00E409D0" w:rsidRPr="009C69FE">
        <w:rPr>
          <w:rFonts w:cs="Arial"/>
          <w:sz w:val="24"/>
          <w:szCs w:val="24"/>
        </w:rPr>
        <w:t>Both</w:t>
      </w:r>
      <w:r w:rsidRPr="009C69FE">
        <w:rPr>
          <w:rFonts w:cs="Arial"/>
          <w:sz w:val="24"/>
          <w:szCs w:val="24"/>
        </w:rPr>
        <w:t xml:space="preserve"> conventions allow the parties to agree that compensation can exceed the specified limits subject to proof of the actual loss and the right of the carrier to charge extra.  CMR and CIM make a distinction between increasing the limit applied to the carriage of the goods (CMR art.24, CIM art.34) and a special interest in delivery which enables consequential loss to be recovered (CMR art.26, CIM art.35).  In both cases the declaration </w:t>
      </w:r>
      <w:r w:rsidR="001259CB">
        <w:rPr>
          <w:rFonts w:cs="Arial"/>
          <w:sz w:val="24"/>
          <w:szCs w:val="24"/>
        </w:rPr>
        <w:t>must</w:t>
      </w:r>
      <w:r w:rsidRPr="009C69FE">
        <w:rPr>
          <w:rFonts w:cs="Arial"/>
          <w:sz w:val="24"/>
          <w:szCs w:val="24"/>
        </w:rPr>
        <w:t xml:space="preserve"> be made in the consignment note.  </w:t>
      </w:r>
    </w:p>
    <w:p w14:paraId="5B9BA87B" w14:textId="77777777" w:rsidR="00FF67DA" w:rsidRPr="009C69FE" w:rsidRDefault="003D228D" w:rsidP="00FF67DA">
      <w:pPr>
        <w:rPr>
          <w:rFonts w:cs="Arial"/>
          <w:sz w:val="24"/>
          <w:szCs w:val="24"/>
        </w:rPr>
      </w:pPr>
      <w:r w:rsidRPr="009C69FE">
        <w:rPr>
          <w:rFonts w:cs="Arial"/>
          <w:b/>
          <w:sz w:val="24"/>
          <w:szCs w:val="24"/>
        </w:rPr>
        <w:t>5.</w:t>
      </w:r>
      <w:r w:rsidR="00E12137" w:rsidRPr="009C69FE">
        <w:rPr>
          <w:rFonts w:cs="Arial"/>
          <w:b/>
          <w:sz w:val="24"/>
          <w:szCs w:val="24"/>
        </w:rPr>
        <w:t>8</w:t>
      </w:r>
      <w:r w:rsidR="00832BFB" w:rsidRPr="009C69FE">
        <w:rPr>
          <w:rFonts w:cs="Arial"/>
          <w:b/>
          <w:sz w:val="24"/>
          <w:szCs w:val="24"/>
        </w:rPr>
        <w:t>.</w:t>
      </w:r>
      <w:r w:rsidR="00E12137" w:rsidRPr="009C69FE">
        <w:rPr>
          <w:rFonts w:cs="Arial"/>
          <w:b/>
          <w:sz w:val="24"/>
          <w:szCs w:val="24"/>
        </w:rPr>
        <w:t>3.</w:t>
      </w:r>
      <w:r w:rsidR="00832BFB" w:rsidRPr="009C69FE">
        <w:rPr>
          <w:rFonts w:cs="Arial"/>
          <w:b/>
          <w:sz w:val="24"/>
          <w:szCs w:val="24"/>
        </w:rPr>
        <w:t>2</w:t>
      </w:r>
      <w:r w:rsidR="00FF67DA" w:rsidRPr="009C69FE">
        <w:rPr>
          <w:rFonts w:cs="Arial"/>
          <w:b/>
          <w:sz w:val="24"/>
          <w:szCs w:val="24"/>
        </w:rPr>
        <w:t xml:space="preserve"> By conduct</w:t>
      </w:r>
      <w:r w:rsidR="00FF67DA" w:rsidRPr="009C69FE">
        <w:rPr>
          <w:rFonts w:cs="Arial"/>
          <w:sz w:val="24"/>
          <w:szCs w:val="24"/>
        </w:rPr>
        <w:br/>
      </w:r>
      <w:r w:rsidR="00FF67DA" w:rsidRPr="009C69FE">
        <w:rPr>
          <w:rFonts w:cs="Arial"/>
          <w:sz w:val="24"/>
          <w:szCs w:val="24"/>
        </w:rPr>
        <w:br/>
        <w:t>CMR and CIM have provision whereby a claimant is permitted to break the limits of liability if the carrier has engaged in some form of serious misconduct (CMR art.29, CIM art.36).  CMR goes further in preventing the carrier from relying on the exceptions from liability and provisions which shift the burden of proof.</w:t>
      </w:r>
      <w:r w:rsidR="00FF67DA" w:rsidRPr="009C69FE">
        <w:rPr>
          <w:rFonts w:cs="Arial"/>
          <w:sz w:val="24"/>
          <w:szCs w:val="24"/>
        </w:rPr>
        <w:br/>
      </w:r>
      <w:r w:rsidR="00FF67DA" w:rsidRPr="009C69FE">
        <w:rPr>
          <w:rFonts w:cs="Arial"/>
          <w:sz w:val="24"/>
          <w:szCs w:val="24"/>
        </w:rPr>
        <w:br/>
        <w:t>Article 29</w:t>
      </w:r>
      <w:r w:rsidR="001259CB">
        <w:rPr>
          <w:rFonts w:cs="Arial"/>
          <w:sz w:val="24"/>
          <w:szCs w:val="24"/>
        </w:rPr>
        <w:t>(1)</w:t>
      </w:r>
      <w:r w:rsidR="00FF67DA" w:rsidRPr="009C69FE">
        <w:rPr>
          <w:rFonts w:cs="Arial"/>
          <w:sz w:val="24"/>
          <w:szCs w:val="24"/>
        </w:rPr>
        <w:t xml:space="preserve"> CMR states that this is the case if the damage was caused by the carrier’s wilful misconduct or such default as, in accordance with the law of the court or tribunal seized of the case, is considered as equivalent to wilful misconduct.  The same applies if the relevant misconduct is committed by the agents or servants of the carrier or by any other persons used for the performance of the carriage when acting within the course of their employment (art.29(2)) and in turn, such agents etc., are deprived of their right to rely on the limits and exclusions.</w:t>
      </w:r>
    </w:p>
    <w:p w14:paraId="7D9B4B93" w14:textId="77777777" w:rsidR="00FF67DA" w:rsidRPr="009C69FE" w:rsidRDefault="00FF67DA" w:rsidP="00FF67DA">
      <w:pPr>
        <w:rPr>
          <w:rFonts w:cs="Arial"/>
          <w:sz w:val="24"/>
          <w:szCs w:val="24"/>
        </w:rPr>
      </w:pPr>
      <w:r w:rsidRPr="009C69FE">
        <w:rPr>
          <w:rFonts w:cs="Arial"/>
          <w:sz w:val="24"/>
          <w:szCs w:val="24"/>
        </w:rPr>
        <w:t xml:space="preserve">The concept of wilful misconduct is a familiar one in English law and the courts have applied it to cases on CMR.  It refers to conduct which a person appreciates is wrongful and yet persists in it either intending the harm or </w:t>
      </w:r>
      <w:r w:rsidR="001259CB">
        <w:rPr>
          <w:rFonts w:cs="Arial"/>
          <w:sz w:val="24"/>
          <w:szCs w:val="24"/>
        </w:rPr>
        <w:t xml:space="preserve">is </w:t>
      </w:r>
      <w:r w:rsidRPr="009C69FE">
        <w:rPr>
          <w:rFonts w:cs="Arial"/>
          <w:sz w:val="24"/>
          <w:szCs w:val="24"/>
        </w:rPr>
        <w:t>reckless as to whether the harm materialises.  It covers either intentionally causing harm to the goods or consciously running an unreasonable risk in respect of them.  The English courts have put the burden of proof on to the claimant and since subjective consciousness of wrongdoing is required this can amount to a</w:t>
      </w:r>
      <w:r w:rsidR="006E48F3" w:rsidRPr="009C69FE">
        <w:rPr>
          <w:rFonts w:cs="Arial"/>
          <w:sz w:val="24"/>
          <w:szCs w:val="24"/>
        </w:rPr>
        <w:t xml:space="preserve"> heavy burden.  The court should not </w:t>
      </w:r>
      <w:r w:rsidRPr="009C69FE">
        <w:rPr>
          <w:rFonts w:cs="Arial"/>
          <w:sz w:val="24"/>
          <w:szCs w:val="24"/>
        </w:rPr>
        <w:t xml:space="preserve">draw the conclusion just because the departure from the normal standard is a serious one or because the consequences are serious.  </w:t>
      </w:r>
      <w:r w:rsidRPr="009C69FE">
        <w:rPr>
          <w:rFonts w:cs="Arial"/>
          <w:sz w:val="24"/>
          <w:szCs w:val="24"/>
        </w:rPr>
        <w:lastRenderedPageBreak/>
        <w:t>Nevertheless, it might</w:t>
      </w:r>
      <w:r w:rsidR="006E48F3" w:rsidRPr="009C69FE">
        <w:rPr>
          <w:rFonts w:cs="Arial"/>
          <w:sz w:val="24"/>
          <w:szCs w:val="24"/>
        </w:rPr>
        <w:t xml:space="preserve"> be possible for a court to infer</w:t>
      </w:r>
      <w:r w:rsidRPr="009C69FE">
        <w:rPr>
          <w:rFonts w:cs="Arial"/>
          <w:sz w:val="24"/>
          <w:szCs w:val="24"/>
        </w:rPr>
        <w:t xml:space="preserve"> from the evidence that the act or omission must have been appreciated as wrongful given its extreme nature and obvious consequences.</w:t>
      </w:r>
      <w:r w:rsidR="006E48F3" w:rsidRPr="009C69FE">
        <w:rPr>
          <w:rFonts w:cs="Arial"/>
          <w:sz w:val="24"/>
          <w:szCs w:val="24"/>
        </w:rPr>
        <w:t xml:space="preserve"> The line between these alternatives is very thin.</w:t>
      </w:r>
    </w:p>
    <w:p w14:paraId="49AF3EE3" w14:textId="1BD5DBAB" w:rsidR="002A0923" w:rsidRPr="009C69FE" w:rsidRDefault="006E48F3" w:rsidP="00FF67DA">
      <w:pPr>
        <w:rPr>
          <w:rFonts w:cs="Arial"/>
          <w:b/>
          <w:sz w:val="24"/>
          <w:szCs w:val="24"/>
        </w:rPr>
      </w:pPr>
      <w:r w:rsidRPr="009C69FE">
        <w:rPr>
          <w:rFonts w:cs="Arial"/>
          <w:b/>
          <w:sz w:val="24"/>
          <w:szCs w:val="24"/>
        </w:rPr>
        <w:t>Q.</w:t>
      </w:r>
      <w:r w:rsidR="00A1288A">
        <w:rPr>
          <w:rFonts w:cs="Arial"/>
          <w:b/>
          <w:sz w:val="24"/>
          <w:szCs w:val="24"/>
        </w:rPr>
        <w:t>4</w:t>
      </w:r>
      <w:r w:rsidR="00F537C8">
        <w:rPr>
          <w:rFonts w:cs="Arial"/>
          <w:b/>
          <w:sz w:val="24"/>
          <w:szCs w:val="24"/>
        </w:rPr>
        <w:t xml:space="preserve"> </w:t>
      </w:r>
      <w:r w:rsidRPr="009C69FE">
        <w:rPr>
          <w:rFonts w:cs="Arial"/>
          <w:b/>
          <w:sz w:val="24"/>
          <w:szCs w:val="24"/>
        </w:rPr>
        <w:t>See the case of Lacey’s Footwear (wholesale) Ltd v Bowler International Freight Ltd [1997] 2 Lloyd’s Rep. 369.  Do you agree with the finding of wilful misconduct in that case?</w:t>
      </w:r>
      <w:r w:rsidR="001D0BF5" w:rsidRPr="009C69FE">
        <w:rPr>
          <w:rFonts w:cs="Arial"/>
          <w:b/>
          <w:sz w:val="24"/>
          <w:szCs w:val="24"/>
        </w:rPr>
        <w:t xml:space="preserve"> </w:t>
      </w:r>
    </w:p>
    <w:p w14:paraId="630C674D" w14:textId="77777777" w:rsidR="006E48F3" w:rsidRPr="009C69FE" w:rsidRDefault="001D0BF5" w:rsidP="00FF67DA">
      <w:pPr>
        <w:rPr>
          <w:rFonts w:cs="Arial"/>
          <w:b/>
          <w:sz w:val="24"/>
          <w:szCs w:val="24"/>
        </w:rPr>
      </w:pPr>
      <w:r w:rsidRPr="009C69FE">
        <w:rPr>
          <w:rFonts w:cs="Arial"/>
          <w:sz w:val="24"/>
          <w:szCs w:val="24"/>
        </w:rPr>
        <w:t xml:space="preserve">Compare </w:t>
      </w:r>
      <w:r w:rsidR="00B72EAA" w:rsidRPr="009C69FE">
        <w:rPr>
          <w:rFonts w:cs="Arial"/>
          <w:sz w:val="24"/>
          <w:szCs w:val="24"/>
        </w:rPr>
        <w:t>this case with</w:t>
      </w:r>
      <w:r w:rsidR="00B72EAA" w:rsidRPr="009C69FE">
        <w:rPr>
          <w:rFonts w:cs="Arial"/>
          <w:b/>
          <w:sz w:val="24"/>
          <w:szCs w:val="24"/>
        </w:rPr>
        <w:t xml:space="preserve"> National Semiconductors (UK) Ltd v UPS Ltd </w:t>
      </w:r>
      <w:r w:rsidR="002A0923" w:rsidRPr="009C69FE">
        <w:rPr>
          <w:rFonts w:cs="Arial"/>
          <w:sz w:val="24"/>
          <w:szCs w:val="24"/>
        </w:rPr>
        <w:t>[1996] 2 Lloyd’s Rep. 212.</w:t>
      </w:r>
      <w:r w:rsidR="002A0923" w:rsidRPr="009C69FE">
        <w:rPr>
          <w:rFonts w:cs="Arial"/>
          <w:b/>
          <w:sz w:val="24"/>
          <w:szCs w:val="24"/>
        </w:rPr>
        <w:t xml:space="preserve"> </w:t>
      </w:r>
    </w:p>
    <w:p w14:paraId="6DE3D0D5" w14:textId="77777777" w:rsidR="00FF67DA" w:rsidRPr="009C69FE" w:rsidRDefault="00FF67DA" w:rsidP="00FF67DA">
      <w:pPr>
        <w:rPr>
          <w:rFonts w:cs="Arial"/>
          <w:sz w:val="24"/>
          <w:szCs w:val="24"/>
        </w:rPr>
      </w:pPr>
      <w:r w:rsidRPr="009C69FE">
        <w:rPr>
          <w:rFonts w:cs="Arial"/>
          <w:sz w:val="24"/>
          <w:szCs w:val="24"/>
        </w:rPr>
        <w:t>The position gets more complicated in some countries which consider that the additional words in art.29(1) allows them to extend the rules to cover conduct treated as equivalent in effect to wilful misconduct in the</w:t>
      </w:r>
      <w:r w:rsidR="006E48F3" w:rsidRPr="009C69FE">
        <w:rPr>
          <w:rFonts w:cs="Arial"/>
          <w:sz w:val="24"/>
          <w:szCs w:val="24"/>
        </w:rPr>
        <w:t>ir</w:t>
      </w:r>
      <w:r w:rsidRPr="009C69FE">
        <w:rPr>
          <w:rFonts w:cs="Arial"/>
          <w:sz w:val="24"/>
          <w:szCs w:val="24"/>
        </w:rPr>
        <w:t xml:space="preserve"> national law.</w:t>
      </w:r>
      <w:r w:rsidR="006E48F3" w:rsidRPr="009C69FE">
        <w:rPr>
          <w:rFonts w:cs="Arial"/>
          <w:sz w:val="24"/>
          <w:szCs w:val="24"/>
        </w:rPr>
        <w:t xml:space="preserve">  This has enabled them to treat gross negligence as equivalent (formerly true in France and Germany </w:t>
      </w:r>
      <w:r w:rsidR="000C2BFB" w:rsidRPr="009C69FE">
        <w:rPr>
          <w:rFonts w:cs="Arial"/>
          <w:sz w:val="24"/>
          <w:szCs w:val="24"/>
        </w:rPr>
        <w:t xml:space="preserve">but still true </w:t>
      </w:r>
      <w:proofErr w:type="gramStart"/>
      <w:r w:rsidR="000C2BFB" w:rsidRPr="009C69FE">
        <w:rPr>
          <w:rFonts w:cs="Arial"/>
          <w:sz w:val="24"/>
          <w:szCs w:val="24"/>
        </w:rPr>
        <w:t>e.g.</w:t>
      </w:r>
      <w:proofErr w:type="gramEnd"/>
      <w:r w:rsidR="000C2BFB" w:rsidRPr="009C69FE">
        <w:rPr>
          <w:rFonts w:cs="Arial"/>
          <w:sz w:val="24"/>
          <w:szCs w:val="24"/>
        </w:rPr>
        <w:t xml:space="preserve"> in Italy and Denmark).</w:t>
      </w:r>
      <w:r w:rsidRPr="009C69FE">
        <w:rPr>
          <w:rFonts w:cs="Arial"/>
          <w:sz w:val="24"/>
          <w:szCs w:val="24"/>
        </w:rPr>
        <w:br/>
      </w:r>
      <w:r w:rsidRPr="009C69FE">
        <w:rPr>
          <w:rFonts w:cs="Arial"/>
          <w:sz w:val="24"/>
          <w:szCs w:val="24"/>
        </w:rPr>
        <w:br/>
        <w:t>New CIM uses a diff</w:t>
      </w:r>
      <w:r w:rsidR="000C2BFB" w:rsidRPr="009C69FE">
        <w:rPr>
          <w:rFonts w:cs="Arial"/>
          <w:sz w:val="24"/>
          <w:szCs w:val="24"/>
        </w:rPr>
        <w:t>erent concept in article 36.  This</w:t>
      </w:r>
      <w:r w:rsidRPr="009C69FE">
        <w:rPr>
          <w:rFonts w:cs="Arial"/>
          <w:sz w:val="24"/>
          <w:szCs w:val="24"/>
        </w:rPr>
        <w:t xml:space="preserve"> states that the limits are removed if it is proved that the loss or damage results from an act or omission, which the carrier has committed either with intent to cause such loss or damage, or recklessly and with knowledge that such loss or damage would probably result.  This makes it clear that gross negligence is not sufficient</w:t>
      </w:r>
      <w:r w:rsidR="00F90EC3" w:rsidRPr="009C69FE">
        <w:rPr>
          <w:rFonts w:cs="Arial"/>
          <w:sz w:val="24"/>
          <w:szCs w:val="24"/>
        </w:rPr>
        <w:t xml:space="preserve">, removes the notion of equivalent default </w:t>
      </w:r>
      <w:r w:rsidRPr="009C69FE">
        <w:rPr>
          <w:rFonts w:cs="Arial"/>
          <w:sz w:val="24"/>
          <w:szCs w:val="24"/>
        </w:rPr>
        <w:t xml:space="preserve">and provides a clearer statement of the concept of wilful misconduct.  It may be the case that the acts of agents and servants etc will be attributable to the carrier </w:t>
      </w:r>
      <w:proofErr w:type="gramStart"/>
      <w:r w:rsidRPr="009C69FE">
        <w:rPr>
          <w:rFonts w:cs="Arial"/>
          <w:sz w:val="24"/>
          <w:szCs w:val="24"/>
        </w:rPr>
        <w:t>on the basis of</w:t>
      </w:r>
      <w:proofErr w:type="gramEnd"/>
      <w:r w:rsidRPr="009C69FE">
        <w:rPr>
          <w:rFonts w:cs="Arial"/>
          <w:sz w:val="24"/>
          <w:szCs w:val="24"/>
        </w:rPr>
        <w:t xml:space="preserve"> article 40 but this is not en</w:t>
      </w:r>
      <w:r w:rsidR="00E409D0" w:rsidRPr="009C69FE">
        <w:rPr>
          <w:rFonts w:cs="Arial"/>
          <w:sz w:val="24"/>
          <w:szCs w:val="24"/>
        </w:rPr>
        <w:t>tirely clear f</w:t>
      </w:r>
      <w:r w:rsidRPr="009C69FE">
        <w:rPr>
          <w:rFonts w:cs="Arial"/>
          <w:sz w:val="24"/>
          <w:szCs w:val="24"/>
        </w:rPr>
        <w:t>r</w:t>
      </w:r>
      <w:r w:rsidR="00E409D0" w:rsidRPr="009C69FE">
        <w:rPr>
          <w:rFonts w:cs="Arial"/>
          <w:sz w:val="24"/>
          <w:szCs w:val="24"/>
        </w:rPr>
        <w:t>o</w:t>
      </w:r>
      <w:r w:rsidRPr="009C69FE">
        <w:rPr>
          <w:rFonts w:cs="Arial"/>
          <w:sz w:val="24"/>
          <w:szCs w:val="24"/>
        </w:rPr>
        <w:t>m the wording.</w:t>
      </w:r>
    </w:p>
    <w:p w14:paraId="57CF6FBE" w14:textId="77777777" w:rsidR="000C2BFB" w:rsidRPr="009C69FE" w:rsidRDefault="000C2BFB" w:rsidP="000C2BFB">
      <w:pPr>
        <w:rPr>
          <w:rFonts w:cs="Arial"/>
          <w:b/>
          <w:sz w:val="24"/>
          <w:szCs w:val="24"/>
        </w:rPr>
      </w:pPr>
      <w:r w:rsidRPr="009C69FE">
        <w:rPr>
          <w:rFonts w:cs="Arial"/>
          <w:sz w:val="24"/>
          <w:szCs w:val="24"/>
        </w:rPr>
        <w:t>Note that i</w:t>
      </w:r>
      <w:r w:rsidR="00E409D0" w:rsidRPr="009C69FE">
        <w:rPr>
          <w:rFonts w:cs="Arial"/>
          <w:sz w:val="24"/>
          <w:szCs w:val="24"/>
        </w:rPr>
        <w:t xml:space="preserve">n air law </w:t>
      </w:r>
      <w:r w:rsidRPr="009C69FE">
        <w:rPr>
          <w:rFonts w:cs="Arial"/>
          <w:sz w:val="24"/>
          <w:szCs w:val="24"/>
        </w:rPr>
        <w:t xml:space="preserve">the position today is that under the </w:t>
      </w:r>
      <w:r w:rsidRPr="001259CB">
        <w:rPr>
          <w:rFonts w:cs="Arial"/>
          <w:b/>
          <w:bCs/>
          <w:sz w:val="24"/>
          <w:szCs w:val="24"/>
        </w:rPr>
        <w:t>Montreal Convention</w:t>
      </w:r>
      <w:r w:rsidR="00842BCD">
        <w:rPr>
          <w:rFonts w:cs="Arial"/>
          <w:b/>
          <w:bCs/>
          <w:sz w:val="24"/>
          <w:szCs w:val="24"/>
        </w:rPr>
        <w:t xml:space="preserve"> 1999</w:t>
      </w:r>
      <w:r w:rsidRPr="009C69FE">
        <w:rPr>
          <w:rFonts w:cs="Arial"/>
          <w:sz w:val="24"/>
          <w:szCs w:val="24"/>
        </w:rPr>
        <w:t xml:space="preserve"> serious misconduct no longer operates to remove the right of the carrier to rely on the limit of liability applied to goods.  This is </w:t>
      </w:r>
      <w:r w:rsidR="00E409D0" w:rsidRPr="009C69FE">
        <w:rPr>
          <w:rFonts w:cs="Arial"/>
          <w:sz w:val="24"/>
          <w:szCs w:val="24"/>
        </w:rPr>
        <w:t>a radica</w:t>
      </w:r>
      <w:r w:rsidRPr="009C69FE">
        <w:rPr>
          <w:rFonts w:cs="Arial"/>
          <w:sz w:val="24"/>
          <w:szCs w:val="24"/>
        </w:rPr>
        <w:t xml:space="preserve">l departure from the rules </w:t>
      </w:r>
      <w:r w:rsidR="001259CB">
        <w:rPr>
          <w:rFonts w:cs="Arial"/>
          <w:sz w:val="24"/>
          <w:szCs w:val="24"/>
        </w:rPr>
        <w:t xml:space="preserve">in </w:t>
      </w:r>
      <w:r w:rsidRPr="009C69FE">
        <w:rPr>
          <w:rFonts w:cs="Arial"/>
          <w:sz w:val="24"/>
          <w:szCs w:val="24"/>
        </w:rPr>
        <w:t xml:space="preserve">all the other conventions governing liability in carriage law.  It is worth considering whether this might be the better approach in modern </w:t>
      </w:r>
      <w:r w:rsidR="00F90EC3" w:rsidRPr="009C69FE">
        <w:rPr>
          <w:rFonts w:cs="Arial"/>
          <w:sz w:val="24"/>
          <w:szCs w:val="24"/>
        </w:rPr>
        <w:t xml:space="preserve">conditions given the impulse the rule </w:t>
      </w:r>
      <w:r w:rsidRPr="009C69FE">
        <w:rPr>
          <w:rFonts w:cs="Arial"/>
          <w:sz w:val="24"/>
          <w:szCs w:val="24"/>
        </w:rPr>
        <w:t>gives to litigate to break the limit and perhaps find a forum most likely to apply it.</w:t>
      </w:r>
    </w:p>
    <w:p w14:paraId="4BFEA94F" w14:textId="77777777" w:rsidR="00FF67DA" w:rsidRPr="009C69FE" w:rsidRDefault="00E12137" w:rsidP="00FF67DA">
      <w:pPr>
        <w:rPr>
          <w:rFonts w:cs="Arial"/>
          <w:sz w:val="24"/>
          <w:szCs w:val="24"/>
        </w:rPr>
      </w:pPr>
      <w:r w:rsidRPr="009C69FE">
        <w:rPr>
          <w:rFonts w:cs="Arial"/>
          <w:b/>
          <w:sz w:val="24"/>
          <w:szCs w:val="24"/>
        </w:rPr>
        <w:t>3.9</w:t>
      </w:r>
      <w:r w:rsidR="00FF67DA" w:rsidRPr="009C69FE">
        <w:rPr>
          <w:rFonts w:cs="Arial"/>
          <w:b/>
          <w:sz w:val="24"/>
          <w:szCs w:val="24"/>
        </w:rPr>
        <w:t xml:space="preserve"> Claims and Jurisdiction</w:t>
      </w:r>
      <w:r w:rsidR="00EB2950" w:rsidRPr="009C69FE">
        <w:rPr>
          <w:rFonts w:cs="Arial"/>
          <w:sz w:val="24"/>
          <w:szCs w:val="24"/>
        </w:rPr>
        <w:br/>
      </w:r>
      <w:r w:rsidR="00EB2950" w:rsidRPr="009C69FE">
        <w:rPr>
          <w:rFonts w:cs="Arial"/>
          <w:sz w:val="24"/>
          <w:szCs w:val="24"/>
        </w:rPr>
        <w:br/>
      </w:r>
      <w:r w:rsidRPr="009C69FE">
        <w:rPr>
          <w:rFonts w:cs="Arial"/>
          <w:b/>
          <w:sz w:val="24"/>
          <w:szCs w:val="24"/>
        </w:rPr>
        <w:t>3.9.1</w:t>
      </w:r>
      <w:r w:rsidRPr="009C69FE">
        <w:rPr>
          <w:rFonts w:cs="Arial"/>
          <w:sz w:val="24"/>
          <w:szCs w:val="24"/>
        </w:rPr>
        <w:t xml:space="preserve"> </w:t>
      </w:r>
      <w:r w:rsidR="00FF67DA" w:rsidRPr="009C69FE">
        <w:rPr>
          <w:rFonts w:cs="Arial"/>
          <w:sz w:val="24"/>
          <w:szCs w:val="24"/>
        </w:rPr>
        <w:t>A brief note of the major points regarding bringing a claim can complete this overview.</w:t>
      </w:r>
    </w:p>
    <w:p w14:paraId="03B21B03" w14:textId="77777777" w:rsidR="00FF67DA" w:rsidRPr="009C69FE" w:rsidRDefault="002A33DB" w:rsidP="00FF67DA">
      <w:pPr>
        <w:rPr>
          <w:rFonts w:cs="Arial"/>
          <w:sz w:val="24"/>
          <w:szCs w:val="24"/>
        </w:rPr>
      </w:pPr>
      <w:r>
        <w:rPr>
          <w:rFonts w:cs="Arial"/>
          <w:sz w:val="24"/>
          <w:szCs w:val="24"/>
        </w:rPr>
        <w:t>Both</w:t>
      </w:r>
      <w:r w:rsidR="00FF67DA" w:rsidRPr="009C69FE">
        <w:rPr>
          <w:rFonts w:cs="Arial"/>
          <w:sz w:val="24"/>
          <w:szCs w:val="24"/>
        </w:rPr>
        <w:t xml:space="preserve"> conventions contain rules requiring a complaint or reservation to be sent to the carrier as soon as the goods have arrived or shortly afterwards.</w:t>
      </w:r>
    </w:p>
    <w:p w14:paraId="62C2F75D" w14:textId="77777777" w:rsidR="00FF67DA" w:rsidRPr="009C69FE" w:rsidRDefault="00FF67DA" w:rsidP="00FF67DA">
      <w:pPr>
        <w:rPr>
          <w:rFonts w:cs="Arial"/>
          <w:sz w:val="24"/>
          <w:szCs w:val="24"/>
        </w:rPr>
      </w:pPr>
      <w:r w:rsidRPr="009C69FE">
        <w:rPr>
          <w:rFonts w:cs="Arial"/>
          <w:sz w:val="24"/>
          <w:szCs w:val="24"/>
        </w:rPr>
        <w:t>Article 30(1) of CMR requires reservations to be made immediately on delivery or within 7 days for non-apparent damage with the limited effect that failure means that delivery in good condition is presumed (if goods are checked by carrier and consignee contradictory evidence is only possible for non-apparent loss or damage – art.39(2)).  The position for delay is</w:t>
      </w:r>
      <w:r w:rsidR="001259CB">
        <w:rPr>
          <w:rFonts w:cs="Arial"/>
          <w:sz w:val="24"/>
          <w:szCs w:val="24"/>
        </w:rPr>
        <w:t xml:space="preserve"> </w:t>
      </w:r>
      <w:r w:rsidRPr="009C69FE">
        <w:rPr>
          <w:rFonts w:cs="Arial"/>
          <w:sz w:val="24"/>
          <w:szCs w:val="24"/>
        </w:rPr>
        <w:t>strict</w:t>
      </w:r>
      <w:r w:rsidR="001259CB">
        <w:rPr>
          <w:rFonts w:cs="Arial"/>
          <w:sz w:val="24"/>
          <w:szCs w:val="24"/>
        </w:rPr>
        <w:t>er</w:t>
      </w:r>
      <w:r w:rsidRPr="009C69FE">
        <w:rPr>
          <w:rFonts w:cs="Arial"/>
          <w:sz w:val="24"/>
          <w:szCs w:val="24"/>
        </w:rPr>
        <w:t xml:space="preserve"> – failure to make a reservation within 21 days from the time that the goods were at the disposal of the consignee will defeat the claim (art.30(3)). </w:t>
      </w:r>
      <w:r w:rsidRPr="009C69FE">
        <w:rPr>
          <w:rFonts w:cs="Arial"/>
          <w:sz w:val="24"/>
          <w:szCs w:val="24"/>
        </w:rPr>
        <w:br/>
      </w:r>
      <w:r w:rsidRPr="009C69FE">
        <w:rPr>
          <w:rFonts w:cs="Arial"/>
          <w:sz w:val="24"/>
          <w:szCs w:val="24"/>
        </w:rPr>
        <w:br/>
        <w:t xml:space="preserve">Article 47(1) of CIM states that acceptance of the goods extinguishes any claim in respect of apparent damage unless an ascertainment procedure (see art.42) has been initiated.  For non-apparent damage the claimant has up to 7 days (or earlier on discovery) to initiate an </w:t>
      </w:r>
      <w:r w:rsidRPr="009C69FE">
        <w:rPr>
          <w:rFonts w:cs="Arial"/>
          <w:sz w:val="24"/>
          <w:szCs w:val="24"/>
        </w:rPr>
        <w:lastRenderedPageBreak/>
        <w:t>ascertainment procedure or the claim will be extinguished (art.47(2)).  For delay the claimant has 60 days to assert his rights (art.47(2)(c)).</w:t>
      </w:r>
      <w:r w:rsidRPr="009C69FE">
        <w:rPr>
          <w:rFonts w:cs="Arial"/>
          <w:sz w:val="24"/>
          <w:szCs w:val="24"/>
        </w:rPr>
        <w:br/>
      </w:r>
      <w:r w:rsidRPr="009C69FE">
        <w:rPr>
          <w:rFonts w:cs="Arial"/>
          <w:sz w:val="24"/>
          <w:szCs w:val="24"/>
        </w:rPr>
        <w:br/>
      </w:r>
      <w:r w:rsidR="00E12137" w:rsidRPr="009C69FE">
        <w:rPr>
          <w:rFonts w:cs="Arial"/>
          <w:b/>
          <w:sz w:val="24"/>
          <w:szCs w:val="24"/>
        </w:rPr>
        <w:t>3.9.2</w:t>
      </w:r>
      <w:r w:rsidR="00E12137" w:rsidRPr="009C69FE">
        <w:rPr>
          <w:rFonts w:cs="Arial"/>
          <w:sz w:val="24"/>
          <w:szCs w:val="24"/>
        </w:rPr>
        <w:t xml:space="preserve"> </w:t>
      </w:r>
      <w:r w:rsidR="00FE4091" w:rsidRPr="009C69FE">
        <w:rPr>
          <w:rFonts w:cs="Arial"/>
          <w:sz w:val="24"/>
          <w:szCs w:val="24"/>
        </w:rPr>
        <w:t xml:space="preserve">Both </w:t>
      </w:r>
      <w:r w:rsidRPr="009C69FE">
        <w:rPr>
          <w:rFonts w:cs="Arial"/>
          <w:sz w:val="24"/>
          <w:szCs w:val="24"/>
        </w:rPr>
        <w:t>regimes impose a time limit for action.</w:t>
      </w:r>
      <w:r w:rsidRPr="009C69FE">
        <w:rPr>
          <w:rFonts w:cs="Arial"/>
          <w:sz w:val="24"/>
          <w:szCs w:val="24"/>
        </w:rPr>
        <w:br/>
      </w:r>
      <w:r w:rsidRPr="009C69FE">
        <w:rPr>
          <w:rFonts w:cs="Arial"/>
          <w:sz w:val="24"/>
          <w:szCs w:val="24"/>
        </w:rPr>
        <w:br/>
        <w:t xml:space="preserve">For CMR the time limit is 1 year or 3 years for wilful misconduct (art.32(1)).  Article 32(1) would seem to apply claims both against and by the carrier.  The time limit starts at different points depending on whether loss, damage or some other claim is made. </w:t>
      </w:r>
    </w:p>
    <w:p w14:paraId="6C988A3E" w14:textId="69595887" w:rsidR="00FE4091" w:rsidRPr="009C69FE" w:rsidRDefault="00FF67DA" w:rsidP="00FF67DA">
      <w:pPr>
        <w:rPr>
          <w:rFonts w:cs="Arial"/>
          <w:sz w:val="24"/>
          <w:szCs w:val="24"/>
        </w:rPr>
      </w:pPr>
      <w:r w:rsidRPr="009C69FE">
        <w:rPr>
          <w:rFonts w:cs="Arial"/>
          <w:sz w:val="24"/>
          <w:szCs w:val="24"/>
        </w:rPr>
        <w:t>CMR allows a written claim against the carrier to suspend the time limit until the date when the carrier rejects the claim and returns the documents attached to it (art.32(2)).</w:t>
      </w:r>
      <w:r w:rsidRPr="009C69FE">
        <w:rPr>
          <w:rFonts w:cs="Arial"/>
          <w:sz w:val="24"/>
          <w:szCs w:val="24"/>
        </w:rPr>
        <w:br/>
      </w:r>
      <w:r w:rsidRPr="009C69FE">
        <w:rPr>
          <w:rFonts w:cs="Arial"/>
          <w:sz w:val="24"/>
          <w:szCs w:val="24"/>
        </w:rPr>
        <w:br/>
        <w:t>For CIM the period is again 1 year (ar</w:t>
      </w:r>
      <w:r w:rsidR="00F90EC3" w:rsidRPr="009C69FE">
        <w:rPr>
          <w:rFonts w:cs="Arial"/>
          <w:sz w:val="24"/>
          <w:szCs w:val="24"/>
        </w:rPr>
        <w:t>t.48(1)) with 2 years for intentional or reckless acts or omissions.</w:t>
      </w:r>
      <w:r w:rsidRPr="009C69FE">
        <w:rPr>
          <w:rFonts w:cs="Arial"/>
          <w:sz w:val="24"/>
          <w:szCs w:val="24"/>
        </w:rPr>
        <w:t xml:space="preserve">  </w:t>
      </w:r>
      <w:r w:rsidR="004929CF">
        <w:rPr>
          <w:rFonts w:cs="Arial"/>
          <w:sz w:val="24"/>
          <w:szCs w:val="24"/>
        </w:rPr>
        <w:t>As with</w:t>
      </w:r>
      <w:r w:rsidRPr="009C69FE">
        <w:rPr>
          <w:rFonts w:cs="Arial"/>
          <w:sz w:val="24"/>
          <w:szCs w:val="24"/>
        </w:rPr>
        <w:t xml:space="preserve"> CMR a written claim can suspend the time limit (art.48(3)).</w:t>
      </w:r>
    </w:p>
    <w:p w14:paraId="32FC5619" w14:textId="77777777" w:rsidR="00FF67DA" w:rsidRPr="009C69FE" w:rsidRDefault="00E12137" w:rsidP="00FF67DA">
      <w:pPr>
        <w:rPr>
          <w:rFonts w:cs="Arial"/>
          <w:sz w:val="24"/>
          <w:szCs w:val="24"/>
        </w:rPr>
      </w:pPr>
      <w:r w:rsidRPr="009C69FE">
        <w:rPr>
          <w:rFonts w:cs="Arial"/>
          <w:b/>
          <w:sz w:val="24"/>
          <w:szCs w:val="24"/>
        </w:rPr>
        <w:t>3.9.3</w:t>
      </w:r>
      <w:r w:rsidRPr="009C69FE">
        <w:rPr>
          <w:rFonts w:cs="Arial"/>
          <w:sz w:val="24"/>
          <w:szCs w:val="24"/>
        </w:rPr>
        <w:t xml:space="preserve"> </w:t>
      </w:r>
      <w:r w:rsidR="00FF67DA" w:rsidRPr="009C69FE">
        <w:rPr>
          <w:rFonts w:cs="Arial"/>
          <w:sz w:val="24"/>
          <w:szCs w:val="24"/>
        </w:rPr>
        <w:t>Unlike the Hague-Visby Rules in carriage of goods by sea, the conventions also contain rules providing for a choice of jurisdictions for either party to bring a claim.</w:t>
      </w:r>
    </w:p>
    <w:p w14:paraId="157FD460" w14:textId="77777777" w:rsidR="00FF67DA" w:rsidRPr="009C69FE" w:rsidRDefault="00FF67DA" w:rsidP="00FF67DA">
      <w:pPr>
        <w:rPr>
          <w:rFonts w:cs="Arial"/>
          <w:sz w:val="24"/>
          <w:szCs w:val="24"/>
        </w:rPr>
      </w:pPr>
      <w:r w:rsidRPr="009C69FE">
        <w:rPr>
          <w:rFonts w:cs="Arial"/>
          <w:sz w:val="24"/>
          <w:szCs w:val="24"/>
        </w:rPr>
        <w:t xml:space="preserve">For CMR action can be brought </w:t>
      </w:r>
      <w:r w:rsidR="001259CB">
        <w:rPr>
          <w:rFonts w:cs="Arial"/>
          <w:sz w:val="24"/>
          <w:szCs w:val="24"/>
        </w:rPr>
        <w:t>in</w:t>
      </w:r>
      <w:r w:rsidRPr="009C69FE">
        <w:rPr>
          <w:rFonts w:cs="Arial"/>
          <w:sz w:val="24"/>
          <w:szCs w:val="24"/>
        </w:rPr>
        <w:t xml:space="preserve"> the courts or tribunals in the country where the defendant is ordinarily resident, or has his principal place of business or the branch or agency through which the contract was made, or the place where the goods were taken over by the carrier or the place designated for delivery or a contracting country designated by agreement between the parties (art.31).</w:t>
      </w:r>
      <w:r w:rsidRPr="009C69FE">
        <w:rPr>
          <w:rFonts w:cs="Arial"/>
          <w:sz w:val="24"/>
          <w:szCs w:val="24"/>
        </w:rPr>
        <w:br/>
      </w:r>
      <w:r w:rsidRPr="009C69FE">
        <w:rPr>
          <w:rFonts w:cs="Arial"/>
          <w:sz w:val="24"/>
          <w:szCs w:val="24"/>
        </w:rPr>
        <w:br/>
        <w:t>CIM is similar – courts or tribunals of a Member State designated by agreement or where the defendant has his domicile or habitual residence or the place w</w:t>
      </w:r>
      <w:r w:rsidR="001D0BF5" w:rsidRPr="009C69FE">
        <w:rPr>
          <w:rFonts w:cs="Arial"/>
          <w:sz w:val="24"/>
          <w:szCs w:val="24"/>
        </w:rPr>
        <w:t>h</w:t>
      </w:r>
      <w:r w:rsidRPr="009C69FE">
        <w:rPr>
          <w:rFonts w:cs="Arial"/>
          <w:sz w:val="24"/>
          <w:szCs w:val="24"/>
        </w:rPr>
        <w:t xml:space="preserve">ere the goods were taken over by the carrier or the place designated for delivery (art.46).  </w:t>
      </w:r>
      <w:r w:rsidRPr="009C69FE">
        <w:rPr>
          <w:rFonts w:cs="Arial"/>
          <w:sz w:val="24"/>
          <w:szCs w:val="24"/>
        </w:rPr>
        <w:br/>
      </w:r>
      <w:r w:rsidRPr="009C69FE">
        <w:rPr>
          <w:rFonts w:cs="Arial"/>
          <w:sz w:val="24"/>
          <w:szCs w:val="24"/>
        </w:rPr>
        <w:br/>
        <w:t xml:space="preserve">A point that has arisen particularly in respect of CMR has been the growing tendency for carriers who are anticipating a claim to start an action in their favoured jurisdiction for a declaration of non-liability.  The idea is to pre-empt a claim by the claimant in a different jurisdiction by taking advantage of the rule in art.31(2) which prohibits further action in another jurisdiction on the same grounds.  This possibility has been upheld by the English courts in </w:t>
      </w:r>
      <w:r w:rsidRPr="009C69FE">
        <w:rPr>
          <w:rFonts w:cs="Arial"/>
          <w:b/>
          <w:sz w:val="24"/>
          <w:szCs w:val="24"/>
        </w:rPr>
        <w:t xml:space="preserve">Andrea </w:t>
      </w:r>
      <w:proofErr w:type="spellStart"/>
      <w:r w:rsidRPr="009C69FE">
        <w:rPr>
          <w:rFonts w:cs="Arial"/>
          <w:b/>
          <w:sz w:val="24"/>
          <w:szCs w:val="24"/>
        </w:rPr>
        <w:t>Merzario</w:t>
      </w:r>
      <w:proofErr w:type="spellEnd"/>
      <w:r w:rsidRPr="009C69FE">
        <w:rPr>
          <w:rFonts w:cs="Arial"/>
          <w:b/>
          <w:sz w:val="24"/>
          <w:szCs w:val="24"/>
        </w:rPr>
        <w:t xml:space="preserve"> Ltd v. Int </w:t>
      </w:r>
      <w:proofErr w:type="spellStart"/>
      <w:r w:rsidRPr="009C69FE">
        <w:rPr>
          <w:rFonts w:cs="Arial"/>
          <w:b/>
          <w:sz w:val="24"/>
          <w:szCs w:val="24"/>
        </w:rPr>
        <w:t>Spedition</w:t>
      </w:r>
      <w:proofErr w:type="spellEnd"/>
      <w:r w:rsidRPr="009C69FE">
        <w:rPr>
          <w:rFonts w:cs="Arial"/>
          <w:b/>
          <w:sz w:val="24"/>
          <w:szCs w:val="24"/>
        </w:rPr>
        <w:t xml:space="preserve"> Leitner GmbH</w:t>
      </w:r>
      <w:r w:rsidRPr="009C69FE">
        <w:rPr>
          <w:rFonts w:cs="Arial"/>
          <w:sz w:val="24"/>
          <w:szCs w:val="24"/>
        </w:rPr>
        <w:t xml:space="preserve"> [2001] 1 Lloyd’s Rep. 490.</w:t>
      </w:r>
    </w:p>
    <w:p w14:paraId="699A77E3" w14:textId="4FC93C2A" w:rsidR="00FF67DA" w:rsidRPr="009C69FE" w:rsidRDefault="00E12137" w:rsidP="00FF67DA">
      <w:pPr>
        <w:rPr>
          <w:rFonts w:cs="Arial"/>
          <w:sz w:val="24"/>
          <w:szCs w:val="24"/>
        </w:rPr>
      </w:pPr>
      <w:r w:rsidRPr="009C69FE">
        <w:rPr>
          <w:rFonts w:cs="Arial"/>
          <w:b/>
          <w:sz w:val="24"/>
          <w:szCs w:val="24"/>
        </w:rPr>
        <w:t>3.10</w:t>
      </w:r>
      <w:r w:rsidR="00FF67DA" w:rsidRPr="009C69FE">
        <w:rPr>
          <w:rFonts w:cs="Arial"/>
          <w:b/>
          <w:sz w:val="24"/>
          <w:szCs w:val="24"/>
        </w:rPr>
        <w:t xml:space="preserve"> Other Rights and Liabilities</w:t>
      </w:r>
      <w:r w:rsidR="00FF67DA" w:rsidRPr="009C69FE">
        <w:rPr>
          <w:rFonts w:cs="Arial"/>
          <w:sz w:val="24"/>
          <w:szCs w:val="24"/>
        </w:rPr>
        <w:br/>
      </w:r>
      <w:r w:rsidR="00FF67DA" w:rsidRPr="009C69FE">
        <w:rPr>
          <w:rFonts w:cs="Arial"/>
          <w:sz w:val="24"/>
          <w:szCs w:val="24"/>
        </w:rPr>
        <w:br/>
        <w:t xml:space="preserve">Not all claims involve an action for loss, </w:t>
      </w:r>
      <w:proofErr w:type="gramStart"/>
      <w:r w:rsidR="00FF67DA" w:rsidRPr="009C69FE">
        <w:rPr>
          <w:rFonts w:cs="Arial"/>
          <w:sz w:val="24"/>
          <w:szCs w:val="24"/>
        </w:rPr>
        <w:t>damages</w:t>
      </w:r>
      <w:proofErr w:type="gramEnd"/>
      <w:r w:rsidR="00FF67DA" w:rsidRPr="009C69FE">
        <w:rPr>
          <w:rFonts w:cs="Arial"/>
          <w:sz w:val="24"/>
          <w:szCs w:val="24"/>
        </w:rPr>
        <w:t xml:space="preserve"> or delay to the goods.  CMR also regulates a claim for failing to collect a ‘cash on delivery’ charge where the carrier has agreed to do this (art.21).  Furthermore</w:t>
      </w:r>
      <w:r w:rsidR="001259CB">
        <w:rPr>
          <w:rFonts w:cs="Arial"/>
          <w:sz w:val="24"/>
          <w:szCs w:val="24"/>
        </w:rPr>
        <w:t>,</w:t>
      </w:r>
      <w:r w:rsidR="00FF67DA" w:rsidRPr="009C69FE">
        <w:rPr>
          <w:rFonts w:cs="Arial"/>
          <w:sz w:val="24"/>
          <w:szCs w:val="24"/>
        </w:rPr>
        <w:t xml:space="preserve"> the carrier may have a claim against the other contracting parties.  Although many aspects of the contractual right to freight are not regulated some aspects are, for example the time limit to sue.  Carriers also need rights such as the right to deal with goods left on their hands (see </w:t>
      </w:r>
      <w:proofErr w:type="gramStart"/>
      <w:r w:rsidR="00FF67DA" w:rsidRPr="009C69FE">
        <w:rPr>
          <w:rFonts w:cs="Arial"/>
          <w:sz w:val="24"/>
          <w:szCs w:val="24"/>
        </w:rPr>
        <w:t>e.g.</w:t>
      </w:r>
      <w:proofErr w:type="gramEnd"/>
      <w:r w:rsidR="00FF67DA" w:rsidRPr="009C69FE">
        <w:rPr>
          <w:rFonts w:cs="Arial"/>
          <w:sz w:val="24"/>
          <w:szCs w:val="24"/>
        </w:rPr>
        <w:t xml:space="preserve"> CMR art.16(2)).  In </w:t>
      </w:r>
      <w:r w:rsidR="004929CF" w:rsidRPr="009C69FE">
        <w:rPr>
          <w:rFonts w:cs="Arial"/>
          <w:sz w:val="24"/>
          <w:szCs w:val="24"/>
        </w:rPr>
        <w:t>addition,</w:t>
      </w:r>
      <w:r w:rsidR="00FF67DA" w:rsidRPr="009C69FE">
        <w:rPr>
          <w:rFonts w:cs="Arial"/>
          <w:sz w:val="24"/>
          <w:szCs w:val="24"/>
        </w:rPr>
        <w:t xml:space="preserve"> obligations are imposed on the sender or consignor in respect of providing accurate details on the consignment note (</w:t>
      </w:r>
      <w:proofErr w:type="gramStart"/>
      <w:r w:rsidR="00FF67DA" w:rsidRPr="009C69FE">
        <w:rPr>
          <w:rFonts w:cs="Arial"/>
          <w:sz w:val="24"/>
          <w:szCs w:val="24"/>
        </w:rPr>
        <w:t>e.g.</w:t>
      </w:r>
      <w:proofErr w:type="gramEnd"/>
      <w:r w:rsidR="00FF67DA" w:rsidRPr="009C69FE">
        <w:rPr>
          <w:rFonts w:cs="Arial"/>
          <w:sz w:val="24"/>
          <w:szCs w:val="24"/>
        </w:rPr>
        <w:t xml:space="preserve"> CMR art.7) or in ensuring that goods are packed so as not to cause damage to other goods or to the carrier’s equipment (e.g. CMR</w:t>
      </w:r>
      <w:r w:rsidR="002A33DB">
        <w:rPr>
          <w:rFonts w:cs="Arial"/>
          <w:sz w:val="24"/>
          <w:szCs w:val="24"/>
        </w:rPr>
        <w:t xml:space="preserve"> art.10).  There are also rules</w:t>
      </w:r>
      <w:r w:rsidR="004619F8">
        <w:rPr>
          <w:rFonts w:cs="Arial"/>
          <w:sz w:val="24"/>
          <w:szCs w:val="24"/>
        </w:rPr>
        <w:t xml:space="preserve"> requiring</w:t>
      </w:r>
      <w:r w:rsidR="002A33DB">
        <w:rPr>
          <w:rFonts w:cs="Arial"/>
          <w:sz w:val="24"/>
          <w:szCs w:val="24"/>
        </w:rPr>
        <w:t xml:space="preserve"> </w:t>
      </w:r>
      <w:r w:rsidR="00FF67DA" w:rsidRPr="009C69FE">
        <w:rPr>
          <w:rFonts w:cs="Arial"/>
          <w:sz w:val="24"/>
          <w:szCs w:val="24"/>
        </w:rPr>
        <w:t xml:space="preserve">the sender/consignor to give sufficient details of dangerous goods and to enable the carrier to destroy or otherwise deal with goods which he did not know were dangerous </w:t>
      </w:r>
      <w:r w:rsidR="00FF67DA" w:rsidRPr="009C69FE">
        <w:rPr>
          <w:rFonts w:cs="Arial"/>
          <w:sz w:val="24"/>
          <w:szCs w:val="24"/>
        </w:rPr>
        <w:lastRenderedPageBreak/>
        <w:t>(</w:t>
      </w:r>
      <w:proofErr w:type="gramStart"/>
      <w:r w:rsidR="00FF67DA" w:rsidRPr="009C69FE">
        <w:rPr>
          <w:rFonts w:cs="Arial"/>
          <w:sz w:val="24"/>
          <w:szCs w:val="24"/>
        </w:rPr>
        <w:t>e.g.</w:t>
      </w:r>
      <w:proofErr w:type="gramEnd"/>
      <w:r w:rsidR="00FF67DA" w:rsidRPr="009C69FE">
        <w:rPr>
          <w:rFonts w:cs="Arial"/>
          <w:sz w:val="24"/>
          <w:szCs w:val="24"/>
        </w:rPr>
        <w:t xml:space="preserve"> CMR art.22).</w:t>
      </w:r>
      <w:r w:rsidR="00E01EA6" w:rsidRPr="009C69FE">
        <w:rPr>
          <w:rFonts w:cs="Arial"/>
          <w:sz w:val="24"/>
          <w:szCs w:val="24"/>
        </w:rPr>
        <w:t xml:space="preserve"> Note the existence of the ADR agreement which provides regulations for the safe road carriage of dangerous goods.</w:t>
      </w:r>
      <w:r w:rsidR="00B11659" w:rsidRPr="009C69FE">
        <w:rPr>
          <w:rFonts w:cs="Arial"/>
          <w:sz w:val="24"/>
          <w:szCs w:val="24"/>
        </w:rPr>
        <w:t xml:space="preserve">  For CIM </w:t>
      </w:r>
      <w:r w:rsidR="00710C33" w:rsidRPr="009C69FE">
        <w:rPr>
          <w:rFonts w:cs="Arial"/>
          <w:sz w:val="24"/>
          <w:szCs w:val="24"/>
        </w:rPr>
        <w:t>note</w:t>
      </w:r>
      <w:r w:rsidR="00B11659" w:rsidRPr="009C69FE">
        <w:rPr>
          <w:rFonts w:cs="Arial"/>
          <w:sz w:val="24"/>
          <w:szCs w:val="24"/>
        </w:rPr>
        <w:t xml:space="preserve"> the RID</w:t>
      </w:r>
      <w:r w:rsidR="00710C33" w:rsidRPr="009C69FE">
        <w:rPr>
          <w:rFonts w:cs="Arial"/>
          <w:sz w:val="24"/>
          <w:szCs w:val="24"/>
        </w:rPr>
        <w:t xml:space="preserve"> regulations in Appendix C to COTIF.</w:t>
      </w:r>
      <w:r w:rsidR="00FF67DA" w:rsidRPr="009C69FE">
        <w:rPr>
          <w:rFonts w:cs="Arial"/>
          <w:sz w:val="24"/>
          <w:szCs w:val="24"/>
        </w:rPr>
        <w:br/>
      </w:r>
      <w:r w:rsidR="00FF67DA" w:rsidRPr="009C69FE">
        <w:rPr>
          <w:rFonts w:cs="Arial"/>
          <w:sz w:val="24"/>
          <w:szCs w:val="24"/>
        </w:rPr>
        <w:br/>
      </w:r>
      <w:r w:rsidRPr="009C69FE">
        <w:rPr>
          <w:rFonts w:cs="Arial"/>
          <w:b/>
          <w:sz w:val="24"/>
          <w:szCs w:val="24"/>
        </w:rPr>
        <w:t>3.11</w:t>
      </w:r>
      <w:r w:rsidR="00FF67DA" w:rsidRPr="009C69FE">
        <w:rPr>
          <w:rFonts w:cs="Arial"/>
          <w:b/>
          <w:sz w:val="24"/>
          <w:szCs w:val="24"/>
        </w:rPr>
        <w:t xml:space="preserve"> Restrictions on Freedom of Contract</w:t>
      </w:r>
    </w:p>
    <w:p w14:paraId="65F62750" w14:textId="77777777" w:rsidR="00FF67DA" w:rsidRPr="009C69FE" w:rsidRDefault="00FF67DA" w:rsidP="00FF67DA">
      <w:pPr>
        <w:rPr>
          <w:rFonts w:cs="Arial"/>
          <w:sz w:val="24"/>
          <w:szCs w:val="24"/>
        </w:rPr>
      </w:pPr>
      <w:r w:rsidRPr="009C69FE">
        <w:rPr>
          <w:rFonts w:cs="Arial"/>
          <w:sz w:val="24"/>
          <w:szCs w:val="24"/>
        </w:rPr>
        <w:t xml:space="preserve">Apart from where the conventions permit agreement altering the effect of the rules, such as </w:t>
      </w:r>
      <w:proofErr w:type="gramStart"/>
      <w:r w:rsidRPr="009C69FE">
        <w:rPr>
          <w:rFonts w:cs="Arial"/>
          <w:sz w:val="24"/>
          <w:szCs w:val="24"/>
        </w:rPr>
        <w:t>e.g.</w:t>
      </w:r>
      <w:proofErr w:type="gramEnd"/>
      <w:r w:rsidRPr="009C69FE">
        <w:rPr>
          <w:rFonts w:cs="Arial"/>
          <w:sz w:val="24"/>
          <w:szCs w:val="24"/>
        </w:rPr>
        <w:t xml:space="preserve"> a declaration of value in excess of the limit of liability, since these conventions impose mandatory rules they will contain provisions restricting the freedom of the parties from departing from the conventional scheme by agreement.</w:t>
      </w:r>
    </w:p>
    <w:p w14:paraId="2F4F1ED3" w14:textId="77777777" w:rsidR="00E01EA6" w:rsidRDefault="00FF67DA" w:rsidP="004C6064">
      <w:pPr>
        <w:rPr>
          <w:rFonts w:cs="Arial"/>
          <w:sz w:val="24"/>
          <w:szCs w:val="24"/>
        </w:rPr>
      </w:pPr>
      <w:r w:rsidRPr="009C69FE">
        <w:rPr>
          <w:rFonts w:cs="Arial"/>
          <w:sz w:val="24"/>
          <w:szCs w:val="24"/>
        </w:rPr>
        <w:t>In the case of CMR both parties are prohibited from departing from the rules unless a particular rule permits it (art.41</w:t>
      </w:r>
      <w:r w:rsidR="00E9336E" w:rsidRPr="009C69FE">
        <w:rPr>
          <w:rFonts w:cs="Arial"/>
          <w:sz w:val="24"/>
          <w:szCs w:val="24"/>
        </w:rPr>
        <w:t>(1): “...any stipulation which would directly or indirectly derogate from the provisions of this Convention shall be null and void.”</w:t>
      </w:r>
      <w:r w:rsidRPr="009C69FE">
        <w:rPr>
          <w:rFonts w:cs="Arial"/>
          <w:sz w:val="24"/>
          <w:szCs w:val="24"/>
        </w:rPr>
        <w:t>).  The same is provided by article 5 of CIM although it goes on to state that the carrier may assume a liability greater and obligations more burdensome than those provided in the rules.</w:t>
      </w:r>
    </w:p>
    <w:p w14:paraId="095E5AAC" w14:textId="5411DDED" w:rsidR="00557E22" w:rsidRDefault="00842BCD" w:rsidP="004C6064">
      <w:pPr>
        <w:rPr>
          <w:rFonts w:cs="Arial"/>
          <w:b/>
          <w:bCs/>
          <w:sz w:val="24"/>
          <w:szCs w:val="24"/>
        </w:rPr>
      </w:pPr>
      <w:r w:rsidRPr="00842BCD">
        <w:rPr>
          <w:rFonts w:cs="Arial"/>
          <w:b/>
          <w:bCs/>
          <w:sz w:val="24"/>
          <w:szCs w:val="24"/>
        </w:rPr>
        <w:t xml:space="preserve">Q </w:t>
      </w:r>
      <w:r w:rsidR="00E25A3C">
        <w:rPr>
          <w:rFonts w:cs="Arial"/>
          <w:b/>
          <w:bCs/>
          <w:sz w:val="24"/>
          <w:szCs w:val="24"/>
        </w:rPr>
        <w:t>5</w:t>
      </w:r>
      <w:r w:rsidRPr="00842BCD">
        <w:rPr>
          <w:rFonts w:cs="Arial"/>
          <w:b/>
          <w:bCs/>
          <w:sz w:val="24"/>
          <w:szCs w:val="24"/>
        </w:rPr>
        <w:t xml:space="preserve"> </w:t>
      </w:r>
      <w:r w:rsidR="00557E22" w:rsidRPr="00842BCD">
        <w:rPr>
          <w:rFonts w:cs="Arial"/>
          <w:b/>
          <w:bCs/>
          <w:sz w:val="24"/>
          <w:szCs w:val="24"/>
        </w:rPr>
        <w:t>Why do you think CMR and CIM have taken a different approach towards terms increasing the liability of the carrier?</w:t>
      </w:r>
    </w:p>
    <w:p w14:paraId="25FCBE61" w14:textId="77777777" w:rsidR="00114C85" w:rsidRPr="00842BCD" w:rsidRDefault="00114C85" w:rsidP="004C6064">
      <w:pPr>
        <w:rPr>
          <w:rFonts w:cs="Arial"/>
          <w:b/>
          <w:bCs/>
          <w:sz w:val="24"/>
          <w:szCs w:val="24"/>
        </w:rPr>
      </w:pPr>
    </w:p>
    <w:p w14:paraId="03C9400B" w14:textId="542E5A75" w:rsidR="004C6064" w:rsidRPr="00114C85" w:rsidRDefault="00E12137" w:rsidP="004C6064">
      <w:pPr>
        <w:rPr>
          <w:rFonts w:cs="Arial"/>
          <w:sz w:val="28"/>
          <w:szCs w:val="28"/>
        </w:rPr>
      </w:pPr>
      <w:r w:rsidRPr="00114C85">
        <w:rPr>
          <w:rFonts w:cs="Arial"/>
          <w:b/>
          <w:sz w:val="28"/>
          <w:szCs w:val="28"/>
        </w:rPr>
        <w:t>4</w:t>
      </w:r>
      <w:r w:rsidR="00832BFB" w:rsidRPr="00114C85">
        <w:rPr>
          <w:rFonts w:cs="Arial"/>
          <w:b/>
          <w:sz w:val="28"/>
          <w:szCs w:val="28"/>
        </w:rPr>
        <w:t xml:space="preserve"> </w:t>
      </w:r>
      <w:r w:rsidR="006C019D" w:rsidRPr="00114C85">
        <w:rPr>
          <w:rFonts w:cs="Arial"/>
          <w:b/>
          <w:sz w:val="28"/>
          <w:szCs w:val="28"/>
        </w:rPr>
        <w:t xml:space="preserve">The challenge of </w:t>
      </w:r>
      <w:r w:rsidR="00E01EA6" w:rsidRPr="00114C85">
        <w:rPr>
          <w:rFonts w:cs="Arial"/>
          <w:b/>
          <w:sz w:val="28"/>
          <w:szCs w:val="28"/>
        </w:rPr>
        <w:t>Multimodal Transport</w:t>
      </w:r>
    </w:p>
    <w:p w14:paraId="5AAAAB61" w14:textId="77777777" w:rsidR="004C6064" w:rsidRPr="009C69FE" w:rsidRDefault="00E12137" w:rsidP="004C6064">
      <w:pPr>
        <w:rPr>
          <w:rFonts w:cs="Arial"/>
          <w:sz w:val="24"/>
          <w:szCs w:val="24"/>
        </w:rPr>
      </w:pPr>
      <w:r w:rsidRPr="009C69FE">
        <w:rPr>
          <w:rFonts w:cs="Arial"/>
          <w:b/>
          <w:sz w:val="24"/>
          <w:szCs w:val="24"/>
        </w:rPr>
        <w:t>4.1</w:t>
      </w:r>
      <w:r w:rsidRPr="009C69FE">
        <w:rPr>
          <w:rFonts w:cs="Arial"/>
          <w:sz w:val="24"/>
          <w:szCs w:val="24"/>
        </w:rPr>
        <w:t xml:space="preserve"> </w:t>
      </w:r>
      <w:r w:rsidR="004C6064" w:rsidRPr="009C69FE">
        <w:rPr>
          <w:rFonts w:cs="Arial"/>
          <w:sz w:val="24"/>
          <w:szCs w:val="24"/>
        </w:rPr>
        <w:t>Clearly the challenge of multimodal transport is the fact that different modes of transport are often governed by different rules</w:t>
      </w:r>
      <w:r w:rsidR="004160FF" w:rsidRPr="009C69FE">
        <w:rPr>
          <w:rFonts w:cs="Arial"/>
          <w:sz w:val="24"/>
          <w:szCs w:val="24"/>
        </w:rPr>
        <w:t xml:space="preserve"> especially in international carriage.   CMR and CIM both</w:t>
      </w:r>
      <w:r w:rsidR="004C6064" w:rsidRPr="009C69FE">
        <w:rPr>
          <w:rFonts w:cs="Arial"/>
          <w:sz w:val="24"/>
          <w:szCs w:val="24"/>
        </w:rPr>
        <w:t xml:space="preserve"> contain provisions dealing with some forms of combined transport</w:t>
      </w:r>
      <w:r w:rsidR="00557E22">
        <w:rPr>
          <w:rFonts w:cs="Arial"/>
          <w:sz w:val="24"/>
          <w:szCs w:val="24"/>
        </w:rPr>
        <w:t>,</w:t>
      </w:r>
      <w:r w:rsidR="004C6064" w:rsidRPr="009C69FE">
        <w:rPr>
          <w:rFonts w:cs="Arial"/>
          <w:sz w:val="24"/>
          <w:szCs w:val="24"/>
        </w:rPr>
        <w:t xml:space="preserve"> but they are limited and will be outlined below.  Outside of these specific provisions there is the more general question of whether and how they apply when only part of the movement falls within their scope.  </w:t>
      </w:r>
      <w:r w:rsidR="00627573" w:rsidRPr="009C69FE">
        <w:rPr>
          <w:rFonts w:cs="Arial"/>
          <w:sz w:val="24"/>
          <w:szCs w:val="24"/>
        </w:rPr>
        <w:t>We can use the discussion here to start to raise wider multimodal issues.</w:t>
      </w:r>
    </w:p>
    <w:p w14:paraId="607D89B8" w14:textId="617BB895" w:rsidR="00627573" w:rsidRDefault="00627573" w:rsidP="004C6064">
      <w:pPr>
        <w:rPr>
          <w:rFonts w:cs="Arial"/>
          <w:sz w:val="24"/>
          <w:szCs w:val="24"/>
        </w:rPr>
      </w:pPr>
      <w:r w:rsidRPr="009C69FE">
        <w:rPr>
          <w:rFonts w:cs="Arial"/>
          <w:sz w:val="24"/>
          <w:szCs w:val="24"/>
        </w:rPr>
        <w:t>As noted earlier there are no widely adopted international rules governing multimodal transport in general.  I</w:t>
      </w:r>
      <w:r w:rsidR="004C6064" w:rsidRPr="009C69FE">
        <w:rPr>
          <w:rFonts w:cs="Arial"/>
          <w:sz w:val="24"/>
          <w:szCs w:val="24"/>
        </w:rPr>
        <w:t>nte</w:t>
      </w:r>
      <w:r w:rsidRPr="009C69FE">
        <w:rPr>
          <w:rFonts w:cs="Arial"/>
          <w:sz w:val="24"/>
          <w:szCs w:val="24"/>
        </w:rPr>
        <w:t xml:space="preserve">rnational efforts have been made </w:t>
      </w:r>
      <w:r w:rsidR="004619F8">
        <w:rPr>
          <w:rFonts w:cs="Arial"/>
          <w:sz w:val="24"/>
          <w:szCs w:val="24"/>
        </w:rPr>
        <w:t xml:space="preserve">to </w:t>
      </w:r>
      <w:r w:rsidRPr="009C69FE">
        <w:rPr>
          <w:rFonts w:cs="Arial"/>
          <w:sz w:val="24"/>
          <w:szCs w:val="24"/>
        </w:rPr>
        <w:t xml:space="preserve">produce </w:t>
      </w:r>
      <w:r w:rsidR="0021438F">
        <w:rPr>
          <w:rFonts w:cs="Arial"/>
          <w:sz w:val="24"/>
          <w:szCs w:val="24"/>
        </w:rPr>
        <w:t>them,</w:t>
      </w:r>
      <w:r w:rsidRPr="009C69FE">
        <w:rPr>
          <w:rFonts w:cs="Arial"/>
          <w:sz w:val="24"/>
          <w:szCs w:val="24"/>
        </w:rPr>
        <w:t xml:space="preserve"> but </w:t>
      </w:r>
      <w:r w:rsidR="004C6064" w:rsidRPr="009C69FE">
        <w:rPr>
          <w:rFonts w:cs="Arial"/>
          <w:sz w:val="24"/>
          <w:szCs w:val="24"/>
        </w:rPr>
        <w:t xml:space="preserve">they have </w:t>
      </w:r>
      <w:r w:rsidRPr="009C69FE">
        <w:rPr>
          <w:rFonts w:cs="Arial"/>
          <w:sz w:val="24"/>
          <w:szCs w:val="24"/>
        </w:rPr>
        <w:t xml:space="preserve">either </w:t>
      </w:r>
      <w:r w:rsidR="004C6064" w:rsidRPr="009C69FE">
        <w:rPr>
          <w:rFonts w:cs="Arial"/>
          <w:sz w:val="24"/>
          <w:szCs w:val="24"/>
        </w:rPr>
        <w:t xml:space="preserve">not been </w:t>
      </w:r>
      <w:r w:rsidRPr="009C69FE">
        <w:rPr>
          <w:rFonts w:cs="Arial"/>
          <w:sz w:val="24"/>
          <w:szCs w:val="24"/>
        </w:rPr>
        <w:t>adopted or are not yet in force.  They</w:t>
      </w:r>
      <w:r w:rsidR="004C6064" w:rsidRPr="009C69FE">
        <w:rPr>
          <w:rFonts w:cs="Arial"/>
          <w:sz w:val="24"/>
          <w:szCs w:val="24"/>
        </w:rPr>
        <w:t xml:space="preserve"> have</w:t>
      </w:r>
      <w:r w:rsidRPr="009C69FE">
        <w:rPr>
          <w:rFonts w:cs="Arial"/>
          <w:sz w:val="24"/>
          <w:szCs w:val="24"/>
        </w:rPr>
        <w:t>, however,</w:t>
      </w:r>
      <w:r w:rsidR="004C6064" w:rsidRPr="009C69FE">
        <w:rPr>
          <w:rFonts w:cs="Arial"/>
          <w:sz w:val="24"/>
          <w:szCs w:val="24"/>
        </w:rPr>
        <w:t xml:space="preserve"> influenced </w:t>
      </w:r>
      <w:r w:rsidRPr="009C69FE">
        <w:rPr>
          <w:rFonts w:cs="Arial"/>
          <w:sz w:val="24"/>
          <w:szCs w:val="24"/>
        </w:rPr>
        <w:t xml:space="preserve">some major </w:t>
      </w:r>
      <w:r w:rsidR="004C6064" w:rsidRPr="009C69FE">
        <w:rPr>
          <w:rFonts w:cs="Arial"/>
          <w:sz w:val="24"/>
          <w:szCs w:val="24"/>
        </w:rPr>
        <w:t xml:space="preserve">commercial efforts to provide contractual solutions to the problems posed by a combination of modes.  </w:t>
      </w:r>
    </w:p>
    <w:p w14:paraId="17E84DE5" w14:textId="77777777" w:rsidR="00737073" w:rsidRPr="007D2231" w:rsidRDefault="00737073" w:rsidP="00737073">
      <w:pPr>
        <w:rPr>
          <w:rFonts w:cstheme="minorHAnsi"/>
          <w:sz w:val="24"/>
          <w:szCs w:val="24"/>
        </w:rPr>
      </w:pPr>
      <w:r w:rsidRPr="007D2231">
        <w:rPr>
          <w:rFonts w:cstheme="minorHAnsi"/>
          <w:sz w:val="24"/>
          <w:szCs w:val="24"/>
        </w:rPr>
        <w:t xml:space="preserve">In the absence of a fully operational multimodal transport convention, it is necessary to focus initially on the possibility that a multimodal contract might be governed either wholly or in part by a modal convention.  This possibility must be </w:t>
      </w:r>
      <w:proofErr w:type="gramStart"/>
      <w:r w:rsidRPr="007D2231">
        <w:rPr>
          <w:rFonts w:cstheme="minorHAnsi"/>
          <w:sz w:val="24"/>
          <w:szCs w:val="24"/>
        </w:rPr>
        <w:t>taken into account</w:t>
      </w:r>
      <w:proofErr w:type="gramEnd"/>
      <w:r w:rsidRPr="007D2231">
        <w:rPr>
          <w:rFonts w:cstheme="minorHAnsi"/>
          <w:sz w:val="24"/>
          <w:szCs w:val="24"/>
        </w:rPr>
        <w:t xml:space="preserve">:  </w:t>
      </w:r>
    </w:p>
    <w:p w14:paraId="4600FC05" w14:textId="77777777" w:rsidR="00737073" w:rsidRPr="007D2231" w:rsidRDefault="00737073" w:rsidP="00737073">
      <w:pPr>
        <w:rPr>
          <w:rFonts w:cstheme="minorHAnsi"/>
          <w:sz w:val="24"/>
          <w:szCs w:val="24"/>
        </w:rPr>
      </w:pPr>
      <w:proofErr w:type="spellStart"/>
      <w:r w:rsidRPr="007D2231">
        <w:rPr>
          <w:rFonts w:cstheme="minorHAnsi"/>
          <w:b/>
          <w:bCs/>
          <w:sz w:val="24"/>
          <w:szCs w:val="24"/>
        </w:rPr>
        <w:t>i</w:t>
      </w:r>
      <w:proofErr w:type="spellEnd"/>
      <w:r w:rsidRPr="007D2231">
        <w:rPr>
          <w:rFonts w:cstheme="minorHAnsi"/>
          <w:b/>
          <w:bCs/>
          <w:sz w:val="24"/>
          <w:szCs w:val="24"/>
        </w:rPr>
        <w:t>)</w:t>
      </w:r>
      <w:r w:rsidRPr="007D2231">
        <w:rPr>
          <w:rFonts w:cstheme="minorHAnsi"/>
          <w:sz w:val="24"/>
          <w:szCs w:val="24"/>
        </w:rPr>
        <w:t xml:space="preserve"> when parties make multimodal transport contracts under current conditions and </w:t>
      </w:r>
    </w:p>
    <w:p w14:paraId="2ED11DA4" w14:textId="77777777" w:rsidR="00737073" w:rsidRPr="007D2231" w:rsidRDefault="00737073" w:rsidP="00737073">
      <w:pPr>
        <w:autoSpaceDE w:val="0"/>
        <w:autoSpaceDN w:val="0"/>
        <w:adjustRightInd w:val="0"/>
        <w:rPr>
          <w:rFonts w:cstheme="minorHAnsi"/>
          <w:sz w:val="24"/>
          <w:szCs w:val="24"/>
        </w:rPr>
      </w:pPr>
      <w:r w:rsidRPr="007D2231">
        <w:rPr>
          <w:rFonts w:cstheme="minorHAnsi"/>
          <w:b/>
          <w:bCs/>
          <w:sz w:val="24"/>
          <w:szCs w:val="24"/>
        </w:rPr>
        <w:t>ii)</w:t>
      </w:r>
      <w:r w:rsidRPr="007D2231">
        <w:rPr>
          <w:rFonts w:cstheme="minorHAnsi"/>
          <w:sz w:val="24"/>
          <w:szCs w:val="24"/>
        </w:rPr>
        <w:t xml:space="preserve"> by legislators when considering what rules to make for the regulation of these contracts – especially by bodies seeking to establish rules for global application. </w:t>
      </w:r>
    </w:p>
    <w:p w14:paraId="276ADD8B" w14:textId="77777777" w:rsidR="00737073" w:rsidRPr="007D2231" w:rsidRDefault="00737073" w:rsidP="00737073">
      <w:pPr>
        <w:rPr>
          <w:rFonts w:cstheme="minorHAnsi"/>
          <w:sz w:val="24"/>
          <w:szCs w:val="24"/>
        </w:rPr>
      </w:pPr>
      <w:r w:rsidRPr="007D2231">
        <w:rPr>
          <w:rFonts w:cstheme="minorHAnsi"/>
          <w:b/>
          <w:bCs/>
          <w:sz w:val="24"/>
          <w:szCs w:val="24"/>
        </w:rPr>
        <w:t>4.1.1</w:t>
      </w:r>
      <w:r w:rsidRPr="007D2231">
        <w:rPr>
          <w:rFonts w:cstheme="minorHAnsi"/>
          <w:sz w:val="24"/>
          <w:szCs w:val="24"/>
        </w:rPr>
        <w:t xml:space="preserve"> Starting with the impact on contracts keep in mind that when making multimodal transport contracts with customers, operators </w:t>
      </w:r>
      <w:r>
        <w:rPr>
          <w:rFonts w:cstheme="minorHAnsi"/>
          <w:sz w:val="24"/>
          <w:szCs w:val="24"/>
        </w:rPr>
        <w:t xml:space="preserve">(the MTO) </w:t>
      </w:r>
      <w:r w:rsidRPr="007D2231">
        <w:rPr>
          <w:rFonts w:cstheme="minorHAnsi"/>
          <w:sz w:val="24"/>
          <w:szCs w:val="24"/>
        </w:rPr>
        <w:t xml:space="preserve">try to achieve a good balance of risk making use of exclusion and limitation clauses.  Other protective clauses for the </w:t>
      </w:r>
      <w:r w:rsidRPr="007D2231">
        <w:rPr>
          <w:rFonts w:cstheme="minorHAnsi"/>
          <w:sz w:val="24"/>
          <w:szCs w:val="24"/>
        </w:rPr>
        <w:lastRenderedPageBreak/>
        <w:t xml:space="preserve">operator will be included, as with any contract, to ensure e.g., that payment is made on time and to give the operator rights over the goods – such as a lien – in order to secure payment or to protect the carrier if the goods are dangerous or if claims are made against the carrier which upsets the balance of risk in the contract. </w:t>
      </w:r>
      <w:r w:rsidRPr="007D2231">
        <w:rPr>
          <w:rFonts w:cstheme="minorHAnsi"/>
          <w:sz w:val="24"/>
          <w:szCs w:val="24"/>
        </w:rPr>
        <w:br/>
      </w:r>
      <w:r w:rsidRPr="007D2231">
        <w:rPr>
          <w:rFonts w:cstheme="minorHAnsi"/>
          <w:sz w:val="24"/>
          <w:szCs w:val="24"/>
        </w:rPr>
        <w:br/>
        <w:t xml:space="preserve">The operator also needs freedom of choice to take advantage of the flexibility container transport can provide in determining the route and means of transport.  Consequently, it is usual to see a clause such as that in </w:t>
      </w:r>
      <w:proofErr w:type="spellStart"/>
      <w:r w:rsidRPr="007D2231">
        <w:rPr>
          <w:rFonts w:cstheme="minorHAnsi"/>
          <w:sz w:val="24"/>
          <w:szCs w:val="24"/>
        </w:rPr>
        <w:t>Combiconbill</w:t>
      </w:r>
      <w:proofErr w:type="spellEnd"/>
      <w:r w:rsidRPr="007D2231">
        <w:rPr>
          <w:rFonts w:cstheme="minorHAnsi"/>
          <w:sz w:val="24"/>
          <w:szCs w:val="24"/>
        </w:rPr>
        <w:t xml:space="preserve"> 2016 (see below) which states (cl 6.1) that the carrier is entitled to perform the transport and all services related thereto in any reasonable manner and by any reasonable means, </w:t>
      </w:r>
      <w:proofErr w:type="gramStart"/>
      <w:r w:rsidRPr="007D2231">
        <w:rPr>
          <w:rFonts w:cstheme="minorHAnsi"/>
          <w:sz w:val="24"/>
          <w:szCs w:val="24"/>
        </w:rPr>
        <w:t>methods</w:t>
      </w:r>
      <w:proofErr w:type="gramEnd"/>
      <w:r w:rsidRPr="007D2231">
        <w:rPr>
          <w:rFonts w:cstheme="minorHAnsi"/>
          <w:sz w:val="24"/>
          <w:szCs w:val="24"/>
        </w:rPr>
        <w:t xml:space="preserve"> or routes.  This seeks to prevent any liability for deviation.</w:t>
      </w:r>
    </w:p>
    <w:p w14:paraId="49C1E37B" w14:textId="77777777" w:rsidR="00737073" w:rsidRPr="007D2231" w:rsidRDefault="00737073" w:rsidP="00737073">
      <w:pPr>
        <w:rPr>
          <w:rFonts w:cstheme="minorHAnsi"/>
          <w:sz w:val="24"/>
          <w:szCs w:val="24"/>
        </w:rPr>
      </w:pPr>
      <w:r w:rsidRPr="007D2231">
        <w:rPr>
          <w:rFonts w:cstheme="minorHAnsi"/>
          <w:sz w:val="24"/>
          <w:szCs w:val="24"/>
        </w:rPr>
        <w:t>However, the basic control of liability for loss, damage and delay is a major concern of contracts so that operators can keep the level of risk and consequent liability insurance cost as low as possible</w:t>
      </w:r>
      <w:r>
        <w:rPr>
          <w:rFonts w:ascii="Arial" w:hAnsi="Arial" w:cs="Arial"/>
        </w:rPr>
        <w:t xml:space="preserve">.  </w:t>
      </w:r>
    </w:p>
    <w:p w14:paraId="2E40B230" w14:textId="77777777" w:rsidR="00737073" w:rsidRPr="007D2231" w:rsidRDefault="00737073" w:rsidP="00737073">
      <w:pPr>
        <w:rPr>
          <w:rFonts w:cstheme="minorHAnsi"/>
          <w:sz w:val="24"/>
          <w:szCs w:val="24"/>
        </w:rPr>
      </w:pPr>
      <w:r w:rsidRPr="007D2231">
        <w:rPr>
          <w:rFonts w:cstheme="minorHAnsi"/>
          <w:b/>
          <w:bCs/>
          <w:sz w:val="24"/>
          <w:szCs w:val="24"/>
        </w:rPr>
        <w:t>4.1.2</w:t>
      </w:r>
      <w:r w:rsidRPr="007D2231">
        <w:rPr>
          <w:rFonts w:cstheme="minorHAnsi"/>
          <w:sz w:val="24"/>
          <w:szCs w:val="24"/>
        </w:rPr>
        <w:t xml:space="preserve"> Three factors are relevant: </w:t>
      </w:r>
    </w:p>
    <w:p w14:paraId="0300A060" w14:textId="77777777" w:rsidR="00737073" w:rsidRPr="007D2231" w:rsidRDefault="00737073" w:rsidP="00737073">
      <w:pPr>
        <w:rPr>
          <w:rFonts w:cstheme="minorHAnsi"/>
          <w:sz w:val="24"/>
          <w:szCs w:val="24"/>
        </w:rPr>
      </w:pPr>
      <w:r w:rsidRPr="007D2231">
        <w:rPr>
          <w:rFonts w:cstheme="minorHAnsi"/>
          <w:b/>
          <w:bCs/>
          <w:sz w:val="24"/>
          <w:szCs w:val="24"/>
        </w:rPr>
        <w:t>1)</w:t>
      </w:r>
      <w:r w:rsidRPr="007D2231">
        <w:rPr>
          <w:rFonts w:cstheme="minorHAnsi"/>
          <w:sz w:val="24"/>
          <w:szCs w:val="24"/>
        </w:rPr>
        <w:t xml:space="preserve"> The possibility that one or more set of domestic or international rules will impose compulsory rules on the operator as </w:t>
      </w:r>
      <w:r>
        <w:rPr>
          <w:rFonts w:cstheme="minorHAnsi"/>
          <w:sz w:val="24"/>
          <w:szCs w:val="24"/>
        </w:rPr>
        <w:t xml:space="preserve">the </w:t>
      </w:r>
      <w:r w:rsidRPr="007D2231">
        <w:rPr>
          <w:rFonts w:cstheme="minorHAnsi"/>
          <w:sz w:val="24"/>
          <w:szCs w:val="24"/>
        </w:rPr>
        <w:t>contracting carrier and so limit its freedom of contract.  Not only would this prevent reliance on any provision in the contract restricting liability</w:t>
      </w:r>
      <w:r>
        <w:rPr>
          <w:rFonts w:cstheme="minorHAnsi"/>
          <w:sz w:val="24"/>
          <w:szCs w:val="24"/>
        </w:rPr>
        <w:t>,</w:t>
      </w:r>
      <w:r w:rsidRPr="007D2231">
        <w:rPr>
          <w:rFonts w:cstheme="minorHAnsi"/>
          <w:sz w:val="24"/>
          <w:szCs w:val="24"/>
        </w:rPr>
        <w:t xml:space="preserve"> there could also be a danger that a penalty might be imposed for having included the restricted clause or that the carrier might be deprived of the right to rely on any of the protective terms in its favour in the contract.</w:t>
      </w:r>
      <w:r w:rsidRPr="007D2231">
        <w:rPr>
          <w:rFonts w:cstheme="minorHAnsi"/>
          <w:sz w:val="24"/>
          <w:szCs w:val="24"/>
        </w:rPr>
        <w:br/>
      </w:r>
      <w:r w:rsidRPr="007D2231">
        <w:rPr>
          <w:rFonts w:cstheme="minorHAnsi"/>
          <w:sz w:val="24"/>
          <w:szCs w:val="24"/>
        </w:rPr>
        <w:br/>
      </w:r>
      <w:r w:rsidRPr="007D2231">
        <w:rPr>
          <w:rFonts w:cstheme="minorHAnsi"/>
          <w:b/>
          <w:bCs/>
          <w:sz w:val="24"/>
          <w:szCs w:val="24"/>
        </w:rPr>
        <w:t>2)</w:t>
      </w:r>
      <w:r w:rsidRPr="007D2231">
        <w:rPr>
          <w:rFonts w:cstheme="minorHAnsi"/>
          <w:sz w:val="24"/>
          <w:szCs w:val="24"/>
        </w:rPr>
        <w:t xml:space="preserve"> The extent to which the operator can match his liability with that of his subcontractors.  This is known as the operator’s recourse position.  The operator, as a carrier, will have a non-delegable duty (this is likely to be the case regardless of which law applies).  The contracting carrier will have its own contract with subcontractors.  If it pays compensation to its customer because of the fault of the sub-contractor, it does not want to recover less in seeking recourse from the subcontractor.  Consequently, it will try to match its liability to the customer with what it can recover from the sub-contractor.  Also, if compulsory rules apply to the subcontractor in its contract with the MTO there is less danger that the MTO will suffer a loss if it applies the same rule to its customer so that there is sense in matching up the liability.  The customer who wishes to avoid a restrictive clause in the multimodal transport contract might well be able to sue the sub-contractor to recover the amount allowed by the modal rules anyway which just complicates claims recovery, adds extra search costs and may result in the subcontractor seeking recovery from the MTO if there is a clause in their contract prohibiting claims made by persons other than the MTO.</w:t>
      </w:r>
    </w:p>
    <w:p w14:paraId="4A153A8C" w14:textId="77777777" w:rsidR="00737073" w:rsidRPr="007D2231" w:rsidRDefault="00737073" w:rsidP="00737073">
      <w:pPr>
        <w:rPr>
          <w:rFonts w:cstheme="minorHAnsi"/>
          <w:sz w:val="24"/>
          <w:szCs w:val="24"/>
        </w:rPr>
      </w:pPr>
      <w:r w:rsidRPr="007D2231">
        <w:rPr>
          <w:rFonts w:cstheme="minorHAnsi"/>
          <w:b/>
          <w:bCs/>
          <w:sz w:val="24"/>
          <w:szCs w:val="24"/>
        </w:rPr>
        <w:t>3)</w:t>
      </w:r>
      <w:r w:rsidRPr="007D2231">
        <w:rPr>
          <w:rFonts w:cstheme="minorHAnsi"/>
          <w:sz w:val="24"/>
          <w:szCs w:val="24"/>
        </w:rPr>
        <w:t xml:space="preserve"> Whether there is freedom of contract to deal with unconcealed loss or damage.   It may be difficult to determine at what stage loss or damage occurred to the goods.  This is especially the case with container transport.  In that case the MTO needs to know whether it can freely regulate liability through the contract or if this question might be regulated by rules applicable to the modes used.</w:t>
      </w:r>
    </w:p>
    <w:p w14:paraId="2B73E521" w14:textId="77777777" w:rsidR="00737073" w:rsidRPr="007D2231" w:rsidRDefault="00737073" w:rsidP="00737073">
      <w:pPr>
        <w:autoSpaceDE w:val="0"/>
        <w:autoSpaceDN w:val="0"/>
        <w:adjustRightInd w:val="0"/>
        <w:rPr>
          <w:rFonts w:cstheme="minorHAnsi"/>
          <w:sz w:val="24"/>
          <w:szCs w:val="24"/>
        </w:rPr>
      </w:pPr>
      <w:r w:rsidRPr="007D2231">
        <w:rPr>
          <w:rFonts w:cstheme="minorHAnsi"/>
          <w:b/>
          <w:bCs/>
          <w:sz w:val="24"/>
          <w:szCs w:val="24"/>
        </w:rPr>
        <w:t>4.1.3</w:t>
      </w:r>
      <w:r w:rsidRPr="007D2231">
        <w:rPr>
          <w:rFonts w:cstheme="minorHAnsi"/>
          <w:sz w:val="24"/>
          <w:szCs w:val="24"/>
        </w:rPr>
        <w:t xml:space="preserve"> At this point the potential impact that international modal conventions might have on multimodal contracts can be considered.  The provisions of such conventions have the potential to affect multimodal transport contracts both </w:t>
      </w:r>
      <w:proofErr w:type="spellStart"/>
      <w:r w:rsidRPr="007D2231">
        <w:rPr>
          <w:rFonts w:cstheme="minorHAnsi"/>
          <w:sz w:val="24"/>
          <w:szCs w:val="24"/>
        </w:rPr>
        <w:t>i</w:t>
      </w:r>
      <w:proofErr w:type="spellEnd"/>
      <w:r w:rsidRPr="007D2231">
        <w:rPr>
          <w:rFonts w:cstheme="minorHAnsi"/>
          <w:sz w:val="24"/>
          <w:szCs w:val="24"/>
        </w:rPr>
        <w:t>) directly and ii) indirectly.</w:t>
      </w:r>
    </w:p>
    <w:p w14:paraId="1829EC6C" w14:textId="7094EB2D" w:rsidR="00737073" w:rsidRPr="007D2231" w:rsidRDefault="00737073" w:rsidP="00737073">
      <w:pPr>
        <w:autoSpaceDE w:val="0"/>
        <w:autoSpaceDN w:val="0"/>
        <w:adjustRightInd w:val="0"/>
        <w:rPr>
          <w:rFonts w:cstheme="minorHAnsi"/>
          <w:sz w:val="24"/>
          <w:szCs w:val="24"/>
        </w:rPr>
      </w:pPr>
      <w:r w:rsidRPr="007D2231">
        <w:rPr>
          <w:rFonts w:cstheme="minorHAnsi"/>
          <w:b/>
          <w:bCs/>
          <w:sz w:val="24"/>
          <w:szCs w:val="24"/>
        </w:rPr>
        <w:lastRenderedPageBreak/>
        <w:t>1) Direct:</w:t>
      </w:r>
      <w:r w:rsidRPr="007D2231">
        <w:rPr>
          <w:rFonts w:cstheme="minorHAnsi"/>
          <w:sz w:val="24"/>
          <w:szCs w:val="24"/>
        </w:rPr>
        <w:t xml:space="preserve"> They have a potentially direct effect on a multimodal transport contract in two ways:</w:t>
      </w:r>
      <w:r w:rsidRPr="007D2231">
        <w:rPr>
          <w:rFonts w:cstheme="minorHAnsi"/>
          <w:sz w:val="24"/>
          <w:szCs w:val="24"/>
        </w:rPr>
        <w:br/>
      </w:r>
      <w:r w:rsidRPr="007D2231">
        <w:rPr>
          <w:rFonts w:cstheme="minorHAnsi"/>
          <w:b/>
          <w:bCs/>
          <w:sz w:val="24"/>
          <w:szCs w:val="24"/>
        </w:rPr>
        <w:t>a)</w:t>
      </w:r>
      <w:r w:rsidRPr="007D2231">
        <w:rPr>
          <w:rFonts w:cstheme="minorHAnsi"/>
          <w:sz w:val="24"/>
          <w:szCs w:val="24"/>
        </w:rPr>
        <w:t xml:space="preserve"> Some of these Conventions contain provisions which are intended to extend their operation to beyond their own mode in certain situations.</w:t>
      </w:r>
      <w:r w:rsidRPr="007D2231">
        <w:rPr>
          <w:rFonts w:cstheme="minorHAnsi"/>
          <w:sz w:val="24"/>
          <w:szCs w:val="24"/>
        </w:rPr>
        <w:br/>
      </w:r>
      <w:r w:rsidRPr="007D2231">
        <w:rPr>
          <w:rFonts w:cstheme="minorHAnsi"/>
          <w:b/>
          <w:bCs/>
          <w:sz w:val="24"/>
          <w:szCs w:val="24"/>
        </w:rPr>
        <w:t>b)</w:t>
      </w:r>
      <w:r w:rsidRPr="007D2231">
        <w:rPr>
          <w:rFonts w:cstheme="minorHAnsi"/>
          <w:sz w:val="24"/>
          <w:szCs w:val="24"/>
        </w:rPr>
        <w:t xml:space="preserve"> Some courts may be prepared to apply them to a multimodal contract where part of the total carriage falls within their scope.  </w:t>
      </w:r>
    </w:p>
    <w:p w14:paraId="3E63FD46" w14:textId="77DEEF7F" w:rsidR="00737073" w:rsidRPr="007D2231" w:rsidRDefault="00737073" w:rsidP="00737073">
      <w:pPr>
        <w:autoSpaceDE w:val="0"/>
        <w:autoSpaceDN w:val="0"/>
        <w:adjustRightInd w:val="0"/>
        <w:rPr>
          <w:rFonts w:cstheme="minorHAnsi"/>
          <w:sz w:val="24"/>
          <w:szCs w:val="24"/>
        </w:rPr>
      </w:pPr>
      <w:r w:rsidRPr="007D2231">
        <w:rPr>
          <w:rFonts w:cstheme="minorHAnsi"/>
          <w:b/>
          <w:bCs/>
          <w:sz w:val="24"/>
          <w:szCs w:val="24"/>
        </w:rPr>
        <w:t>2) Indirect:</w:t>
      </w:r>
      <w:r w:rsidRPr="007D2231">
        <w:rPr>
          <w:rFonts w:cstheme="minorHAnsi"/>
          <w:sz w:val="24"/>
          <w:szCs w:val="24"/>
        </w:rPr>
        <w:t xml:space="preserve"> They have a potential indirect effect also in two ways:</w:t>
      </w:r>
      <w:r w:rsidR="00A862E4">
        <w:rPr>
          <w:rFonts w:cstheme="minorHAnsi"/>
          <w:sz w:val="24"/>
          <w:szCs w:val="24"/>
        </w:rPr>
        <w:br/>
      </w:r>
      <w:r w:rsidRPr="007D2231">
        <w:rPr>
          <w:rFonts w:cstheme="minorHAnsi"/>
          <w:b/>
          <w:bCs/>
          <w:sz w:val="24"/>
          <w:szCs w:val="24"/>
        </w:rPr>
        <w:t>a)</w:t>
      </w:r>
      <w:r w:rsidRPr="007D2231">
        <w:rPr>
          <w:rFonts w:cstheme="minorHAnsi"/>
          <w:sz w:val="24"/>
          <w:szCs w:val="24"/>
        </w:rPr>
        <w:t xml:space="preserve"> They can apply to the contract of carriage made between the MTO and a subcontractor for a mode of transport.  As noted above this affects the recourse position of the MTO;</w:t>
      </w:r>
      <w:r w:rsidRPr="007D2231">
        <w:rPr>
          <w:rFonts w:cstheme="minorHAnsi"/>
          <w:sz w:val="24"/>
          <w:szCs w:val="24"/>
        </w:rPr>
        <w:br/>
      </w:r>
      <w:r w:rsidRPr="007D2231">
        <w:rPr>
          <w:rFonts w:cstheme="minorHAnsi"/>
          <w:b/>
          <w:bCs/>
          <w:sz w:val="24"/>
          <w:szCs w:val="24"/>
        </w:rPr>
        <w:t>b)</w:t>
      </w:r>
      <w:r w:rsidRPr="007D2231">
        <w:rPr>
          <w:rFonts w:cstheme="minorHAnsi"/>
          <w:sz w:val="24"/>
          <w:szCs w:val="24"/>
        </w:rPr>
        <w:t xml:space="preserve"> Under a national law it might be possible for the customer of the MTO to sue the subcontractor.  In this case some modal conventions may allow a subcontractor to rely on their provisions where the convention is applicable to his own contract with the MTO </w:t>
      </w:r>
      <w:r>
        <w:rPr>
          <w:rFonts w:cstheme="minorHAnsi"/>
          <w:sz w:val="24"/>
          <w:szCs w:val="24"/>
        </w:rPr>
        <w:t xml:space="preserve">(even if sued by someone other than that MTO see e.g., art.28(1) of CMR) </w:t>
      </w:r>
      <w:r w:rsidRPr="007D2231">
        <w:rPr>
          <w:rFonts w:cstheme="minorHAnsi"/>
          <w:sz w:val="24"/>
          <w:szCs w:val="24"/>
        </w:rPr>
        <w:t>or where the convention is applicable to the contract made by the MTO with his customer</w:t>
      </w:r>
      <w:r>
        <w:rPr>
          <w:rFonts w:cstheme="minorHAnsi"/>
          <w:sz w:val="24"/>
          <w:szCs w:val="24"/>
        </w:rPr>
        <w:t xml:space="preserve"> (see e.g., art 28(2) of CMR)</w:t>
      </w:r>
      <w:r w:rsidRPr="007D2231">
        <w:rPr>
          <w:rFonts w:cstheme="minorHAnsi"/>
          <w:sz w:val="24"/>
          <w:szCs w:val="24"/>
        </w:rPr>
        <w:t xml:space="preserve">.  By suing the sub-contractor, the customer would undermine the contract made with the contracting carrier especially if it were on different terms than the sub-contract.  </w:t>
      </w:r>
    </w:p>
    <w:p w14:paraId="1CF82F56" w14:textId="77777777" w:rsidR="00737073" w:rsidRPr="007D2231" w:rsidRDefault="00737073" w:rsidP="00737073">
      <w:pPr>
        <w:autoSpaceDE w:val="0"/>
        <w:autoSpaceDN w:val="0"/>
        <w:adjustRightInd w:val="0"/>
        <w:rPr>
          <w:rFonts w:cstheme="minorHAnsi"/>
          <w:sz w:val="24"/>
          <w:szCs w:val="24"/>
        </w:rPr>
      </w:pPr>
      <w:r w:rsidRPr="007D2231">
        <w:rPr>
          <w:rFonts w:cstheme="minorHAnsi"/>
          <w:sz w:val="24"/>
          <w:szCs w:val="24"/>
        </w:rPr>
        <w:t xml:space="preserve">We will look at these possibilities starting with those conventions which have an extended application to include some types of multimodal transport.  </w:t>
      </w:r>
      <w:r w:rsidRPr="007D2231">
        <w:rPr>
          <w:rFonts w:cstheme="minorHAnsi"/>
          <w:sz w:val="24"/>
          <w:szCs w:val="24"/>
        </w:rPr>
        <w:br/>
      </w:r>
      <w:r w:rsidRPr="007D2231">
        <w:rPr>
          <w:rFonts w:cstheme="minorHAnsi"/>
          <w:sz w:val="24"/>
          <w:szCs w:val="24"/>
        </w:rPr>
        <w:br/>
      </w:r>
      <w:r w:rsidRPr="007D2231">
        <w:rPr>
          <w:rFonts w:cstheme="minorHAnsi"/>
          <w:b/>
          <w:bCs/>
          <w:sz w:val="24"/>
          <w:szCs w:val="24"/>
        </w:rPr>
        <w:t>4.1.4</w:t>
      </w:r>
      <w:r w:rsidRPr="007D2231">
        <w:rPr>
          <w:rFonts w:cstheme="minorHAnsi"/>
          <w:sz w:val="24"/>
          <w:szCs w:val="24"/>
        </w:rPr>
        <w:t xml:space="preserve"> Before doing so, note that the </w:t>
      </w:r>
      <w:r w:rsidRPr="007D2231">
        <w:rPr>
          <w:rFonts w:cstheme="minorHAnsi"/>
          <w:b/>
          <w:bCs/>
          <w:sz w:val="24"/>
          <w:szCs w:val="24"/>
        </w:rPr>
        <w:t>application of these types of convention creating compulsory uniform liability rules depends both on which states are party to the convention and where a claim is brought.</w:t>
      </w:r>
      <w:r w:rsidRPr="007D2231">
        <w:rPr>
          <w:rFonts w:cstheme="minorHAnsi"/>
          <w:sz w:val="24"/>
          <w:szCs w:val="24"/>
        </w:rPr>
        <w:t xml:space="preserve">  Where a claim is brought in a contracting state and the facts are within the scope of the convention </w:t>
      </w:r>
      <w:r>
        <w:rPr>
          <w:rFonts w:cstheme="minorHAnsi"/>
          <w:sz w:val="24"/>
          <w:szCs w:val="24"/>
        </w:rPr>
        <w:t>then, as noted above, the</w:t>
      </w:r>
      <w:r w:rsidRPr="007D2231">
        <w:rPr>
          <w:rFonts w:cstheme="minorHAnsi"/>
          <w:sz w:val="24"/>
          <w:szCs w:val="24"/>
        </w:rPr>
        <w:t xml:space="preserve"> court </w:t>
      </w:r>
      <w:r>
        <w:rPr>
          <w:rFonts w:cstheme="minorHAnsi"/>
          <w:sz w:val="24"/>
          <w:szCs w:val="24"/>
        </w:rPr>
        <w:t>can</w:t>
      </w:r>
      <w:r w:rsidRPr="007D2231">
        <w:rPr>
          <w:rFonts w:cstheme="minorHAnsi"/>
          <w:sz w:val="24"/>
          <w:szCs w:val="24"/>
        </w:rPr>
        <w:t xml:space="preserve"> apply it as the law of the forum regardless of which law governs the contract (see for an English example of this in carriage of goods by sea the case of </w:t>
      </w:r>
      <w:r w:rsidRPr="007D2231">
        <w:rPr>
          <w:rFonts w:cstheme="minorHAnsi"/>
          <w:b/>
          <w:bCs/>
          <w:sz w:val="24"/>
          <w:szCs w:val="24"/>
        </w:rPr>
        <w:t xml:space="preserve">The </w:t>
      </w:r>
      <w:proofErr w:type="spellStart"/>
      <w:r w:rsidRPr="007D2231">
        <w:rPr>
          <w:rFonts w:cstheme="minorHAnsi"/>
          <w:b/>
          <w:bCs/>
          <w:sz w:val="24"/>
          <w:szCs w:val="24"/>
        </w:rPr>
        <w:t>Morviken</w:t>
      </w:r>
      <w:proofErr w:type="spellEnd"/>
      <w:r w:rsidRPr="007D2231">
        <w:rPr>
          <w:rFonts w:cstheme="minorHAnsi"/>
          <w:sz w:val="24"/>
          <w:szCs w:val="24"/>
        </w:rPr>
        <w:t xml:space="preserve">, </w:t>
      </w:r>
      <w:r w:rsidRPr="007D2231">
        <w:rPr>
          <w:rFonts w:cstheme="minorHAnsi"/>
          <w:color w:val="333333"/>
          <w:sz w:val="24"/>
          <w:szCs w:val="24"/>
          <w:shd w:val="clear" w:color="auto" w:fill="FFFFFF"/>
        </w:rPr>
        <w:t xml:space="preserve">[1983] 1 AC 565 </w:t>
      </w:r>
      <w:r w:rsidRPr="007D2231">
        <w:rPr>
          <w:rFonts w:cstheme="minorHAnsi"/>
          <w:sz w:val="24"/>
          <w:szCs w:val="24"/>
        </w:rPr>
        <w:t xml:space="preserve">where the court applied the Hague-Visby Rules even though the contract was governed by Dutch law for which the Hague Rules was the relevant convention). </w:t>
      </w:r>
      <w:r w:rsidRPr="007D2231">
        <w:rPr>
          <w:rFonts w:cstheme="minorHAnsi"/>
          <w:sz w:val="24"/>
          <w:szCs w:val="24"/>
        </w:rPr>
        <w:br/>
      </w:r>
    </w:p>
    <w:p w14:paraId="783CC5F6" w14:textId="77777777" w:rsidR="00737073" w:rsidRPr="007D2231" w:rsidRDefault="00737073" w:rsidP="00737073">
      <w:pPr>
        <w:autoSpaceDE w:val="0"/>
        <w:autoSpaceDN w:val="0"/>
        <w:adjustRightInd w:val="0"/>
        <w:rPr>
          <w:rFonts w:cstheme="minorHAnsi"/>
          <w:sz w:val="24"/>
          <w:szCs w:val="24"/>
        </w:rPr>
      </w:pPr>
      <w:r w:rsidRPr="007D2231">
        <w:rPr>
          <w:rFonts w:cstheme="minorHAnsi"/>
          <w:sz w:val="24"/>
          <w:szCs w:val="24"/>
        </w:rPr>
        <w:t xml:space="preserve">Where a claim is brought in a non-contracting state but falls within the scope of the convention the court of the non-contracting state may apply the convention where the law of the contract points to the law of a contracting state. </w:t>
      </w:r>
    </w:p>
    <w:p w14:paraId="2E814092" w14:textId="77777777" w:rsidR="001E5FE5" w:rsidRPr="009C69FE" w:rsidRDefault="001E5FE5" w:rsidP="004C6064">
      <w:pPr>
        <w:rPr>
          <w:rFonts w:cs="Arial"/>
          <w:sz w:val="24"/>
          <w:szCs w:val="24"/>
        </w:rPr>
      </w:pPr>
    </w:p>
    <w:p w14:paraId="4B193DBF" w14:textId="77777777" w:rsidR="00003AA9" w:rsidRPr="009C69FE" w:rsidRDefault="00E12137" w:rsidP="00003AA9">
      <w:pPr>
        <w:rPr>
          <w:rFonts w:cs="Arial"/>
          <w:sz w:val="24"/>
          <w:szCs w:val="24"/>
        </w:rPr>
      </w:pPr>
      <w:r w:rsidRPr="009C69FE">
        <w:rPr>
          <w:rFonts w:cs="Arial"/>
          <w:b/>
          <w:sz w:val="24"/>
          <w:szCs w:val="24"/>
        </w:rPr>
        <w:t>4.2</w:t>
      </w:r>
      <w:r w:rsidR="004C6064" w:rsidRPr="009C69FE">
        <w:rPr>
          <w:rFonts w:cs="Arial"/>
          <w:b/>
          <w:sz w:val="24"/>
          <w:szCs w:val="24"/>
        </w:rPr>
        <w:t xml:space="preserve"> Modal Convention Provisions</w:t>
      </w:r>
      <w:r w:rsidR="004C6064" w:rsidRPr="009C69FE">
        <w:rPr>
          <w:rFonts w:cs="Arial"/>
          <w:sz w:val="24"/>
          <w:szCs w:val="24"/>
        </w:rPr>
        <w:br/>
      </w:r>
      <w:r w:rsidR="00DB69E1" w:rsidRPr="009C69FE">
        <w:rPr>
          <w:rFonts w:cs="Arial"/>
          <w:sz w:val="24"/>
          <w:szCs w:val="24"/>
        </w:rPr>
        <w:br/>
      </w:r>
      <w:r w:rsidR="004B1CAE" w:rsidRPr="009C69FE">
        <w:rPr>
          <w:rFonts w:cs="Arial"/>
          <w:sz w:val="24"/>
          <w:szCs w:val="24"/>
        </w:rPr>
        <w:t xml:space="preserve">CMR and CIM contain (limited) rules which enable the rules to apply beyond the mode of transport that is their primary focus.  Furthermore, issues arise as to how they apply in the context of multimodal transports, outside the limited operation of these extended rules, where only part of the </w:t>
      </w:r>
      <w:r w:rsidR="00557E22">
        <w:rPr>
          <w:rFonts w:cs="Arial"/>
          <w:sz w:val="24"/>
          <w:szCs w:val="24"/>
        </w:rPr>
        <w:t xml:space="preserve">contractually agreed </w:t>
      </w:r>
      <w:r w:rsidR="004B1CAE" w:rsidRPr="009C69FE">
        <w:rPr>
          <w:rFonts w:cs="Arial"/>
          <w:sz w:val="24"/>
          <w:szCs w:val="24"/>
        </w:rPr>
        <w:t xml:space="preserve">transport falls within the type of transport covered by them.  </w:t>
      </w:r>
      <w:r w:rsidR="004C6064" w:rsidRPr="009C69FE">
        <w:rPr>
          <w:rFonts w:cs="Arial"/>
          <w:sz w:val="24"/>
          <w:szCs w:val="24"/>
        </w:rPr>
        <w:br/>
      </w:r>
      <w:r w:rsidR="003D7873" w:rsidRPr="009C69FE">
        <w:rPr>
          <w:rFonts w:cs="Arial"/>
          <w:b/>
          <w:sz w:val="24"/>
          <w:szCs w:val="24"/>
        </w:rPr>
        <w:br/>
      </w:r>
      <w:r w:rsidRPr="009C69FE">
        <w:rPr>
          <w:rFonts w:cs="Arial"/>
          <w:b/>
          <w:sz w:val="24"/>
          <w:szCs w:val="24"/>
        </w:rPr>
        <w:t>4.2</w:t>
      </w:r>
      <w:r w:rsidR="003D7873" w:rsidRPr="009C69FE">
        <w:rPr>
          <w:rFonts w:cs="Arial"/>
          <w:b/>
          <w:sz w:val="24"/>
          <w:szCs w:val="24"/>
        </w:rPr>
        <w:t>.1</w:t>
      </w:r>
      <w:r w:rsidR="004C6064" w:rsidRPr="009C69FE">
        <w:rPr>
          <w:rFonts w:cs="Arial"/>
          <w:b/>
          <w:sz w:val="24"/>
          <w:szCs w:val="24"/>
        </w:rPr>
        <w:t xml:space="preserve"> CMR</w:t>
      </w:r>
      <w:r w:rsidR="004C6064" w:rsidRPr="009C69FE">
        <w:rPr>
          <w:rFonts w:cs="Arial"/>
          <w:sz w:val="24"/>
          <w:szCs w:val="24"/>
        </w:rPr>
        <w:br/>
      </w:r>
      <w:r w:rsidR="004C6064" w:rsidRPr="009C69FE">
        <w:rPr>
          <w:rFonts w:cs="Arial"/>
          <w:sz w:val="24"/>
          <w:szCs w:val="24"/>
        </w:rPr>
        <w:br/>
        <w:t xml:space="preserve">For CMR there is a single provision which deals only with a particular form of </w:t>
      </w:r>
      <w:r w:rsidR="003D7873" w:rsidRPr="009C69FE">
        <w:rPr>
          <w:rFonts w:cs="Arial"/>
          <w:sz w:val="24"/>
          <w:szCs w:val="24"/>
        </w:rPr>
        <w:t xml:space="preserve">modal </w:t>
      </w:r>
      <w:r w:rsidR="003D7873" w:rsidRPr="009C69FE">
        <w:rPr>
          <w:rFonts w:cs="Arial"/>
          <w:sz w:val="24"/>
          <w:szCs w:val="24"/>
        </w:rPr>
        <w:lastRenderedPageBreak/>
        <w:t>combination</w:t>
      </w:r>
      <w:r w:rsidR="004C6064" w:rsidRPr="009C69FE">
        <w:rPr>
          <w:rFonts w:cs="Arial"/>
          <w:sz w:val="24"/>
          <w:szCs w:val="24"/>
        </w:rPr>
        <w:t xml:space="preserve">.  This is where the goods remain on the road vehicle which is then carried by another mode of transport – </w:t>
      </w:r>
      <w:proofErr w:type="gramStart"/>
      <w:r w:rsidR="004C6064" w:rsidRPr="009C69FE">
        <w:rPr>
          <w:rFonts w:cs="Arial"/>
          <w:sz w:val="24"/>
          <w:szCs w:val="24"/>
        </w:rPr>
        <w:t>i.e.</w:t>
      </w:r>
      <w:proofErr w:type="gramEnd"/>
      <w:r w:rsidR="004C6064" w:rsidRPr="009C69FE">
        <w:rPr>
          <w:rFonts w:cs="Arial"/>
          <w:sz w:val="24"/>
          <w:szCs w:val="24"/>
        </w:rPr>
        <w:t xml:space="preserve"> mode on mode, e.g. Ro-Ro.  </w:t>
      </w:r>
      <w:r w:rsidR="00710C33" w:rsidRPr="009C69FE">
        <w:rPr>
          <w:rFonts w:cs="Arial"/>
          <w:sz w:val="24"/>
          <w:szCs w:val="24"/>
        </w:rPr>
        <w:t>As noted above art</w:t>
      </w:r>
      <w:r w:rsidR="003D7873" w:rsidRPr="009C69FE">
        <w:rPr>
          <w:rFonts w:cs="Arial"/>
          <w:sz w:val="24"/>
          <w:szCs w:val="24"/>
        </w:rPr>
        <w:t xml:space="preserve"> 2 of CMR provides that it</w:t>
      </w:r>
      <w:r w:rsidR="004C6064" w:rsidRPr="009C69FE">
        <w:rPr>
          <w:rFonts w:cs="Arial"/>
          <w:sz w:val="24"/>
          <w:szCs w:val="24"/>
        </w:rPr>
        <w:t xml:space="preserve"> applies to the whole carriage.  </w:t>
      </w:r>
      <w:r w:rsidR="00E01EA6" w:rsidRPr="009C69FE">
        <w:rPr>
          <w:rFonts w:cs="Arial"/>
          <w:sz w:val="24"/>
          <w:szCs w:val="24"/>
        </w:rPr>
        <w:t xml:space="preserve">However </w:t>
      </w:r>
      <w:r w:rsidR="004C6064" w:rsidRPr="009C69FE">
        <w:rPr>
          <w:rFonts w:cs="Arial"/>
          <w:sz w:val="24"/>
          <w:szCs w:val="24"/>
        </w:rPr>
        <w:t>It then goes on to state that provided the loss, damage or delay occurred during the other means and is not caused by an act or omission of the road carrier but by some event which could only have occurred in the course of and by reason of the carriage by the other means, the liability of the road carrier shall be determined in the manner which the liability would have been determined if a contract for the carriage of goods alone had been by the sender with the carrier by the other means of transport in accordance with the provisions prescribed by law for that means, otherwise by CMR.</w:t>
      </w:r>
    </w:p>
    <w:p w14:paraId="2262A36D" w14:textId="1B4B40B1" w:rsidR="004C6064" w:rsidRPr="009C69FE" w:rsidRDefault="00CB7F04" w:rsidP="004C6064">
      <w:pPr>
        <w:rPr>
          <w:rFonts w:cs="Arial"/>
          <w:sz w:val="24"/>
          <w:szCs w:val="24"/>
        </w:rPr>
      </w:pPr>
      <w:r w:rsidRPr="009C69FE">
        <w:rPr>
          <w:rFonts w:cs="Arial"/>
          <w:sz w:val="24"/>
          <w:szCs w:val="24"/>
        </w:rPr>
        <w:t>This</w:t>
      </w:r>
      <w:r w:rsidR="00A1016F" w:rsidRPr="009C69FE">
        <w:rPr>
          <w:rFonts w:cs="Arial"/>
          <w:sz w:val="24"/>
          <w:szCs w:val="24"/>
        </w:rPr>
        <w:t xml:space="preserve"> proviso</w:t>
      </w:r>
      <w:r w:rsidR="003D7873" w:rsidRPr="009C69FE">
        <w:rPr>
          <w:rFonts w:cs="Arial"/>
          <w:sz w:val="24"/>
          <w:szCs w:val="24"/>
        </w:rPr>
        <w:t xml:space="preserve"> is an attempt to provide what is termed a</w:t>
      </w:r>
      <w:r w:rsidR="004C6064" w:rsidRPr="009C69FE">
        <w:rPr>
          <w:rFonts w:cs="Arial"/>
          <w:sz w:val="24"/>
          <w:szCs w:val="24"/>
        </w:rPr>
        <w:t xml:space="preserve"> </w:t>
      </w:r>
      <w:r w:rsidRPr="009C69FE">
        <w:rPr>
          <w:rFonts w:cs="Arial"/>
          <w:sz w:val="24"/>
          <w:szCs w:val="24"/>
        </w:rPr>
        <w:t>‘</w:t>
      </w:r>
      <w:r w:rsidR="004C6064" w:rsidRPr="009C69FE">
        <w:rPr>
          <w:rFonts w:cs="Arial"/>
          <w:sz w:val="24"/>
          <w:szCs w:val="24"/>
        </w:rPr>
        <w:t>network</w:t>
      </w:r>
      <w:r w:rsidRPr="009C69FE">
        <w:rPr>
          <w:rFonts w:cs="Arial"/>
          <w:sz w:val="24"/>
          <w:szCs w:val="24"/>
        </w:rPr>
        <w:t>’</w:t>
      </w:r>
      <w:r w:rsidR="004C6064" w:rsidRPr="009C69FE">
        <w:rPr>
          <w:rFonts w:cs="Arial"/>
          <w:sz w:val="24"/>
          <w:szCs w:val="24"/>
        </w:rPr>
        <w:t xml:space="preserve"> solution</w:t>
      </w:r>
      <w:r w:rsidR="005D692C">
        <w:rPr>
          <w:rFonts w:cs="Arial"/>
          <w:sz w:val="24"/>
          <w:szCs w:val="24"/>
        </w:rPr>
        <w:t xml:space="preserve"> (see below para</w:t>
      </w:r>
      <w:r w:rsidR="004149D6">
        <w:rPr>
          <w:rFonts w:cs="Arial"/>
          <w:sz w:val="24"/>
          <w:szCs w:val="24"/>
        </w:rPr>
        <w:t>. 4.4.3</w:t>
      </w:r>
      <w:r w:rsidR="005D692C">
        <w:rPr>
          <w:rFonts w:cs="Arial"/>
          <w:sz w:val="24"/>
          <w:szCs w:val="24"/>
        </w:rPr>
        <w:t>)</w:t>
      </w:r>
      <w:r w:rsidR="00A1016F" w:rsidRPr="009C69FE">
        <w:rPr>
          <w:rFonts w:cs="Arial"/>
          <w:sz w:val="24"/>
          <w:szCs w:val="24"/>
        </w:rPr>
        <w:t xml:space="preserve">.  The </w:t>
      </w:r>
      <w:r w:rsidR="005844EE" w:rsidRPr="009C69FE">
        <w:rPr>
          <w:rFonts w:cs="Arial"/>
          <w:sz w:val="24"/>
          <w:szCs w:val="24"/>
        </w:rPr>
        <w:t>basic idea seems to have been that the carrier</w:t>
      </w:r>
      <w:r w:rsidR="004619F8">
        <w:rPr>
          <w:rFonts w:cs="Arial"/>
          <w:sz w:val="24"/>
          <w:szCs w:val="24"/>
        </w:rPr>
        <w:t>’s</w:t>
      </w:r>
      <w:r w:rsidR="005844EE" w:rsidRPr="009C69FE">
        <w:rPr>
          <w:rFonts w:cs="Arial"/>
          <w:sz w:val="24"/>
          <w:szCs w:val="24"/>
        </w:rPr>
        <w:t xml:space="preserve"> recourse position should be protected (</w:t>
      </w:r>
      <w:proofErr w:type="gramStart"/>
      <w:r w:rsidR="005844EE" w:rsidRPr="009C69FE">
        <w:rPr>
          <w:rFonts w:cs="Arial"/>
          <w:sz w:val="24"/>
          <w:szCs w:val="24"/>
        </w:rPr>
        <w:t>i.e.</w:t>
      </w:r>
      <w:proofErr w:type="gramEnd"/>
      <w:r w:rsidR="005844EE" w:rsidRPr="009C69FE">
        <w:rPr>
          <w:rFonts w:cs="Arial"/>
          <w:sz w:val="24"/>
          <w:szCs w:val="24"/>
        </w:rPr>
        <w:t xml:space="preserve"> to ensure that recovery by the goods owner is not greater than what the carrier can obtain from the underlying carrier).</w:t>
      </w:r>
      <w:r w:rsidR="00A1016F" w:rsidRPr="009C69FE">
        <w:rPr>
          <w:rFonts w:cs="Arial"/>
          <w:sz w:val="24"/>
          <w:szCs w:val="24"/>
        </w:rPr>
        <w:t xml:space="preserve"> </w:t>
      </w:r>
      <w:r w:rsidR="005844EE" w:rsidRPr="009C69FE">
        <w:rPr>
          <w:rFonts w:cs="Arial"/>
          <w:sz w:val="24"/>
          <w:szCs w:val="24"/>
        </w:rPr>
        <w:t xml:space="preserve"> However</w:t>
      </w:r>
      <w:r w:rsidR="00557E22">
        <w:rPr>
          <w:rFonts w:cs="Arial"/>
          <w:sz w:val="24"/>
          <w:szCs w:val="24"/>
        </w:rPr>
        <w:t>,</w:t>
      </w:r>
      <w:r w:rsidR="005844EE" w:rsidRPr="009C69FE">
        <w:rPr>
          <w:rFonts w:cs="Arial"/>
          <w:sz w:val="24"/>
          <w:szCs w:val="24"/>
        </w:rPr>
        <w:t xml:space="preserve"> the goods owner should not be prejudiced by the fact that the road carrier might have agreed to limited liability on the part of the subcarrier.  Consequently</w:t>
      </w:r>
      <w:r w:rsidR="00557E22">
        <w:rPr>
          <w:rFonts w:cs="Arial"/>
          <w:sz w:val="24"/>
          <w:szCs w:val="24"/>
        </w:rPr>
        <w:t>,</w:t>
      </w:r>
      <w:r w:rsidR="005844EE" w:rsidRPr="009C69FE">
        <w:rPr>
          <w:rFonts w:cs="Arial"/>
          <w:sz w:val="24"/>
          <w:szCs w:val="24"/>
        </w:rPr>
        <w:t xml:space="preserve"> the protection is built in that only where mandatory conditions apply to the sub</w:t>
      </w:r>
      <w:r w:rsidR="00897137">
        <w:rPr>
          <w:rFonts w:cs="Arial"/>
          <w:sz w:val="24"/>
          <w:szCs w:val="24"/>
        </w:rPr>
        <w:t>-</w:t>
      </w:r>
      <w:r w:rsidR="005844EE" w:rsidRPr="009C69FE">
        <w:rPr>
          <w:rFonts w:cs="Arial"/>
          <w:sz w:val="24"/>
          <w:szCs w:val="24"/>
        </w:rPr>
        <w:t xml:space="preserve">carriage should the goods owner </w:t>
      </w:r>
      <w:proofErr w:type="gramStart"/>
      <w:r w:rsidR="005844EE" w:rsidRPr="009C69FE">
        <w:rPr>
          <w:rFonts w:cs="Arial"/>
          <w:sz w:val="24"/>
          <w:szCs w:val="24"/>
        </w:rPr>
        <w:t>be</w:t>
      </w:r>
      <w:proofErr w:type="gramEnd"/>
      <w:r w:rsidR="005844EE" w:rsidRPr="009C69FE">
        <w:rPr>
          <w:rFonts w:cs="Arial"/>
          <w:sz w:val="24"/>
          <w:szCs w:val="24"/>
        </w:rPr>
        <w:t xml:space="preserve"> bound them especially as they would be binding on the goods owner anyway if a contract had been made solely for the sub-carriage by the </w:t>
      </w:r>
      <w:r w:rsidR="004619F8">
        <w:rPr>
          <w:rFonts w:cs="Arial"/>
          <w:sz w:val="24"/>
          <w:szCs w:val="24"/>
        </w:rPr>
        <w:t>other mode.</w:t>
      </w:r>
      <w:r w:rsidR="005844EE" w:rsidRPr="009C69FE">
        <w:rPr>
          <w:rFonts w:cs="Arial"/>
          <w:sz w:val="24"/>
          <w:szCs w:val="24"/>
        </w:rPr>
        <w:t xml:space="preserve">  In fact</w:t>
      </w:r>
      <w:r w:rsidR="00897137">
        <w:rPr>
          <w:rFonts w:cs="Arial"/>
          <w:sz w:val="24"/>
          <w:szCs w:val="24"/>
        </w:rPr>
        <w:t>,</w:t>
      </w:r>
      <w:r w:rsidR="005844EE" w:rsidRPr="009C69FE">
        <w:rPr>
          <w:rFonts w:cs="Arial"/>
          <w:sz w:val="24"/>
          <w:szCs w:val="24"/>
        </w:rPr>
        <w:t xml:space="preserve"> the provision displays several difficulties and may not actually produce the desired effect.</w:t>
      </w:r>
      <w:r w:rsidR="004C6064" w:rsidRPr="009C69FE">
        <w:rPr>
          <w:rFonts w:cs="Arial"/>
          <w:sz w:val="24"/>
          <w:szCs w:val="24"/>
        </w:rPr>
        <w:t xml:space="preserve">  </w:t>
      </w:r>
    </w:p>
    <w:p w14:paraId="3D245AAC" w14:textId="60E461D9" w:rsidR="00557A69" w:rsidRPr="009C69FE" w:rsidRDefault="00BC0634" w:rsidP="004C6064">
      <w:pPr>
        <w:rPr>
          <w:rFonts w:cs="Arial"/>
          <w:sz w:val="24"/>
          <w:szCs w:val="24"/>
        </w:rPr>
      </w:pPr>
      <w:r w:rsidRPr="009C69FE">
        <w:rPr>
          <w:rFonts w:cs="Arial"/>
          <w:sz w:val="24"/>
          <w:szCs w:val="24"/>
        </w:rPr>
        <w:t xml:space="preserve">It is not easy to interpret or apply.  </w:t>
      </w:r>
      <w:r w:rsidR="007C1BF1" w:rsidRPr="009C69FE">
        <w:rPr>
          <w:rFonts w:cs="Arial"/>
          <w:sz w:val="24"/>
          <w:szCs w:val="24"/>
        </w:rPr>
        <w:t>E.g.,</w:t>
      </w:r>
      <w:r w:rsidR="004C6064" w:rsidRPr="009C69FE">
        <w:rPr>
          <w:rFonts w:cs="Arial"/>
          <w:sz w:val="24"/>
          <w:szCs w:val="24"/>
        </w:rPr>
        <w:t xml:space="preserve"> when does the carriage by other means start and finish? For whose acts is the carrier responsible?  What is an event that could only have occurred </w:t>
      </w:r>
      <w:proofErr w:type="gramStart"/>
      <w:r w:rsidR="004C6064" w:rsidRPr="009C69FE">
        <w:rPr>
          <w:rFonts w:cs="Arial"/>
          <w:sz w:val="24"/>
          <w:szCs w:val="24"/>
        </w:rPr>
        <w:t>in the course of</w:t>
      </w:r>
      <w:proofErr w:type="gramEnd"/>
      <w:r w:rsidR="004C6064" w:rsidRPr="009C69FE">
        <w:rPr>
          <w:rFonts w:cs="Arial"/>
          <w:sz w:val="24"/>
          <w:szCs w:val="24"/>
        </w:rPr>
        <w:t xml:space="preserve"> and by reason of the other means?  What are conditions prescribed by law?  </w:t>
      </w:r>
      <w:r w:rsidR="00CB7F04" w:rsidRPr="009C69FE">
        <w:rPr>
          <w:rFonts w:cs="Arial"/>
          <w:sz w:val="24"/>
          <w:szCs w:val="24"/>
        </w:rPr>
        <w:t xml:space="preserve">By what law do we identify them?  </w:t>
      </w:r>
      <w:r w:rsidR="004C6064" w:rsidRPr="009C69FE">
        <w:rPr>
          <w:rFonts w:cs="Arial"/>
          <w:sz w:val="24"/>
          <w:szCs w:val="24"/>
        </w:rPr>
        <w:t>How do we know what contract would have been made for the goods alone particularly if the application of the other conditions depends on choices that might have been made in the different circumstances envisaged by the hypothesis?</w:t>
      </w:r>
      <w:r w:rsidR="004C6064" w:rsidRPr="009C69FE">
        <w:rPr>
          <w:rFonts w:cs="Arial"/>
          <w:sz w:val="24"/>
          <w:szCs w:val="24"/>
        </w:rPr>
        <w:br/>
      </w:r>
      <w:r w:rsidR="004C6064" w:rsidRPr="009C69FE">
        <w:rPr>
          <w:rFonts w:cs="Arial"/>
          <w:sz w:val="24"/>
          <w:szCs w:val="24"/>
        </w:rPr>
        <w:br/>
        <w:t xml:space="preserve">The English case of </w:t>
      </w:r>
      <w:proofErr w:type="spellStart"/>
      <w:r w:rsidR="004C6064" w:rsidRPr="009C69FE">
        <w:rPr>
          <w:rFonts w:cs="Arial"/>
          <w:b/>
          <w:sz w:val="24"/>
          <w:szCs w:val="24"/>
        </w:rPr>
        <w:t>Thermo</w:t>
      </w:r>
      <w:proofErr w:type="spellEnd"/>
      <w:r w:rsidR="004C6064" w:rsidRPr="009C69FE">
        <w:rPr>
          <w:rFonts w:cs="Arial"/>
          <w:b/>
          <w:sz w:val="24"/>
          <w:szCs w:val="24"/>
        </w:rPr>
        <w:t xml:space="preserve"> Engineers Ltd v. </w:t>
      </w:r>
      <w:proofErr w:type="spellStart"/>
      <w:r w:rsidR="004C6064" w:rsidRPr="009C69FE">
        <w:rPr>
          <w:rFonts w:cs="Arial"/>
          <w:b/>
          <w:sz w:val="24"/>
          <w:szCs w:val="24"/>
        </w:rPr>
        <w:t>Ferrymasters</w:t>
      </w:r>
      <w:proofErr w:type="spellEnd"/>
      <w:r w:rsidR="004C6064" w:rsidRPr="009C69FE">
        <w:rPr>
          <w:rFonts w:cs="Arial"/>
          <w:b/>
          <w:sz w:val="24"/>
          <w:szCs w:val="24"/>
        </w:rPr>
        <w:t xml:space="preserve"> Ltd</w:t>
      </w:r>
      <w:r w:rsidR="004C6064" w:rsidRPr="009C69FE">
        <w:rPr>
          <w:rFonts w:cs="Arial"/>
          <w:sz w:val="24"/>
          <w:szCs w:val="24"/>
        </w:rPr>
        <w:t xml:space="preserve"> [1981] 1 Lloyd’s Rep. 200, attempted to provide some answers but perhaps not too successfully.  Here a large machine on a trailer was being driven on to a ship by the ship’s tractor and hit the deck head above the lower cargo deck.  The judge held that carriage by sea had begun, since the loading process had started; that, for this purpose, the failure of the stevedores and ship’s officers to see the danger was not the fault of the road carrier and that hitting the deck head of a ship could only be described as occurring on a ship and by reason of carriage by sea.  He held that therefore the Hague Rules applied.  </w:t>
      </w:r>
      <w:r w:rsidR="005609F4" w:rsidRPr="009C69FE">
        <w:rPr>
          <w:rFonts w:cs="Arial"/>
          <w:sz w:val="24"/>
          <w:szCs w:val="24"/>
        </w:rPr>
        <w:t>Presumably, since the shipment was from an English port under a bill of lading then they applied as a matter of the law of the forum</w:t>
      </w:r>
      <w:r w:rsidR="0015724D">
        <w:rPr>
          <w:rFonts w:cs="Arial"/>
          <w:sz w:val="24"/>
          <w:szCs w:val="24"/>
        </w:rPr>
        <w:t xml:space="preserve"> (</w:t>
      </w:r>
      <w:proofErr w:type="spellStart"/>
      <w:r w:rsidR="004312C3">
        <w:rPr>
          <w:rFonts w:cs="Arial"/>
          <w:sz w:val="24"/>
          <w:szCs w:val="24"/>
        </w:rPr>
        <w:t>nb.</w:t>
      </w:r>
      <w:proofErr w:type="spellEnd"/>
      <w:r w:rsidR="004312C3">
        <w:rPr>
          <w:rFonts w:cs="Arial"/>
          <w:sz w:val="24"/>
          <w:szCs w:val="24"/>
        </w:rPr>
        <w:t xml:space="preserve"> </w:t>
      </w:r>
      <w:r w:rsidR="0015724D">
        <w:rPr>
          <w:rFonts w:cs="Arial"/>
          <w:sz w:val="24"/>
          <w:szCs w:val="24"/>
        </w:rPr>
        <w:t xml:space="preserve">this is a problem for this type of rule – does </w:t>
      </w:r>
      <w:r w:rsidR="00BB39E2">
        <w:rPr>
          <w:rFonts w:cs="Arial"/>
          <w:sz w:val="24"/>
          <w:szCs w:val="24"/>
        </w:rPr>
        <w:t>i</w:t>
      </w:r>
      <w:r w:rsidR="00A42B8E">
        <w:rPr>
          <w:rFonts w:cs="Arial"/>
          <w:sz w:val="24"/>
          <w:szCs w:val="24"/>
        </w:rPr>
        <w:t>t</w:t>
      </w:r>
      <w:r w:rsidR="00BB39E2">
        <w:rPr>
          <w:rFonts w:cs="Arial"/>
          <w:sz w:val="24"/>
          <w:szCs w:val="24"/>
        </w:rPr>
        <w:t xml:space="preserve"> involve only the application of the law of the forum or </w:t>
      </w:r>
      <w:r w:rsidR="00F14C37">
        <w:rPr>
          <w:rFonts w:cs="Arial"/>
          <w:sz w:val="24"/>
          <w:szCs w:val="24"/>
        </w:rPr>
        <w:t xml:space="preserve">are issues of </w:t>
      </w:r>
      <w:r w:rsidR="003949A0">
        <w:rPr>
          <w:rFonts w:cs="Arial"/>
          <w:sz w:val="24"/>
          <w:szCs w:val="24"/>
        </w:rPr>
        <w:t xml:space="preserve">conflicts of law </w:t>
      </w:r>
      <w:r w:rsidR="00F14C37">
        <w:rPr>
          <w:rFonts w:cs="Arial"/>
          <w:sz w:val="24"/>
          <w:szCs w:val="24"/>
        </w:rPr>
        <w:t>also relevant</w:t>
      </w:r>
      <w:r w:rsidR="004312C3">
        <w:rPr>
          <w:rFonts w:cs="Arial"/>
          <w:sz w:val="24"/>
          <w:szCs w:val="24"/>
        </w:rPr>
        <w:t>?</w:t>
      </w:r>
      <w:r w:rsidR="00F14C37">
        <w:rPr>
          <w:rFonts w:cs="Arial"/>
          <w:sz w:val="24"/>
          <w:szCs w:val="24"/>
        </w:rPr>
        <w:t xml:space="preserve"> – </w:t>
      </w:r>
      <w:proofErr w:type="gramStart"/>
      <w:r w:rsidR="00F14C37">
        <w:rPr>
          <w:rFonts w:cs="Arial"/>
          <w:sz w:val="24"/>
          <w:szCs w:val="24"/>
        </w:rPr>
        <w:t>i.e.</w:t>
      </w:r>
      <w:proofErr w:type="gramEnd"/>
      <w:r w:rsidR="00F14C37">
        <w:rPr>
          <w:rFonts w:cs="Arial"/>
          <w:sz w:val="24"/>
          <w:szCs w:val="24"/>
        </w:rPr>
        <w:t xml:space="preserve"> </w:t>
      </w:r>
      <w:r w:rsidR="009743ED">
        <w:rPr>
          <w:rFonts w:cs="Arial"/>
          <w:sz w:val="24"/>
          <w:szCs w:val="24"/>
        </w:rPr>
        <w:t xml:space="preserve">should a court consider </w:t>
      </w:r>
      <w:r w:rsidR="00C50A20">
        <w:rPr>
          <w:rFonts w:cs="Arial"/>
          <w:sz w:val="24"/>
          <w:szCs w:val="24"/>
        </w:rPr>
        <w:t>what</w:t>
      </w:r>
      <w:r w:rsidR="00C653CD">
        <w:rPr>
          <w:rFonts w:cs="Arial"/>
          <w:sz w:val="24"/>
          <w:szCs w:val="24"/>
        </w:rPr>
        <w:t xml:space="preserve"> law would govern the hypothetical contract</w:t>
      </w:r>
      <w:r w:rsidR="00C50A20">
        <w:rPr>
          <w:rFonts w:cs="Arial"/>
          <w:sz w:val="24"/>
          <w:szCs w:val="24"/>
        </w:rPr>
        <w:t xml:space="preserve"> that would have been made between the sender and the carrier by the other means of transport</w:t>
      </w:r>
      <w:r w:rsidR="004A4464">
        <w:rPr>
          <w:rFonts w:cs="Arial"/>
          <w:sz w:val="24"/>
          <w:szCs w:val="24"/>
        </w:rPr>
        <w:t xml:space="preserve"> or simply apply </w:t>
      </w:r>
      <w:r w:rsidR="00857B58">
        <w:rPr>
          <w:rFonts w:cs="Arial"/>
          <w:sz w:val="24"/>
          <w:szCs w:val="24"/>
        </w:rPr>
        <w:t>its own law to it</w:t>
      </w:r>
      <w:r w:rsidR="00A42B8E">
        <w:rPr>
          <w:rFonts w:cs="Arial"/>
          <w:sz w:val="24"/>
          <w:szCs w:val="24"/>
        </w:rPr>
        <w:t>?)</w:t>
      </w:r>
      <w:r w:rsidR="005609F4" w:rsidRPr="009C69FE">
        <w:rPr>
          <w:rFonts w:cs="Arial"/>
          <w:sz w:val="24"/>
          <w:szCs w:val="24"/>
        </w:rPr>
        <w:t xml:space="preserve">.  </w:t>
      </w:r>
      <w:r w:rsidR="000A521F">
        <w:rPr>
          <w:rFonts w:cs="Arial"/>
          <w:sz w:val="24"/>
          <w:szCs w:val="24"/>
        </w:rPr>
        <w:br/>
      </w:r>
      <w:r w:rsidR="000A521F">
        <w:rPr>
          <w:rFonts w:cs="Arial"/>
          <w:sz w:val="24"/>
          <w:szCs w:val="24"/>
        </w:rPr>
        <w:br/>
      </w:r>
      <w:r w:rsidR="004C6064" w:rsidRPr="009C69FE">
        <w:rPr>
          <w:rFonts w:cs="Arial"/>
          <w:sz w:val="24"/>
          <w:szCs w:val="24"/>
        </w:rPr>
        <w:t>However, he went on to hold that the sender was allowed to state that had he made a contract with the shipowner he would have raised the limits of liability and so was allowed to reco</w:t>
      </w:r>
      <w:r w:rsidR="003D7873" w:rsidRPr="009C69FE">
        <w:rPr>
          <w:rFonts w:cs="Arial"/>
          <w:sz w:val="24"/>
          <w:szCs w:val="24"/>
        </w:rPr>
        <w:t>ver on a higher basis. This last point seems incorrect since</w:t>
      </w:r>
      <w:r w:rsidR="004C6064" w:rsidRPr="009C69FE">
        <w:rPr>
          <w:rFonts w:cs="Arial"/>
          <w:sz w:val="24"/>
          <w:szCs w:val="24"/>
        </w:rPr>
        <w:t xml:space="preserve"> it is not the contract that would have been agreed that </w:t>
      </w:r>
      <w:r w:rsidR="00876014" w:rsidRPr="009C69FE">
        <w:rPr>
          <w:rFonts w:cs="Arial"/>
          <w:sz w:val="24"/>
          <w:szCs w:val="24"/>
        </w:rPr>
        <w:t>the provision points to but to the provisions prescribed by law</w:t>
      </w:r>
      <w:r w:rsidR="004C6064" w:rsidRPr="009C69FE">
        <w:rPr>
          <w:rFonts w:cs="Arial"/>
          <w:sz w:val="24"/>
          <w:szCs w:val="24"/>
        </w:rPr>
        <w:t xml:space="preserve"> </w:t>
      </w:r>
      <w:r w:rsidR="004C6064" w:rsidRPr="009C69FE">
        <w:rPr>
          <w:rFonts w:cs="Arial"/>
          <w:sz w:val="24"/>
          <w:szCs w:val="24"/>
        </w:rPr>
        <w:lastRenderedPageBreak/>
        <w:t>that woul</w:t>
      </w:r>
      <w:r w:rsidR="008F2546" w:rsidRPr="009C69FE">
        <w:rPr>
          <w:rFonts w:cs="Arial"/>
          <w:sz w:val="24"/>
          <w:szCs w:val="24"/>
        </w:rPr>
        <w:t xml:space="preserve">d have applied to </w:t>
      </w:r>
      <w:r w:rsidR="00280BBE" w:rsidRPr="009C69FE">
        <w:rPr>
          <w:rFonts w:cs="Arial"/>
          <w:sz w:val="24"/>
          <w:szCs w:val="24"/>
        </w:rPr>
        <w:t>the contract. The judge assumed that the Hague Rules were prescribed by law</w:t>
      </w:r>
      <w:r w:rsidR="000B2F3F">
        <w:rPr>
          <w:rFonts w:cs="Arial"/>
          <w:sz w:val="24"/>
          <w:szCs w:val="24"/>
        </w:rPr>
        <w:t>,</w:t>
      </w:r>
      <w:r w:rsidR="00280BBE" w:rsidRPr="009C69FE">
        <w:rPr>
          <w:rFonts w:cs="Arial"/>
          <w:sz w:val="24"/>
          <w:szCs w:val="24"/>
        </w:rPr>
        <w:t xml:space="preserve"> but are they?  </w:t>
      </w:r>
      <w:proofErr w:type="gramStart"/>
      <w:r w:rsidR="00280BBE" w:rsidRPr="009C69FE">
        <w:rPr>
          <w:rFonts w:cs="Arial"/>
          <w:sz w:val="24"/>
          <w:szCs w:val="24"/>
        </w:rPr>
        <w:t>In particular since</w:t>
      </w:r>
      <w:proofErr w:type="gramEnd"/>
      <w:r w:rsidR="00280BBE" w:rsidRPr="009C69FE">
        <w:rPr>
          <w:rFonts w:cs="Arial"/>
          <w:sz w:val="24"/>
          <w:szCs w:val="24"/>
        </w:rPr>
        <w:t xml:space="preserve"> the limits can be raised by agreement are they a rule prescribed by law?</w:t>
      </w:r>
      <w:r w:rsidR="008F2546" w:rsidRPr="009C69FE">
        <w:rPr>
          <w:rFonts w:cs="Arial"/>
          <w:sz w:val="24"/>
          <w:szCs w:val="24"/>
        </w:rPr>
        <w:t xml:space="preserve"> </w:t>
      </w:r>
      <w:r w:rsidR="005609F4" w:rsidRPr="009C69FE">
        <w:rPr>
          <w:rFonts w:cs="Arial"/>
          <w:sz w:val="24"/>
          <w:szCs w:val="24"/>
        </w:rPr>
        <w:t xml:space="preserve"> Ther</w:t>
      </w:r>
      <w:r w:rsidR="00280BBE" w:rsidRPr="009C69FE">
        <w:rPr>
          <w:rFonts w:cs="Arial"/>
          <w:sz w:val="24"/>
          <w:szCs w:val="24"/>
        </w:rPr>
        <w:t xml:space="preserve">e was a case simply for going back to the CMR limits.  </w:t>
      </w:r>
    </w:p>
    <w:p w14:paraId="36B75CAA" w14:textId="77777777" w:rsidR="00155A98" w:rsidRPr="009C69FE" w:rsidRDefault="005609F4" w:rsidP="004C6064">
      <w:pPr>
        <w:rPr>
          <w:rFonts w:cs="Arial"/>
          <w:sz w:val="24"/>
          <w:szCs w:val="24"/>
        </w:rPr>
      </w:pPr>
      <w:r w:rsidRPr="009C69FE">
        <w:rPr>
          <w:rFonts w:cs="Arial"/>
          <w:sz w:val="24"/>
          <w:szCs w:val="24"/>
        </w:rPr>
        <w:t>The case</w:t>
      </w:r>
      <w:r w:rsidR="00557A69" w:rsidRPr="009C69FE">
        <w:rPr>
          <w:rFonts w:cs="Arial"/>
          <w:sz w:val="24"/>
          <w:szCs w:val="24"/>
        </w:rPr>
        <w:t xml:space="preserve"> reflects a major</w:t>
      </w:r>
      <w:r w:rsidR="004C6064" w:rsidRPr="009C69FE">
        <w:rPr>
          <w:rFonts w:cs="Arial"/>
          <w:sz w:val="24"/>
          <w:szCs w:val="24"/>
        </w:rPr>
        <w:t xml:space="preserve"> problem </w:t>
      </w:r>
      <w:r w:rsidR="00557A69" w:rsidRPr="009C69FE">
        <w:rPr>
          <w:rFonts w:cs="Arial"/>
          <w:sz w:val="24"/>
          <w:szCs w:val="24"/>
        </w:rPr>
        <w:t xml:space="preserve">with the operation of the proviso especially where the Hague-Visby Rules are concerned.  Where lorries carrying goods travel on ferries this is often </w:t>
      </w:r>
      <w:r w:rsidR="002D5F91" w:rsidRPr="009C69FE">
        <w:rPr>
          <w:rFonts w:cs="Arial"/>
          <w:sz w:val="24"/>
          <w:szCs w:val="24"/>
        </w:rPr>
        <w:t>under a sea waybill or the vehicle may be carried on deck.  In either case it is possible for the sea contract not to be governed by the Hague-Visby Rules and for severe limitations or exclusions of liability to be imposed by the sea carrier.  The problem is that the proviso looks for a hypothetic</w:t>
      </w:r>
      <w:r w:rsidRPr="009C69FE">
        <w:rPr>
          <w:rFonts w:cs="Arial"/>
          <w:sz w:val="24"/>
          <w:szCs w:val="24"/>
        </w:rPr>
        <w:t>al contract made with the sea</w:t>
      </w:r>
      <w:r w:rsidR="002D5F91" w:rsidRPr="009C69FE">
        <w:rPr>
          <w:rFonts w:cs="Arial"/>
          <w:sz w:val="24"/>
          <w:szCs w:val="24"/>
        </w:rPr>
        <w:t xml:space="preserve"> carrier for the goods alone</w:t>
      </w:r>
      <w:r w:rsidRPr="009C69FE">
        <w:rPr>
          <w:rFonts w:cs="Arial"/>
          <w:sz w:val="24"/>
          <w:szCs w:val="24"/>
        </w:rPr>
        <w:t xml:space="preserve"> (</w:t>
      </w:r>
      <w:proofErr w:type="gramStart"/>
      <w:r w:rsidRPr="009C69FE">
        <w:rPr>
          <w:rFonts w:cs="Arial"/>
          <w:sz w:val="24"/>
          <w:szCs w:val="24"/>
        </w:rPr>
        <w:t>i.e.</w:t>
      </w:r>
      <w:proofErr w:type="gramEnd"/>
      <w:r w:rsidRPr="009C69FE">
        <w:rPr>
          <w:rFonts w:cs="Arial"/>
          <w:sz w:val="24"/>
          <w:szCs w:val="24"/>
        </w:rPr>
        <w:t xml:space="preserve"> not in a road vehicle)</w:t>
      </w:r>
      <w:r w:rsidR="002D5F91" w:rsidRPr="009C69FE">
        <w:rPr>
          <w:rFonts w:cs="Arial"/>
          <w:sz w:val="24"/>
          <w:szCs w:val="24"/>
        </w:rPr>
        <w:t xml:space="preserve">.  How far is this to be based in fact?  It might be impossible to </w:t>
      </w:r>
      <w:r w:rsidR="00546AE0" w:rsidRPr="009C69FE">
        <w:rPr>
          <w:rFonts w:cs="Arial"/>
          <w:sz w:val="24"/>
          <w:szCs w:val="24"/>
        </w:rPr>
        <w:t>make such a contract for the goods alone (</w:t>
      </w:r>
      <w:proofErr w:type="gramStart"/>
      <w:r w:rsidR="00546AE0" w:rsidRPr="009C69FE">
        <w:rPr>
          <w:rFonts w:cs="Arial"/>
          <w:sz w:val="24"/>
          <w:szCs w:val="24"/>
        </w:rPr>
        <w:t>e.</w:t>
      </w:r>
      <w:r w:rsidR="004619F8">
        <w:rPr>
          <w:rFonts w:cs="Arial"/>
          <w:sz w:val="24"/>
          <w:szCs w:val="24"/>
        </w:rPr>
        <w:t>g.</w:t>
      </w:r>
      <w:proofErr w:type="gramEnd"/>
      <w:r w:rsidR="004619F8">
        <w:rPr>
          <w:rFonts w:cs="Arial"/>
          <w:sz w:val="24"/>
          <w:szCs w:val="24"/>
        </w:rPr>
        <w:t xml:space="preserve"> if all goods on that route are carried in road vehicles</w:t>
      </w:r>
      <w:r w:rsidR="00546AE0" w:rsidRPr="009C69FE">
        <w:rPr>
          <w:rFonts w:cs="Arial"/>
          <w:sz w:val="24"/>
          <w:szCs w:val="24"/>
        </w:rPr>
        <w:t xml:space="preserve"> by road ferry)</w:t>
      </w:r>
      <w:r w:rsidRPr="009C69FE">
        <w:rPr>
          <w:rFonts w:cs="Arial"/>
          <w:sz w:val="24"/>
          <w:szCs w:val="24"/>
        </w:rPr>
        <w:t xml:space="preserve">. </w:t>
      </w:r>
      <w:r w:rsidR="002D5F91" w:rsidRPr="009C69FE">
        <w:rPr>
          <w:rFonts w:cs="Arial"/>
          <w:sz w:val="24"/>
          <w:szCs w:val="24"/>
        </w:rPr>
        <w:t xml:space="preserve"> Courts in France and Holland have wrestled with this and come to quite different conclusions</w:t>
      </w:r>
      <w:r w:rsidR="00546AE0" w:rsidRPr="009C69FE">
        <w:rPr>
          <w:rFonts w:cs="Arial"/>
          <w:sz w:val="24"/>
          <w:szCs w:val="24"/>
        </w:rPr>
        <w:t>.  The French courts look at the actual sea carriage and if</w:t>
      </w:r>
      <w:r w:rsidRPr="009C69FE">
        <w:rPr>
          <w:rFonts w:cs="Arial"/>
          <w:sz w:val="24"/>
          <w:szCs w:val="24"/>
        </w:rPr>
        <w:t xml:space="preserve"> the Rules don’t apply to the sea </w:t>
      </w:r>
      <w:proofErr w:type="gramStart"/>
      <w:r w:rsidRPr="009C69FE">
        <w:rPr>
          <w:rFonts w:cs="Arial"/>
          <w:sz w:val="24"/>
          <w:szCs w:val="24"/>
        </w:rPr>
        <w:t>carriage</w:t>
      </w:r>
      <w:proofErr w:type="gramEnd"/>
      <w:r w:rsidRPr="009C69FE">
        <w:rPr>
          <w:rFonts w:cs="Arial"/>
          <w:sz w:val="24"/>
          <w:szCs w:val="24"/>
        </w:rPr>
        <w:t xml:space="preserve"> </w:t>
      </w:r>
      <w:r w:rsidR="00546AE0" w:rsidRPr="009C69FE">
        <w:rPr>
          <w:rFonts w:cs="Arial"/>
          <w:sz w:val="24"/>
          <w:szCs w:val="24"/>
        </w:rPr>
        <w:t>they go back to CMR.  The Dutch</w:t>
      </w:r>
      <w:r w:rsidRPr="009C69FE">
        <w:rPr>
          <w:rFonts w:cs="Arial"/>
          <w:sz w:val="24"/>
          <w:szCs w:val="24"/>
        </w:rPr>
        <w:t xml:space="preserve"> courts apply the Rules on an objective basis as relevant to carriage by sea.  In either case there may be</w:t>
      </w:r>
      <w:r w:rsidR="00546AE0" w:rsidRPr="009C69FE">
        <w:rPr>
          <w:rFonts w:cs="Arial"/>
          <w:sz w:val="24"/>
          <w:szCs w:val="24"/>
        </w:rPr>
        <w:t xml:space="preserve"> no matching of the carrier</w:t>
      </w:r>
      <w:r w:rsidRPr="009C69FE">
        <w:rPr>
          <w:rFonts w:cs="Arial"/>
          <w:sz w:val="24"/>
          <w:szCs w:val="24"/>
        </w:rPr>
        <w:t>’</w:t>
      </w:r>
      <w:r w:rsidR="00546AE0" w:rsidRPr="009C69FE">
        <w:rPr>
          <w:rFonts w:cs="Arial"/>
          <w:sz w:val="24"/>
          <w:szCs w:val="24"/>
        </w:rPr>
        <w:t xml:space="preserve">s recourse </w:t>
      </w:r>
      <w:r w:rsidR="002137F7" w:rsidRPr="009C69FE">
        <w:rPr>
          <w:rFonts w:cs="Arial"/>
          <w:sz w:val="24"/>
          <w:szCs w:val="24"/>
        </w:rPr>
        <w:t>position.  In</w:t>
      </w:r>
      <w:r w:rsidR="00546AE0" w:rsidRPr="009C69FE">
        <w:rPr>
          <w:rFonts w:cs="Arial"/>
          <w:sz w:val="24"/>
          <w:szCs w:val="24"/>
        </w:rPr>
        <w:t xml:space="preserve"> France CMR will apply but the carrier will </w:t>
      </w:r>
      <w:r w:rsidR="004619F8">
        <w:rPr>
          <w:rFonts w:cs="Arial"/>
          <w:sz w:val="24"/>
          <w:szCs w:val="24"/>
        </w:rPr>
        <w:t xml:space="preserve">probably </w:t>
      </w:r>
      <w:r w:rsidR="00546AE0" w:rsidRPr="009C69FE">
        <w:rPr>
          <w:rFonts w:cs="Arial"/>
          <w:sz w:val="24"/>
          <w:szCs w:val="24"/>
        </w:rPr>
        <w:t>have no or highly limited reco</w:t>
      </w:r>
      <w:r w:rsidR="002137F7" w:rsidRPr="009C69FE">
        <w:rPr>
          <w:rFonts w:cs="Arial"/>
          <w:sz w:val="24"/>
          <w:szCs w:val="24"/>
        </w:rPr>
        <w:t xml:space="preserve">very from the sea carrier.  In </w:t>
      </w:r>
      <w:r w:rsidR="00546AE0" w:rsidRPr="009C69FE">
        <w:rPr>
          <w:rFonts w:cs="Arial"/>
          <w:sz w:val="24"/>
          <w:szCs w:val="24"/>
        </w:rPr>
        <w:t>Holland the Hague Visby Rules will apply and again the carrier will have limited recovery and the goods owner will (probably) have less recovery than under CMR in a situation where in fact the likelihood woul</w:t>
      </w:r>
      <w:r w:rsidRPr="009C69FE">
        <w:rPr>
          <w:rFonts w:cs="Arial"/>
          <w:sz w:val="24"/>
          <w:szCs w:val="24"/>
        </w:rPr>
        <w:t xml:space="preserve">d be that the Rules would not </w:t>
      </w:r>
      <w:r w:rsidR="002137F7" w:rsidRPr="009C69FE">
        <w:rPr>
          <w:rFonts w:cs="Arial"/>
          <w:sz w:val="24"/>
          <w:szCs w:val="24"/>
        </w:rPr>
        <w:t xml:space="preserve">actually </w:t>
      </w:r>
      <w:r w:rsidR="00546AE0" w:rsidRPr="009C69FE">
        <w:rPr>
          <w:rFonts w:cs="Arial"/>
          <w:sz w:val="24"/>
          <w:szCs w:val="24"/>
        </w:rPr>
        <w:t>have appl</w:t>
      </w:r>
      <w:r w:rsidRPr="009C69FE">
        <w:rPr>
          <w:rFonts w:cs="Arial"/>
          <w:sz w:val="24"/>
          <w:szCs w:val="24"/>
        </w:rPr>
        <w:t>ied</w:t>
      </w:r>
      <w:r w:rsidR="00155A98" w:rsidRPr="009C69FE">
        <w:rPr>
          <w:rFonts w:cs="Arial"/>
          <w:sz w:val="24"/>
          <w:szCs w:val="24"/>
        </w:rPr>
        <w:t xml:space="preserve"> to </w:t>
      </w:r>
      <w:r w:rsidR="000B2F3F">
        <w:rPr>
          <w:rFonts w:cs="Arial"/>
          <w:sz w:val="24"/>
          <w:szCs w:val="24"/>
        </w:rPr>
        <w:t>any direct</w:t>
      </w:r>
      <w:r w:rsidR="00155A98" w:rsidRPr="009C69FE">
        <w:rPr>
          <w:rFonts w:cs="Arial"/>
          <w:sz w:val="24"/>
          <w:szCs w:val="24"/>
        </w:rPr>
        <w:t xml:space="preserve"> contract </w:t>
      </w:r>
      <w:r w:rsidR="000B2F3F">
        <w:rPr>
          <w:rFonts w:cs="Arial"/>
          <w:sz w:val="24"/>
          <w:szCs w:val="24"/>
        </w:rPr>
        <w:t xml:space="preserve">made </w:t>
      </w:r>
      <w:r w:rsidR="00155A98" w:rsidRPr="009C69FE">
        <w:rPr>
          <w:rFonts w:cs="Arial"/>
          <w:sz w:val="24"/>
          <w:szCs w:val="24"/>
        </w:rPr>
        <w:t xml:space="preserve">with the goods owner </w:t>
      </w:r>
      <w:r w:rsidR="002137F7" w:rsidRPr="009C69FE">
        <w:rPr>
          <w:rFonts w:cs="Arial"/>
          <w:sz w:val="24"/>
          <w:szCs w:val="24"/>
        </w:rPr>
        <w:t>given that the sea carriage may</w:t>
      </w:r>
      <w:r w:rsidR="00155A98" w:rsidRPr="009C69FE">
        <w:rPr>
          <w:rFonts w:cs="Arial"/>
          <w:sz w:val="24"/>
          <w:szCs w:val="24"/>
        </w:rPr>
        <w:t xml:space="preserve"> well </w:t>
      </w:r>
      <w:r w:rsidR="002137F7" w:rsidRPr="009C69FE">
        <w:rPr>
          <w:rFonts w:cs="Arial"/>
          <w:sz w:val="24"/>
          <w:szCs w:val="24"/>
        </w:rPr>
        <w:t xml:space="preserve">be </w:t>
      </w:r>
      <w:proofErr w:type="gramStart"/>
      <w:r w:rsidR="002137F7" w:rsidRPr="009C69FE">
        <w:rPr>
          <w:rFonts w:cs="Arial"/>
          <w:sz w:val="24"/>
          <w:szCs w:val="24"/>
        </w:rPr>
        <w:t>on the basis of</w:t>
      </w:r>
      <w:proofErr w:type="gramEnd"/>
      <w:r w:rsidR="00155A98" w:rsidRPr="009C69FE">
        <w:rPr>
          <w:rFonts w:cs="Arial"/>
          <w:sz w:val="24"/>
          <w:szCs w:val="24"/>
        </w:rPr>
        <w:t xml:space="preserve"> a waybill</w:t>
      </w:r>
      <w:r w:rsidRPr="009C69FE">
        <w:rPr>
          <w:rFonts w:cs="Arial"/>
          <w:sz w:val="24"/>
          <w:szCs w:val="24"/>
        </w:rPr>
        <w:t>.</w:t>
      </w:r>
      <w:r w:rsidR="00546AE0" w:rsidRPr="009C69FE">
        <w:rPr>
          <w:rFonts w:cs="Arial"/>
          <w:sz w:val="24"/>
          <w:szCs w:val="24"/>
        </w:rPr>
        <w:t xml:space="preserve"> </w:t>
      </w:r>
      <w:r w:rsidR="002D5F91" w:rsidRPr="009C69FE">
        <w:rPr>
          <w:rFonts w:cs="Arial"/>
          <w:sz w:val="24"/>
          <w:szCs w:val="24"/>
        </w:rPr>
        <w:t xml:space="preserve"> </w:t>
      </w:r>
    </w:p>
    <w:p w14:paraId="336AB9FA" w14:textId="77777777" w:rsidR="003D7873" w:rsidRPr="009C69FE" w:rsidRDefault="003D7873" w:rsidP="004C6064">
      <w:pPr>
        <w:rPr>
          <w:rFonts w:cs="Arial"/>
          <w:sz w:val="24"/>
          <w:szCs w:val="24"/>
        </w:rPr>
      </w:pPr>
      <w:r w:rsidRPr="009C69FE">
        <w:rPr>
          <w:rFonts w:cs="Arial"/>
          <w:sz w:val="24"/>
          <w:szCs w:val="24"/>
        </w:rPr>
        <w:t xml:space="preserve">The points </w:t>
      </w:r>
      <w:r w:rsidR="00155A98" w:rsidRPr="009C69FE">
        <w:rPr>
          <w:rFonts w:cs="Arial"/>
          <w:sz w:val="24"/>
          <w:szCs w:val="24"/>
        </w:rPr>
        <w:t>m</w:t>
      </w:r>
      <w:r w:rsidR="004A6536" w:rsidRPr="009C69FE">
        <w:rPr>
          <w:rFonts w:cs="Arial"/>
          <w:sz w:val="24"/>
          <w:szCs w:val="24"/>
        </w:rPr>
        <w:t xml:space="preserve">ade in </w:t>
      </w:r>
      <w:proofErr w:type="spellStart"/>
      <w:r w:rsidR="004A6536" w:rsidRPr="009C69FE">
        <w:rPr>
          <w:rFonts w:cs="Arial"/>
          <w:b/>
          <w:sz w:val="24"/>
          <w:szCs w:val="24"/>
        </w:rPr>
        <w:t>Thermo</w:t>
      </w:r>
      <w:proofErr w:type="spellEnd"/>
      <w:r w:rsidR="004A6536" w:rsidRPr="009C69FE">
        <w:rPr>
          <w:rFonts w:cs="Arial"/>
          <w:b/>
          <w:sz w:val="24"/>
          <w:szCs w:val="24"/>
        </w:rPr>
        <w:t xml:space="preserve"> Engineers</w:t>
      </w:r>
      <w:r w:rsidR="004A6536" w:rsidRPr="009C69FE">
        <w:rPr>
          <w:rFonts w:cs="Arial"/>
          <w:sz w:val="24"/>
          <w:szCs w:val="24"/>
        </w:rPr>
        <w:t xml:space="preserve"> </w:t>
      </w:r>
      <w:r w:rsidRPr="009C69FE">
        <w:rPr>
          <w:rFonts w:cs="Arial"/>
          <w:sz w:val="24"/>
          <w:szCs w:val="24"/>
        </w:rPr>
        <w:t xml:space="preserve">concerning demarcation </w:t>
      </w:r>
      <w:r w:rsidR="00280BBE" w:rsidRPr="009C69FE">
        <w:rPr>
          <w:rFonts w:cs="Arial"/>
          <w:sz w:val="24"/>
          <w:szCs w:val="24"/>
        </w:rPr>
        <w:t>between the modes are</w:t>
      </w:r>
      <w:r w:rsidRPr="009C69FE">
        <w:rPr>
          <w:rFonts w:cs="Arial"/>
          <w:sz w:val="24"/>
          <w:szCs w:val="24"/>
        </w:rPr>
        <w:t xml:space="preserve"> interesting</w:t>
      </w:r>
      <w:r w:rsidR="00280BBE" w:rsidRPr="009C69FE">
        <w:rPr>
          <w:rFonts w:cs="Arial"/>
          <w:sz w:val="24"/>
          <w:szCs w:val="24"/>
        </w:rPr>
        <w:t xml:space="preserve">.  </w:t>
      </w:r>
      <w:r w:rsidR="00155A98" w:rsidRPr="009C69FE">
        <w:rPr>
          <w:rFonts w:cs="Arial"/>
          <w:sz w:val="24"/>
          <w:szCs w:val="24"/>
        </w:rPr>
        <w:t xml:space="preserve">It was suggested that art 2 was designed to fit in with the other convention.  </w:t>
      </w:r>
      <w:r w:rsidR="00280BBE" w:rsidRPr="009C69FE">
        <w:rPr>
          <w:rFonts w:cs="Arial"/>
          <w:sz w:val="24"/>
          <w:szCs w:val="24"/>
        </w:rPr>
        <w:t>Could t</w:t>
      </w:r>
      <w:r w:rsidR="00155A98" w:rsidRPr="009C69FE">
        <w:rPr>
          <w:rFonts w:cs="Arial"/>
          <w:sz w:val="24"/>
          <w:szCs w:val="24"/>
        </w:rPr>
        <w:t>his idea</w:t>
      </w:r>
      <w:r w:rsidR="004A6536" w:rsidRPr="009C69FE">
        <w:rPr>
          <w:rFonts w:cs="Arial"/>
          <w:sz w:val="24"/>
          <w:szCs w:val="24"/>
        </w:rPr>
        <w:t xml:space="preserve"> be helpful in other contexts?</w:t>
      </w:r>
      <w:r w:rsidR="00280BBE" w:rsidRPr="009C69FE">
        <w:rPr>
          <w:rFonts w:cs="Arial"/>
          <w:sz w:val="24"/>
          <w:szCs w:val="24"/>
        </w:rPr>
        <w:t xml:space="preserve">  Here </w:t>
      </w:r>
      <w:r w:rsidR="00155A98" w:rsidRPr="009C69FE">
        <w:rPr>
          <w:rFonts w:cs="Arial"/>
          <w:sz w:val="24"/>
          <w:szCs w:val="24"/>
        </w:rPr>
        <w:t xml:space="preserve">the Hague Rules only start when the loading starts so the focus </w:t>
      </w:r>
      <w:r w:rsidR="00C536B3" w:rsidRPr="009C69FE">
        <w:rPr>
          <w:rFonts w:cs="Arial"/>
          <w:sz w:val="24"/>
          <w:szCs w:val="24"/>
        </w:rPr>
        <w:t>can</w:t>
      </w:r>
      <w:r w:rsidR="00280BBE" w:rsidRPr="009C69FE">
        <w:rPr>
          <w:rFonts w:cs="Arial"/>
          <w:sz w:val="24"/>
          <w:szCs w:val="24"/>
        </w:rPr>
        <w:t xml:space="preserve"> be on the loading of the vehicle </w:t>
      </w:r>
      <w:r w:rsidR="00A476A1" w:rsidRPr="009C69FE">
        <w:rPr>
          <w:rFonts w:cs="Arial"/>
          <w:sz w:val="24"/>
          <w:szCs w:val="24"/>
        </w:rPr>
        <w:t xml:space="preserve">and </w:t>
      </w:r>
      <w:r w:rsidR="00280BBE" w:rsidRPr="009C69FE">
        <w:rPr>
          <w:rFonts w:cs="Arial"/>
          <w:sz w:val="24"/>
          <w:szCs w:val="24"/>
        </w:rPr>
        <w:t xml:space="preserve">the functions of those employed to load the ship.  </w:t>
      </w:r>
      <w:r w:rsidR="00155A98" w:rsidRPr="009C69FE">
        <w:rPr>
          <w:rFonts w:cs="Arial"/>
          <w:sz w:val="24"/>
          <w:szCs w:val="24"/>
        </w:rPr>
        <w:t>More difficult could be the concept of taking over</w:t>
      </w:r>
      <w:r w:rsidR="000B2F3F">
        <w:rPr>
          <w:rFonts w:cs="Arial"/>
          <w:sz w:val="24"/>
          <w:szCs w:val="24"/>
        </w:rPr>
        <w:t>,</w:t>
      </w:r>
      <w:r w:rsidR="00155A98" w:rsidRPr="009C69FE">
        <w:rPr>
          <w:rFonts w:cs="Arial"/>
          <w:sz w:val="24"/>
          <w:szCs w:val="24"/>
        </w:rPr>
        <w:t xml:space="preserve"> used in other conventions.  In </w:t>
      </w:r>
      <w:r w:rsidR="00155A98" w:rsidRPr="00C41E02">
        <w:rPr>
          <w:rFonts w:cs="Arial"/>
          <w:b/>
          <w:sz w:val="24"/>
          <w:szCs w:val="24"/>
          <w:bdr w:val="single" w:sz="4" w:space="0" w:color="auto"/>
        </w:rPr>
        <w:t>Quantum</w:t>
      </w:r>
      <w:r w:rsidR="00155A98" w:rsidRPr="009C69FE">
        <w:rPr>
          <w:rFonts w:cs="Arial"/>
          <w:b/>
          <w:sz w:val="24"/>
          <w:szCs w:val="24"/>
        </w:rPr>
        <w:t xml:space="preserve"> Corp Ltd v. Plane Trucking Ltd</w:t>
      </w:r>
      <w:r w:rsidR="00155A98" w:rsidRPr="009C69FE">
        <w:rPr>
          <w:rFonts w:cs="Arial"/>
          <w:sz w:val="24"/>
          <w:szCs w:val="24"/>
        </w:rPr>
        <w:t xml:space="preserve"> [2002] 2 Lloyd’s Rep. 25 (to be discussed below) </w:t>
      </w:r>
      <w:r w:rsidR="00540B91" w:rsidRPr="009C69FE">
        <w:rPr>
          <w:rFonts w:cs="Arial"/>
          <w:sz w:val="24"/>
          <w:szCs w:val="24"/>
        </w:rPr>
        <w:t xml:space="preserve">at para 28 </w:t>
      </w:r>
      <w:proofErr w:type="spellStart"/>
      <w:r w:rsidR="00540B91" w:rsidRPr="009C69FE">
        <w:rPr>
          <w:rFonts w:cs="Arial"/>
          <w:sz w:val="24"/>
          <w:szCs w:val="24"/>
        </w:rPr>
        <w:t>Mance</w:t>
      </w:r>
      <w:proofErr w:type="spellEnd"/>
      <w:r w:rsidR="00540B91" w:rsidRPr="009C69FE">
        <w:rPr>
          <w:rFonts w:cs="Arial"/>
          <w:sz w:val="24"/>
          <w:szCs w:val="24"/>
        </w:rPr>
        <w:t xml:space="preserve"> LJ alluded to the possible clash of conventions where </w:t>
      </w:r>
      <w:proofErr w:type="gramStart"/>
      <w:r w:rsidR="00540B91" w:rsidRPr="009C69FE">
        <w:rPr>
          <w:rFonts w:cs="Arial"/>
          <w:sz w:val="24"/>
          <w:szCs w:val="24"/>
        </w:rPr>
        <w:t>e.g.</w:t>
      </w:r>
      <w:proofErr w:type="gramEnd"/>
      <w:r w:rsidR="00540B91" w:rsidRPr="009C69FE">
        <w:rPr>
          <w:rFonts w:cs="Arial"/>
          <w:sz w:val="24"/>
          <w:szCs w:val="24"/>
        </w:rPr>
        <w:t xml:space="preserve"> goods </w:t>
      </w:r>
      <w:r w:rsidR="00C536B3" w:rsidRPr="009C69FE">
        <w:rPr>
          <w:rFonts w:cs="Arial"/>
          <w:sz w:val="24"/>
          <w:szCs w:val="24"/>
        </w:rPr>
        <w:t xml:space="preserve">are </w:t>
      </w:r>
      <w:r w:rsidR="00540B91" w:rsidRPr="009C69FE">
        <w:rPr>
          <w:rFonts w:cs="Arial"/>
          <w:sz w:val="24"/>
          <w:szCs w:val="24"/>
        </w:rPr>
        <w:t>in a road vehicle in an airport under a contract for carriage by road and air</w:t>
      </w:r>
      <w:r w:rsidR="00C536B3" w:rsidRPr="009C69FE">
        <w:rPr>
          <w:rFonts w:cs="Arial"/>
          <w:sz w:val="24"/>
          <w:szCs w:val="24"/>
        </w:rPr>
        <w:t>.  One way to resolve it would be by recognizing the different capacities in which the goods were held.</w:t>
      </w:r>
      <w:r w:rsidR="002137F7" w:rsidRPr="009C69FE">
        <w:rPr>
          <w:rFonts w:cs="Arial"/>
          <w:sz w:val="24"/>
          <w:szCs w:val="24"/>
        </w:rPr>
        <w:t xml:space="preserve"> See </w:t>
      </w:r>
      <w:r w:rsidR="002137F7" w:rsidRPr="009C69FE">
        <w:rPr>
          <w:rFonts w:cs="Arial"/>
          <w:b/>
          <w:sz w:val="24"/>
          <w:szCs w:val="24"/>
        </w:rPr>
        <w:t xml:space="preserve">Swiss Bank Corporation </w:t>
      </w:r>
      <w:proofErr w:type="gramStart"/>
      <w:r w:rsidR="002137F7" w:rsidRPr="009C69FE">
        <w:rPr>
          <w:rFonts w:cs="Arial"/>
          <w:b/>
          <w:sz w:val="24"/>
          <w:szCs w:val="24"/>
        </w:rPr>
        <w:t>v</w:t>
      </w:r>
      <w:proofErr w:type="gramEnd"/>
      <w:r w:rsidR="002137F7" w:rsidRPr="009C69FE">
        <w:rPr>
          <w:rFonts w:cs="Arial"/>
          <w:b/>
          <w:sz w:val="24"/>
          <w:szCs w:val="24"/>
        </w:rPr>
        <w:t xml:space="preserve"> Brink’s-Mat Ltd</w:t>
      </w:r>
      <w:r w:rsidR="002137F7" w:rsidRPr="009C69FE">
        <w:rPr>
          <w:rFonts w:cs="Arial"/>
          <w:sz w:val="24"/>
          <w:szCs w:val="24"/>
        </w:rPr>
        <w:t xml:space="preserve"> [1986]</w:t>
      </w:r>
      <w:r w:rsidR="007E4669" w:rsidRPr="009C69FE">
        <w:rPr>
          <w:rFonts w:cs="Arial"/>
          <w:sz w:val="24"/>
          <w:szCs w:val="24"/>
        </w:rPr>
        <w:t xml:space="preserve"> QB 853 for a case illustrating</w:t>
      </w:r>
      <w:r w:rsidR="002137F7" w:rsidRPr="009C69FE">
        <w:rPr>
          <w:rFonts w:cs="Arial"/>
          <w:sz w:val="24"/>
          <w:szCs w:val="24"/>
        </w:rPr>
        <w:t xml:space="preserve"> the factual difficulties in demarcating the transfer of goods from one carrier to another</w:t>
      </w:r>
      <w:r w:rsidR="007E4669" w:rsidRPr="009C69FE">
        <w:rPr>
          <w:rFonts w:cs="Arial"/>
          <w:sz w:val="24"/>
          <w:szCs w:val="24"/>
        </w:rPr>
        <w:t xml:space="preserve"> quite apart from where the same carrier </w:t>
      </w:r>
      <w:r w:rsidR="00565706" w:rsidRPr="009C69FE">
        <w:rPr>
          <w:rFonts w:cs="Arial"/>
          <w:sz w:val="24"/>
          <w:szCs w:val="24"/>
        </w:rPr>
        <w:t>is acting in both capacities</w:t>
      </w:r>
      <w:r w:rsidR="002137F7" w:rsidRPr="009C69FE">
        <w:rPr>
          <w:rFonts w:cs="Arial"/>
          <w:sz w:val="24"/>
          <w:szCs w:val="24"/>
        </w:rPr>
        <w:t>.</w:t>
      </w:r>
    </w:p>
    <w:p w14:paraId="206D8BF5" w14:textId="038665AC" w:rsidR="00BC0634" w:rsidRPr="009C69FE" w:rsidRDefault="00F75483" w:rsidP="00BC0634">
      <w:pPr>
        <w:rPr>
          <w:rFonts w:cs="Arial"/>
          <w:sz w:val="24"/>
          <w:szCs w:val="24"/>
        </w:rPr>
      </w:pPr>
      <w:r w:rsidRPr="009C69FE">
        <w:rPr>
          <w:rFonts w:cs="Arial"/>
          <w:sz w:val="24"/>
          <w:szCs w:val="24"/>
        </w:rPr>
        <w:t>A connected</w:t>
      </w:r>
      <w:r w:rsidR="00BC0634" w:rsidRPr="009C69FE">
        <w:rPr>
          <w:rFonts w:cs="Arial"/>
          <w:sz w:val="24"/>
          <w:szCs w:val="24"/>
        </w:rPr>
        <w:t xml:space="preserve"> point to make regarding Article 2 is </w:t>
      </w:r>
      <w:r w:rsidRPr="009C69FE">
        <w:rPr>
          <w:rFonts w:cs="Arial"/>
          <w:sz w:val="24"/>
          <w:szCs w:val="24"/>
        </w:rPr>
        <w:t xml:space="preserve">that given that another transport mode is involved it may give rise to a clash of conventions. </w:t>
      </w:r>
      <w:r w:rsidR="00BC0634" w:rsidRPr="009C69FE">
        <w:rPr>
          <w:rFonts w:cs="Arial"/>
          <w:sz w:val="24"/>
          <w:szCs w:val="24"/>
        </w:rPr>
        <w:t xml:space="preserve"> If </w:t>
      </w:r>
      <w:r w:rsidR="008C2C97" w:rsidRPr="009C69FE">
        <w:rPr>
          <w:rFonts w:cs="Arial"/>
          <w:sz w:val="24"/>
          <w:szCs w:val="24"/>
        </w:rPr>
        <w:t>e.g.,</w:t>
      </w:r>
      <w:r w:rsidR="00BC0634" w:rsidRPr="009C69FE">
        <w:rPr>
          <w:rFonts w:cs="Arial"/>
          <w:sz w:val="24"/>
          <w:szCs w:val="24"/>
        </w:rPr>
        <w:t xml:space="preserve"> a shipowner issues a bill of lading governed by the Hague-Visby Rules for sea carriage but also, under the contact, provides a </w:t>
      </w:r>
      <w:r w:rsidRPr="009C69FE">
        <w:rPr>
          <w:rFonts w:cs="Arial"/>
          <w:sz w:val="24"/>
          <w:szCs w:val="24"/>
        </w:rPr>
        <w:t xml:space="preserve">collection and delivery service using a trailer on which the </w:t>
      </w:r>
      <w:r w:rsidR="00BC0634" w:rsidRPr="009C69FE">
        <w:rPr>
          <w:rFonts w:cs="Arial"/>
          <w:sz w:val="24"/>
          <w:szCs w:val="24"/>
        </w:rPr>
        <w:t xml:space="preserve">goods </w:t>
      </w:r>
      <w:r w:rsidRPr="009C69FE">
        <w:rPr>
          <w:rFonts w:cs="Arial"/>
          <w:sz w:val="24"/>
          <w:szCs w:val="24"/>
        </w:rPr>
        <w:t>remain during the sea carriage does</w:t>
      </w:r>
      <w:r w:rsidR="00BC0634" w:rsidRPr="009C69FE">
        <w:rPr>
          <w:rFonts w:cs="Arial"/>
          <w:sz w:val="24"/>
          <w:szCs w:val="24"/>
        </w:rPr>
        <w:t xml:space="preserve"> CMR or </w:t>
      </w:r>
      <w:r w:rsidRPr="009C69FE">
        <w:rPr>
          <w:rFonts w:cs="Arial"/>
          <w:sz w:val="24"/>
          <w:szCs w:val="24"/>
        </w:rPr>
        <w:t xml:space="preserve">Hague-Visby rules apply or </w:t>
      </w:r>
      <w:r w:rsidR="00BC0634" w:rsidRPr="009C69FE">
        <w:rPr>
          <w:rFonts w:cs="Arial"/>
          <w:sz w:val="24"/>
          <w:szCs w:val="24"/>
        </w:rPr>
        <w:t xml:space="preserve">both?  </w:t>
      </w:r>
      <w:r w:rsidRPr="009C69FE">
        <w:rPr>
          <w:rFonts w:cs="Arial"/>
          <w:sz w:val="24"/>
          <w:szCs w:val="24"/>
        </w:rPr>
        <w:t xml:space="preserve">The shipowner might expect to rely on art VII of the </w:t>
      </w:r>
      <w:r w:rsidR="001D31F2">
        <w:rPr>
          <w:rFonts w:cs="Arial"/>
          <w:sz w:val="24"/>
          <w:szCs w:val="24"/>
        </w:rPr>
        <w:t xml:space="preserve">Hague-Visby </w:t>
      </w:r>
      <w:r w:rsidRPr="009C69FE">
        <w:rPr>
          <w:rFonts w:cs="Arial"/>
          <w:sz w:val="24"/>
          <w:szCs w:val="24"/>
        </w:rPr>
        <w:t>Rules to exclude liability for the pre or post sea carriage</w:t>
      </w:r>
      <w:r w:rsidR="0024634F" w:rsidRPr="009C69FE">
        <w:rPr>
          <w:rFonts w:cs="Arial"/>
          <w:sz w:val="24"/>
          <w:szCs w:val="24"/>
        </w:rPr>
        <w:t xml:space="preserve"> but be defeated by CMR</w:t>
      </w:r>
      <w:r w:rsidRPr="009C69FE">
        <w:rPr>
          <w:rFonts w:cs="Arial"/>
          <w:sz w:val="24"/>
          <w:szCs w:val="24"/>
        </w:rPr>
        <w:t xml:space="preserve">.  In </w:t>
      </w:r>
      <w:r w:rsidRPr="009C69FE">
        <w:rPr>
          <w:rFonts w:cs="Arial"/>
          <w:b/>
          <w:sz w:val="24"/>
          <w:szCs w:val="24"/>
        </w:rPr>
        <w:t>Quantum</w:t>
      </w:r>
      <w:r w:rsidR="0024634F" w:rsidRPr="009C69FE">
        <w:rPr>
          <w:rFonts w:cs="Arial"/>
          <w:sz w:val="24"/>
          <w:szCs w:val="24"/>
        </w:rPr>
        <w:t xml:space="preserve"> </w:t>
      </w:r>
      <w:proofErr w:type="spellStart"/>
      <w:r w:rsidR="0024634F" w:rsidRPr="009C69FE">
        <w:rPr>
          <w:rFonts w:cs="Arial"/>
          <w:sz w:val="24"/>
          <w:szCs w:val="24"/>
        </w:rPr>
        <w:t>Mance</w:t>
      </w:r>
      <w:proofErr w:type="spellEnd"/>
      <w:r w:rsidR="0024634F" w:rsidRPr="009C69FE">
        <w:rPr>
          <w:rFonts w:cs="Arial"/>
          <w:sz w:val="24"/>
          <w:szCs w:val="24"/>
        </w:rPr>
        <w:t xml:space="preserve"> LJ made a further suggestion in respect of a possible </w:t>
      </w:r>
      <w:r w:rsidRPr="009C69FE">
        <w:rPr>
          <w:rFonts w:cs="Arial"/>
          <w:sz w:val="24"/>
          <w:szCs w:val="24"/>
        </w:rPr>
        <w:t xml:space="preserve">clash </w:t>
      </w:r>
      <w:r w:rsidR="0024634F" w:rsidRPr="009C69FE">
        <w:rPr>
          <w:rFonts w:cs="Arial"/>
          <w:sz w:val="24"/>
          <w:szCs w:val="24"/>
        </w:rPr>
        <w:t xml:space="preserve">between the air and road </w:t>
      </w:r>
      <w:r w:rsidR="00E9336E" w:rsidRPr="009C69FE">
        <w:rPr>
          <w:rFonts w:cs="Arial"/>
          <w:sz w:val="24"/>
          <w:szCs w:val="24"/>
        </w:rPr>
        <w:t xml:space="preserve">conventions </w:t>
      </w:r>
      <w:r w:rsidR="0024634F" w:rsidRPr="009C69FE">
        <w:rPr>
          <w:rFonts w:cs="Arial"/>
          <w:sz w:val="24"/>
          <w:szCs w:val="24"/>
        </w:rPr>
        <w:t xml:space="preserve">that </w:t>
      </w:r>
      <w:r w:rsidR="00E9336E" w:rsidRPr="009C69FE">
        <w:rPr>
          <w:rFonts w:cs="Arial"/>
          <w:sz w:val="24"/>
          <w:szCs w:val="24"/>
        </w:rPr>
        <w:t>there is normally nothing to prevent a carrier from adopting a higher liability (referring to art 41 of CMR – a doubtful interpretation</w:t>
      </w:r>
      <w:r w:rsidR="0024634F" w:rsidRPr="009C69FE">
        <w:rPr>
          <w:rFonts w:cs="Arial"/>
          <w:sz w:val="24"/>
          <w:szCs w:val="24"/>
        </w:rPr>
        <w:t xml:space="preserve"> – see above</w:t>
      </w:r>
      <w:r w:rsidR="00E9336E" w:rsidRPr="009C69FE">
        <w:rPr>
          <w:rFonts w:cs="Arial"/>
          <w:sz w:val="24"/>
          <w:szCs w:val="24"/>
        </w:rPr>
        <w:t xml:space="preserve">).  </w:t>
      </w:r>
      <w:r w:rsidR="0024634F" w:rsidRPr="009C69FE">
        <w:rPr>
          <w:rFonts w:cs="Arial"/>
          <w:sz w:val="24"/>
          <w:szCs w:val="24"/>
        </w:rPr>
        <w:t xml:space="preserve">In our example the sea carrier cannot </w:t>
      </w:r>
      <w:r w:rsidR="00E35BD3">
        <w:rPr>
          <w:rFonts w:cs="Arial"/>
          <w:sz w:val="24"/>
          <w:szCs w:val="24"/>
        </w:rPr>
        <w:t xml:space="preserve">really </w:t>
      </w:r>
      <w:r w:rsidR="0024634F" w:rsidRPr="009C69FE">
        <w:rPr>
          <w:rFonts w:cs="Arial"/>
          <w:sz w:val="24"/>
          <w:szCs w:val="24"/>
        </w:rPr>
        <w:t xml:space="preserve">be said to adopt the stricter CMR </w:t>
      </w:r>
      <w:proofErr w:type="gramStart"/>
      <w:r w:rsidR="0024634F" w:rsidRPr="009C69FE">
        <w:rPr>
          <w:rFonts w:cs="Arial"/>
          <w:sz w:val="24"/>
          <w:szCs w:val="24"/>
        </w:rPr>
        <w:t>rules</w:t>
      </w:r>
      <w:proofErr w:type="gramEnd"/>
      <w:r w:rsidR="0024634F" w:rsidRPr="009C69FE">
        <w:rPr>
          <w:rFonts w:cs="Arial"/>
          <w:sz w:val="24"/>
          <w:szCs w:val="24"/>
        </w:rPr>
        <w:t xml:space="preserve"> but a court faced with such a clash and unable to decide whether one convention </w:t>
      </w:r>
      <w:r w:rsidR="0024634F" w:rsidRPr="009C69FE">
        <w:rPr>
          <w:rFonts w:cs="Arial"/>
          <w:sz w:val="24"/>
          <w:szCs w:val="24"/>
        </w:rPr>
        <w:lastRenderedPageBreak/>
        <w:t>applies rather than the other might adopt this as a rule.</w:t>
      </w:r>
      <w:r w:rsidR="00786CDB" w:rsidRPr="009C69FE">
        <w:rPr>
          <w:rFonts w:cs="Arial"/>
          <w:sz w:val="24"/>
          <w:szCs w:val="24"/>
        </w:rPr>
        <w:t xml:space="preserve">  The Rotterdam Rules </w:t>
      </w:r>
      <w:proofErr w:type="gramStart"/>
      <w:r w:rsidR="00786CDB" w:rsidRPr="009C69FE">
        <w:rPr>
          <w:rFonts w:cs="Arial"/>
          <w:sz w:val="24"/>
          <w:szCs w:val="24"/>
        </w:rPr>
        <w:t>recognise</w:t>
      </w:r>
      <w:proofErr w:type="gramEnd"/>
      <w:r w:rsidR="00786CDB" w:rsidRPr="009C69FE">
        <w:rPr>
          <w:rFonts w:cs="Arial"/>
          <w:sz w:val="24"/>
          <w:szCs w:val="24"/>
        </w:rPr>
        <w:t xml:space="preserve"> this possibility and make specific provision for it (see below).</w:t>
      </w:r>
    </w:p>
    <w:p w14:paraId="259EEB34" w14:textId="77777777" w:rsidR="00A476A1" w:rsidRPr="009C69FE" w:rsidRDefault="00A476A1" w:rsidP="00A476A1">
      <w:pPr>
        <w:rPr>
          <w:rFonts w:cs="Arial"/>
          <w:sz w:val="24"/>
          <w:szCs w:val="24"/>
        </w:rPr>
      </w:pPr>
      <w:r w:rsidRPr="009C69FE">
        <w:rPr>
          <w:rFonts w:cs="Arial"/>
          <w:b/>
          <w:sz w:val="24"/>
          <w:szCs w:val="24"/>
        </w:rPr>
        <w:t>4.2.2 CIM</w:t>
      </w:r>
      <w:r w:rsidRPr="009C69FE">
        <w:rPr>
          <w:rFonts w:cs="Arial"/>
          <w:sz w:val="24"/>
          <w:szCs w:val="24"/>
        </w:rPr>
        <w:br/>
      </w:r>
      <w:r w:rsidRPr="009C69FE">
        <w:rPr>
          <w:rFonts w:cs="Arial"/>
          <w:sz w:val="24"/>
          <w:szCs w:val="24"/>
        </w:rPr>
        <w:br/>
        <w:t xml:space="preserve">Article 1(4) of URCIM provides that CIM can be extended to any carriage by sea or inland waterways provided within a single contract </w:t>
      </w:r>
      <w:proofErr w:type="gramStart"/>
      <w:r w:rsidRPr="009C69FE">
        <w:rPr>
          <w:rFonts w:cs="Arial"/>
          <w:sz w:val="24"/>
          <w:szCs w:val="24"/>
        </w:rPr>
        <w:t>as long as</w:t>
      </w:r>
      <w:proofErr w:type="gramEnd"/>
      <w:r w:rsidRPr="009C69FE">
        <w:rPr>
          <w:rFonts w:cs="Arial"/>
          <w:sz w:val="24"/>
          <w:szCs w:val="24"/>
        </w:rPr>
        <w:t xml:space="preserve"> the service is included within the list </w:t>
      </w:r>
      <w:r w:rsidR="00E35BD3">
        <w:rPr>
          <w:rFonts w:cs="Arial"/>
          <w:sz w:val="24"/>
          <w:szCs w:val="24"/>
        </w:rPr>
        <w:t xml:space="preserve">of </w:t>
      </w:r>
      <w:r w:rsidRPr="009C69FE">
        <w:rPr>
          <w:rFonts w:cs="Arial"/>
          <w:sz w:val="24"/>
          <w:szCs w:val="24"/>
        </w:rPr>
        <w:t>services maintained under the convention.  CIM goes on the allow (art.38) a member state to allow certain limited defences to be added to the defences normally available to fit with the defences more usually available in sea carriage. A special combined transport consignment note is available to cover these services and the CIT has established both a set of standard conditions (GTC- Rail-Sea Traffic) and a boile</w:t>
      </w:r>
      <w:r w:rsidR="00E35BD3">
        <w:rPr>
          <w:rFonts w:cs="Arial"/>
          <w:sz w:val="24"/>
          <w:szCs w:val="24"/>
        </w:rPr>
        <w:t>rplate contract for use with them</w:t>
      </w:r>
      <w:r w:rsidRPr="009C69FE">
        <w:rPr>
          <w:rFonts w:cs="Arial"/>
          <w:sz w:val="24"/>
          <w:szCs w:val="24"/>
        </w:rPr>
        <w:t>.</w:t>
      </w:r>
    </w:p>
    <w:p w14:paraId="5CB20261" w14:textId="77777777" w:rsidR="00A476A1" w:rsidRPr="009C69FE" w:rsidRDefault="00A476A1" w:rsidP="00A476A1">
      <w:pPr>
        <w:rPr>
          <w:rFonts w:cs="Arial"/>
          <w:sz w:val="24"/>
          <w:szCs w:val="24"/>
        </w:rPr>
      </w:pPr>
      <w:r w:rsidRPr="009C69FE">
        <w:rPr>
          <w:rFonts w:cs="Arial"/>
          <w:sz w:val="24"/>
          <w:szCs w:val="24"/>
        </w:rPr>
        <w:t>In addition</w:t>
      </w:r>
      <w:r w:rsidR="001D31F2">
        <w:rPr>
          <w:rFonts w:cs="Arial"/>
          <w:sz w:val="24"/>
          <w:szCs w:val="24"/>
        </w:rPr>
        <w:t>,</w:t>
      </w:r>
      <w:r w:rsidRPr="009C69FE">
        <w:rPr>
          <w:rFonts w:cs="Arial"/>
          <w:sz w:val="24"/>
          <w:szCs w:val="24"/>
        </w:rPr>
        <w:t xml:space="preserve"> CIM </w:t>
      </w:r>
      <w:r w:rsidR="0024634F" w:rsidRPr="009C69FE">
        <w:rPr>
          <w:rFonts w:cs="Arial"/>
          <w:sz w:val="24"/>
          <w:szCs w:val="24"/>
        </w:rPr>
        <w:t>art</w:t>
      </w:r>
      <w:r w:rsidR="001D31F2">
        <w:rPr>
          <w:rFonts w:cs="Arial"/>
          <w:sz w:val="24"/>
          <w:szCs w:val="24"/>
        </w:rPr>
        <w:t>.</w:t>
      </w:r>
      <w:r w:rsidR="0024634F" w:rsidRPr="009C69FE">
        <w:rPr>
          <w:rFonts w:cs="Arial"/>
          <w:sz w:val="24"/>
          <w:szCs w:val="24"/>
        </w:rPr>
        <w:t xml:space="preserve">1(3) also applies the Rules to </w:t>
      </w:r>
      <w:r w:rsidRPr="009C69FE">
        <w:rPr>
          <w:rFonts w:cs="Arial"/>
          <w:sz w:val="24"/>
          <w:szCs w:val="24"/>
        </w:rPr>
        <w:t xml:space="preserve">carriage by </w:t>
      </w:r>
      <w:r w:rsidR="0024634F" w:rsidRPr="009C69FE">
        <w:rPr>
          <w:rFonts w:cs="Arial"/>
          <w:sz w:val="24"/>
          <w:szCs w:val="24"/>
        </w:rPr>
        <w:t xml:space="preserve">inland waterway or </w:t>
      </w:r>
      <w:r w:rsidRPr="009C69FE">
        <w:rPr>
          <w:rFonts w:cs="Arial"/>
          <w:sz w:val="24"/>
          <w:szCs w:val="24"/>
        </w:rPr>
        <w:t>road</w:t>
      </w:r>
      <w:r w:rsidR="0024634F" w:rsidRPr="009C69FE">
        <w:rPr>
          <w:rFonts w:cs="Arial"/>
          <w:sz w:val="24"/>
          <w:szCs w:val="24"/>
        </w:rPr>
        <w:t xml:space="preserve"> in internal traffic of a Member State as a supplement to </w:t>
      </w:r>
      <w:r w:rsidR="006B1E59" w:rsidRPr="009C69FE">
        <w:rPr>
          <w:rFonts w:cs="Arial"/>
          <w:sz w:val="24"/>
          <w:szCs w:val="24"/>
        </w:rPr>
        <w:t>trans frontier</w:t>
      </w:r>
      <w:r w:rsidR="0024634F" w:rsidRPr="009C69FE">
        <w:rPr>
          <w:rFonts w:cs="Arial"/>
          <w:sz w:val="24"/>
          <w:szCs w:val="24"/>
        </w:rPr>
        <w:t xml:space="preserve"> </w:t>
      </w:r>
      <w:r w:rsidR="00CE7698" w:rsidRPr="009C69FE">
        <w:rPr>
          <w:rFonts w:cs="Arial"/>
          <w:sz w:val="24"/>
          <w:szCs w:val="24"/>
        </w:rPr>
        <w:t>carriage by rail.</w:t>
      </w:r>
    </w:p>
    <w:p w14:paraId="341230EF" w14:textId="77777777" w:rsidR="004C6064" w:rsidRPr="009C69FE" w:rsidRDefault="00E12137" w:rsidP="004C6064">
      <w:pPr>
        <w:rPr>
          <w:rFonts w:cs="Arial"/>
          <w:sz w:val="24"/>
          <w:szCs w:val="24"/>
        </w:rPr>
      </w:pPr>
      <w:r w:rsidRPr="009C69FE">
        <w:rPr>
          <w:rFonts w:cs="Arial"/>
          <w:b/>
          <w:sz w:val="24"/>
          <w:szCs w:val="24"/>
        </w:rPr>
        <w:t xml:space="preserve">4.3 </w:t>
      </w:r>
      <w:r w:rsidR="004C6064" w:rsidRPr="009C69FE">
        <w:rPr>
          <w:rFonts w:cs="Arial"/>
          <w:b/>
          <w:sz w:val="24"/>
          <w:szCs w:val="24"/>
        </w:rPr>
        <w:t>Applicability of Modal Conventions to Part of a Transit</w:t>
      </w:r>
      <w:r w:rsidR="004C6064" w:rsidRPr="009C69FE">
        <w:rPr>
          <w:rFonts w:cs="Arial"/>
          <w:b/>
          <w:sz w:val="24"/>
          <w:szCs w:val="24"/>
        </w:rPr>
        <w:br/>
      </w:r>
      <w:r w:rsidR="004C6064" w:rsidRPr="009C69FE">
        <w:rPr>
          <w:rFonts w:cs="Arial"/>
          <w:sz w:val="24"/>
          <w:szCs w:val="24"/>
        </w:rPr>
        <w:br/>
      </w:r>
      <w:r w:rsidRPr="009C69FE">
        <w:rPr>
          <w:rFonts w:cs="Arial"/>
          <w:b/>
          <w:sz w:val="24"/>
          <w:szCs w:val="24"/>
        </w:rPr>
        <w:t>4.3.1</w:t>
      </w:r>
      <w:r w:rsidRPr="009C69FE">
        <w:rPr>
          <w:rFonts w:cs="Arial"/>
          <w:sz w:val="24"/>
          <w:szCs w:val="24"/>
        </w:rPr>
        <w:t xml:space="preserve"> </w:t>
      </w:r>
      <w:r w:rsidR="00876014" w:rsidRPr="009C69FE">
        <w:rPr>
          <w:rFonts w:cs="Arial"/>
          <w:sz w:val="24"/>
          <w:szCs w:val="24"/>
        </w:rPr>
        <w:t xml:space="preserve">Unlike carriage by air (see </w:t>
      </w:r>
      <w:proofErr w:type="gramStart"/>
      <w:r w:rsidR="00876014" w:rsidRPr="009C69FE">
        <w:rPr>
          <w:rFonts w:cs="Arial"/>
          <w:sz w:val="24"/>
          <w:szCs w:val="24"/>
        </w:rPr>
        <w:t>e.g.</w:t>
      </w:r>
      <w:proofErr w:type="gramEnd"/>
      <w:r w:rsidR="00876014" w:rsidRPr="009C69FE">
        <w:rPr>
          <w:rFonts w:cs="Arial"/>
          <w:sz w:val="24"/>
          <w:szCs w:val="24"/>
        </w:rPr>
        <w:t xml:space="preserve"> art</w:t>
      </w:r>
      <w:r w:rsidR="00A711BF">
        <w:rPr>
          <w:rFonts w:cs="Arial"/>
          <w:sz w:val="24"/>
          <w:szCs w:val="24"/>
        </w:rPr>
        <w:t>.</w:t>
      </w:r>
      <w:r w:rsidR="00876014" w:rsidRPr="009C69FE">
        <w:rPr>
          <w:rFonts w:eastAsia="Calibri" w:cs="Arial"/>
          <w:sz w:val="24"/>
          <w:szCs w:val="24"/>
        </w:rPr>
        <w:t xml:space="preserve">38 </w:t>
      </w:r>
      <w:r w:rsidR="00876014" w:rsidRPr="009C69FE">
        <w:rPr>
          <w:rFonts w:cs="Arial"/>
          <w:sz w:val="24"/>
          <w:szCs w:val="24"/>
        </w:rPr>
        <w:t xml:space="preserve">of the Montreal Convention </w:t>
      </w:r>
      <w:r w:rsidR="00876014" w:rsidRPr="009C69FE">
        <w:rPr>
          <w:rFonts w:eastAsia="Calibri" w:cs="Arial"/>
          <w:sz w:val="24"/>
          <w:szCs w:val="24"/>
        </w:rPr>
        <w:t>which provides that where there is combined carriage the provisions of the Convention s</w:t>
      </w:r>
      <w:r w:rsidR="00876014" w:rsidRPr="009C69FE">
        <w:rPr>
          <w:rFonts w:cs="Arial"/>
          <w:sz w:val="24"/>
          <w:szCs w:val="24"/>
        </w:rPr>
        <w:t>hall only</w:t>
      </w:r>
      <w:r w:rsidR="00876014" w:rsidRPr="009C69FE">
        <w:rPr>
          <w:rFonts w:eastAsia="Calibri" w:cs="Arial"/>
          <w:sz w:val="24"/>
          <w:szCs w:val="24"/>
        </w:rPr>
        <w:t xml:space="preserve"> apply to the carriage by air if that carriage falls within the Convention</w:t>
      </w:r>
      <w:r w:rsidR="00876014" w:rsidRPr="009C69FE">
        <w:rPr>
          <w:rFonts w:cs="Arial"/>
          <w:sz w:val="24"/>
          <w:szCs w:val="24"/>
        </w:rPr>
        <w:t xml:space="preserve">) CMR and CIM </w:t>
      </w:r>
      <w:r w:rsidR="004C6064" w:rsidRPr="009C69FE">
        <w:rPr>
          <w:rFonts w:cs="Arial"/>
          <w:sz w:val="24"/>
          <w:szCs w:val="24"/>
        </w:rPr>
        <w:t xml:space="preserve">do not deal </w:t>
      </w:r>
      <w:r w:rsidR="001E2AFE" w:rsidRPr="009C69FE">
        <w:rPr>
          <w:rFonts w:cs="Arial"/>
          <w:sz w:val="24"/>
          <w:szCs w:val="24"/>
        </w:rPr>
        <w:t>expressly with</w:t>
      </w:r>
      <w:r w:rsidR="004C6064" w:rsidRPr="009C69FE">
        <w:rPr>
          <w:rFonts w:cs="Arial"/>
          <w:sz w:val="24"/>
          <w:szCs w:val="24"/>
        </w:rPr>
        <w:t xml:space="preserve"> whether they can be </w:t>
      </w:r>
      <w:r w:rsidR="00876014" w:rsidRPr="009C69FE">
        <w:rPr>
          <w:rFonts w:cs="Arial"/>
          <w:sz w:val="24"/>
          <w:szCs w:val="24"/>
        </w:rPr>
        <w:t xml:space="preserve">applied to part of a movement. </w:t>
      </w:r>
      <w:r w:rsidR="004C6064" w:rsidRPr="009C69FE">
        <w:rPr>
          <w:rFonts w:cs="Arial"/>
          <w:sz w:val="24"/>
          <w:szCs w:val="24"/>
        </w:rPr>
        <w:t>There is an argument that a contract for combined or multimodal transport is a special contract which falls outside the operation of these modal conventions.</w:t>
      </w:r>
      <w:r w:rsidR="001E2AFE" w:rsidRPr="009C69FE">
        <w:rPr>
          <w:rFonts w:cs="Arial"/>
          <w:sz w:val="24"/>
          <w:szCs w:val="24"/>
        </w:rPr>
        <w:t xml:space="preserve">  Thi</w:t>
      </w:r>
      <w:r w:rsidR="002137F7" w:rsidRPr="009C69FE">
        <w:rPr>
          <w:rFonts w:cs="Arial"/>
          <w:sz w:val="24"/>
          <w:szCs w:val="24"/>
        </w:rPr>
        <w:t>s is a point which arises generally in</w:t>
      </w:r>
      <w:r w:rsidR="001E2AFE" w:rsidRPr="009C69FE">
        <w:rPr>
          <w:rFonts w:cs="Arial"/>
          <w:sz w:val="24"/>
          <w:szCs w:val="24"/>
        </w:rPr>
        <w:t xml:space="preserve"> cases of multimodal tr</w:t>
      </w:r>
      <w:r w:rsidR="002137F7" w:rsidRPr="009C69FE">
        <w:rPr>
          <w:rFonts w:cs="Arial"/>
          <w:sz w:val="24"/>
          <w:szCs w:val="24"/>
        </w:rPr>
        <w:t xml:space="preserve">ansport (but </w:t>
      </w:r>
      <w:r w:rsidR="00FD2493" w:rsidRPr="009C69FE">
        <w:rPr>
          <w:rFonts w:cs="Arial"/>
          <w:sz w:val="24"/>
          <w:szCs w:val="24"/>
        </w:rPr>
        <w:t>seems</w:t>
      </w:r>
      <w:r w:rsidR="002137F7" w:rsidRPr="009C69FE">
        <w:rPr>
          <w:rFonts w:cs="Arial"/>
          <w:sz w:val="24"/>
          <w:szCs w:val="24"/>
        </w:rPr>
        <w:t xml:space="preserve"> less arguable for air carriage given art</w:t>
      </w:r>
      <w:r w:rsidR="00A711BF">
        <w:rPr>
          <w:rFonts w:cs="Arial"/>
          <w:sz w:val="24"/>
          <w:szCs w:val="24"/>
        </w:rPr>
        <w:t>.</w:t>
      </w:r>
      <w:r w:rsidR="002137F7" w:rsidRPr="009C69FE">
        <w:rPr>
          <w:rFonts w:cs="Arial"/>
          <w:sz w:val="24"/>
          <w:szCs w:val="24"/>
        </w:rPr>
        <w:t>38) and is a crucial issue.</w:t>
      </w:r>
    </w:p>
    <w:p w14:paraId="38EC17AB" w14:textId="77777777" w:rsidR="00F503E3" w:rsidRPr="009C69FE" w:rsidRDefault="001E2AFE" w:rsidP="004C6064">
      <w:pPr>
        <w:rPr>
          <w:rFonts w:cs="Arial"/>
          <w:sz w:val="24"/>
          <w:szCs w:val="24"/>
        </w:rPr>
      </w:pPr>
      <w:r w:rsidRPr="009C69FE">
        <w:rPr>
          <w:rFonts w:cs="Arial"/>
          <w:sz w:val="24"/>
          <w:szCs w:val="24"/>
        </w:rPr>
        <w:t>In</w:t>
      </w:r>
      <w:r w:rsidR="004C6064" w:rsidRPr="009C69FE">
        <w:rPr>
          <w:rFonts w:cs="Arial"/>
          <w:sz w:val="24"/>
          <w:szCs w:val="24"/>
        </w:rPr>
        <w:t xml:space="preserve"> </w:t>
      </w:r>
      <w:r w:rsidR="004C6064" w:rsidRPr="009C69FE">
        <w:rPr>
          <w:rFonts w:cs="Arial"/>
          <w:b/>
          <w:sz w:val="24"/>
          <w:szCs w:val="24"/>
        </w:rPr>
        <w:t>Quantum Corp Ltd v. Plane Trucking Ltd</w:t>
      </w:r>
      <w:r w:rsidR="00FD2493" w:rsidRPr="009C69FE">
        <w:rPr>
          <w:rFonts w:cs="Arial"/>
          <w:sz w:val="24"/>
          <w:szCs w:val="24"/>
        </w:rPr>
        <w:t xml:space="preserve"> (see above)</w:t>
      </w:r>
      <w:r w:rsidRPr="009C69FE">
        <w:rPr>
          <w:rFonts w:cs="Arial"/>
          <w:sz w:val="24"/>
          <w:szCs w:val="24"/>
        </w:rPr>
        <w:t xml:space="preserve">, </w:t>
      </w:r>
      <w:r w:rsidR="004C6064" w:rsidRPr="009C69FE">
        <w:rPr>
          <w:rFonts w:cs="Arial"/>
          <w:sz w:val="24"/>
          <w:szCs w:val="24"/>
        </w:rPr>
        <w:t>Air France agreed to carry 11.520 hard disc drives from Singapore to Dublin.  The contract was covered by an air waybill</w:t>
      </w:r>
      <w:r w:rsidR="00A711BF">
        <w:rPr>
          <w:rFonts w:cs="Arial"/>
          <w:sz w:val="24"/>
          <w:szCs w:val="24"/>
        </w:rPr>
        <w:t xml:space="preserve"> </w:t>
      </w:r>
      <w:r w:rsidR="004C6064" w:rsidRPr="009C69FE">
        <w:rPr>
          <w:rFonts w:cs="Arial"/>
          <w:sz w:val="24"/>
          <w:szCs w:val="24"/>
        </w:rPr>
        <w:t>cove</w:t>
      </w:r>
      <w:r w:rsidR="00876014" w:rsidRPr="009C69FE">
        <w:rPr>
          <w:rFonts w:cs="Arial"/>
          <w:sz w:val="24"/>
          <w:szCs w:val="24"/>
        </w:rPr>
        <w:t>ring the whole journey</w:t>
      </w:r>
      <w:r w:rsidR="00AC2411">
        <w:rPr>
          <w:rFonts w:cs="Arial"/>
          <w:sz w:val="24"/>
          <w:szCs w:val="24"/>
        </w:rPr>
        <w:t>,</w:t>
      </w:r>
      <w:r w:rsidR="00876014" w:rsidRPr="009C69FE">
        <w:rPr>
          <w:rFonts w:cs="Arial"/>
          <w:sz w:val="24"/>
          <w:szCs w:val="24"/>
        </w:rPr>
        <w:t xml:space="preserve"> but this</w:t>
      </w:r>
      <w:r w:rsidR="004C6064" w:rsidRPr="009C69FE">
        <w:rPr>
          <w:rFonts w:cs="Arial"/>
          <w:sz w:val="24"/>
          <w:szCs w:val="24"/>
        </w:rPr>
        <w:t xml:space="preserve"> contained flight numbers which indicated that the goods would be carried by air to Paris and then by road to Dublin</w:t>
      </w:r>
      <w:r w:rsidR="009B2FE2" w:rsidRPr="009C69FE">
        <w:rPr>
          <w:rFonts w:cs="Arial"/>
          <w:sz w:val="24"/>
          <w:szCs w:val="24"/>
        </w:rPr>
        <w:t xml:space="preserve"> although the conditions of carriage allowed them to substitute other means of carriage</w:t>
      </w:r>
      <w:r w:rsidR="004C6064" w:rsidRPr="009C69FE">
        <w:rPr>
          <w:rFonts w:cs="Arial"/>
          <w:sz w:val="24"/>
          <w:szCs w:val="24"/>
        </w:rPr>
        <w:t>.  The goods were stolen during the road se</w:t>
      </w:r>
      <w:r w:rsidR="009B2FE2" w:rsidRPr="009C69FE">
        <w:rPr>
          <w:rFonts w:cs="Arial"/>
          <w:sz w:val="24"/>
          <w:szCs w:val="24"/>
        </w:rPr>
        <w:t>ction which was carried out by its</w:t>
      </w:r>
      <w:r w:rsidR="004C6064" w:rsidRPr="009C69FE">
        <w:rPr>
          <w:rFonts w:cs="Arial"/>
          <w:sz w:val="24"/>
          <w:szCs w:val="24"/>
        </w:rPr>
        <w:t xml:space="preserve"> sub-contractor</w:t>
      </w:r>
      <w:r w:rsidR="009B2FE2" w:rsidRPr="009C69FE">
        <w:rPr>
          <w:rFonts w:cs="Arial"/>
          <w:sz w:val="24"/>
          <w:szCs w:val="24"/>
        </w:rPr>
        <w:t xml:space="preserve"> Plane Trucking whose driver conspired with others including one of the company’s supervisors to stage a hi-jack.  If CMR applied to this section</w:t>
      </w:r>
      <w:r w:rsidR="00AC2411">
        <w:rPr>
          <w:rFonts w:cs="Arial"/>
          <w:sz w:val="24"/>
          <w:szCs w:val="24"/>
        </w:rPr>
        <w:t>,</w:t>
      </w:r>
      <w:r w:rsidR="009B2FE2" w:rsidRPr="009C69FE">
        <w:rPr>
          <w:rFonts w:cs="Arial"/>
          <w:sz w:val="24"/>
          <w:szCs w:val="24"/>
        </w:rPr>
        <w:t xml:space="preserve"> then the wilful misconduct would remove the CMR limit and defeat the limit in Air France’s conditions which</w:t>
      </w:r>
      <w:r w:rsidR="00771229" w:rsidRPr="009C69FE">
        <w:rPr>
          <w:rFonts w:cs="Arial"/>
          <w:sz w:val="24"/>
          <w:szCs w:val="24"/>
        </w:rPr>
        <w:t xml:space="preserve"> would otherwise have applied to that stage.  By this stage the Warsaw Convention which applied (at that time) to the carriage </w:t>
      </w:r>
      <w:r w:rsidR="00E35BD3">
        <w:rPr>
          <w:rFonts w:cs="Arial"/>
          <w:sz w:val="24"/>
          <w:szCs w:val="24"/>
        </w:rPr>
        <w:t xml:space="preserve">by air was no longer relevant. </w:t>
      </w:r>
      <w:r w:rsidR="009B2FE2" w:rsidRPr="009C69FE">
        <w:rPr>
          <w:rFonts w:cs="Arial"/>
          <w:sz w:val="24"/>
          <w:szCs w:val="24"/>
        </w:rPr>
        <w:t xml:space="preserve"> </w:t>
      </w:r>
      <w:r w:rsidR="00F8157A" w:rsidRPr="009C69FE">
        <w:rPr>
          <w:rFonts w:cs="Arial"/>
          <w:sz w:val="24"/>
          <w:szCs w:val="24"/>
        </w:rPr>
        <w:t xml:space="preserve">Tomlinson J </w:t>
      </w:r>
      <w:r w:rsidR="00771229" w:rsidRPr="009C69FE">
        <w:rPr>
          <w:rFonts w:cs="Arial"/>
          <w:sz w:val="24"/>
          <w:szCs w:val="24"/>
        </w:rPr>
        <w:t xml:space="preserve">In the lower court </w:t>
      </w:r>
      <w:r w:rsidR="00F8157A" w:rsidRPr="009C69FE">
        <w:rPr>
          <w:rFonts w:cs="Arial"/>
          <w:sz w:val="24"/>
          <w:szCs w:val="24"/>
        </w:rPr>
        <w:t xml:space="preserve">held that CMR did not apply.  The contract was predominantly for carriage by air reinforced by the fact that the goods began the journey by air and at that point had not been ‘taken over’ for the purposes of assuming CMR liability which could not be done later.  He stated that the whole contact must be governed by CMR or none of it </w:t>
      </w:r>
      <w:r w:rsidR="00F503E3" w:rsidRPr="009C69FE">
        <w:rPr>
          <w:rFonts w:cs="Arial"/>
          <w:sz w:val="24"/>
          <w:szCs w:val="24"/>
        </w:rPr>
        <w:t xml:space="preserve">although the position might </w:t>
      </w:r>
      <w:r w:rsidR="00E35BD3">
        <w:rPr>
          <w:rFonts w:cs="Arial"/>
          <w:sz w:val="24"/>
          <w:szCs w:val="24"/>
        </w:rPr>
        <w:t xml:space="preserve">have </w:t>
      </w:r>
      <w:r w:rsidR="00F503E3" w:rsidRPr="009C69FE">
        <w:rPr>
          <w:rFonts w:cs="Arial"/>
          <w:sz w:val="24"/>
          <w:szCs w:val="24"/>
        </w:rPr>
        <w:t>be</w:t>
      </w:r>
      <w:r w:rsidR="00E35BD3">
        <w:rPr>
          <w:rFonts w:cs="Arial"/>
          <w:sz w:val="24"/>
          <w:szCs w:val="24"/>
        </w:rPr>
        <w:t>en</w:t>
      </w:r>
      <w:r w:rsidR="00F503E3" w:rsidRPr="009C69FE">
        <w:rPr>
          <w:rFonts w:cs="Arial"/>
          <w:sz w:val="24"/>
          <w:szCs w:val="24"/>
        </w:rPr>
        <w:t xml:space="preserve"> different if the road carriage had started first.</w:t>
      </w:r>
    </w:p>
    <w:p w14:paraId="5454C29A" w14:textId="77777777" w:rsidR="00F503E3" w:rsidRPr="009C69FE" w:rsidRDefault="00F503E3" w:rsidP="004C6064">
      <w:pPr>
        <w:rPr>
          <w:rFonts w:cs="Arial"/>
          <w:sz w:val="24"/>
          <w:szCs w:val="24"/>
        </w:rPr>
      </w:pPr>
      <w:r w:rsidRPr="009C69FE">
        <w:rPr>
          <w:rFonts w:cs="Arial"/>
          <w:sz w:val="24"/>
          <w:szCs w:val="24"/>
        </w:rPr>
        <w:t>I</w:t>
      </w:r>
      <w:r w:rsidR="00771229" w:rsidRPr="009C69FE">
        <w:rPr>
          <w:rFonts w:cs="Arial"/>
          <w:sz w:val="24"/>
          <w:szCs w:val="24"/>
        </w:rPr>
        <w:t>n the Court of Appeal</w:t>
      </w:r>
      <w:r w:rsidRPr="009C69FE">
        <w:rPr>
          <w:rFonts w:cs="Arial"/>
          <w:sz w:val="24"/>
          <w:szCs w:val="24"/>
        </w:rPr>
        <w:t xml:space="preserve"> this approach was rejected and CMR was applied to the road stage</w:t>
      </w:r>
      <w:r w:rsidR="00771229" w:rsidRPr="009C69FE">
        <w:rPr>
          <w:rFonts w:cs="Arial"/>
          <w:sz w:val="24"/>
          <w:szCs w:val="24"/>
        </w:rPr>
        <w:t xml:space="preserve">.  </w:t>
      </w:r>
      <w:proofErr w:type="spellStart"/>
      <w:r w:rsidR="00771229" w:rsidRPr="009C69FE">
        <w:rPr>
          <w:rFonts w:cs="Arial"/>
          <w:sz w:val="24"/>
          <w:szCs w:val="24"/>
        </w:rPr>
        <w:t>Mance</w:t>
      </w:r>
      <w:proofErr w:type="spellEnd"/>
      <w:r w:rsidR="00771229" w:rsidRPr="009C69FE">
        <w:rPr>
          <w:rFonts w:cs="Arial"/>
          <w:sz w:val="24"/>
          <w:szCs w:val="24"/>
        </w:rPr>
        <w:t xml:space="preserve"> LJ gave the leading judgment which was agreed to by the other judges.  In determining that CMR applied he considered two</w:t>
      </w:r>
      <w:r w:rsidR="00E35BD3">
        <w:rPr>
          <w:rFonts w:cs="Arial"/>
          <w:sz w:val="24"/>
          <w:szCs w:val="24"/>
        </w:rPr>
        <w:t xml:space="preserve"> questions</w:t>
      </w:r>
      <w:r w:rsidR="00771229" w:rsidRPr="009C69FE">
        <w:rPr>
          <w:rFonts w:cs="Arial"/>
          <w:sz w:val="24"/>
          <w:szCs w:val="24"/>
        </w:rPr>
        <w:t xml:space="preserve">.  Firstly, whether the contract was ‘for’ carriage of goods by road and secondly, whether CMR can apply to a contract which is both for international carriage by road within its terms and by another means of </w:t>
      </w:r>
      <w:r w:rsidR="00771229" w:rsidRPr="009C69FE">
        <w:rPr>
          <w:rFonts w:cs="Arial"/>
          <w:sz w:val="24"/>
          <w:szCs w:val="24"/>
        </w:rPr>
        <w:lastRenderedPageBreak/>
        <w:t>transpor</w:t>
      </w:r>
      <w:r w:rsidR="00F8157A" w:rsidRPr="009C69FE">
        <w:rPr>
          <w:rFonts w:cs="Arial"/>
          <w:sz w:val="24"/>
          <w:szCs w:val="24"/>
        </w:rPr>
        <w:t xml:space="preserve">t to which CMR does not apply. </w:t>
      </w:r>
      <w:r w:rsidR="00E35BD3">
        <w:rPr>
          <w:sz w:val="24"/>
          <w:szCs w:val="24"/>
        </w:rPr>
        <w:t>The first question</w:t>
      </w:r>
      <w:r w:rsidR="005E468C" w:rsidRPr="009C69FE">
        <w:rPr>
          <w:sz w:val="24"/>
          <w:szCs w:val="24"/>
        </w:rPr>
        <w:t xml:space="preserve"> was analysed in terms of four possibilities:  the carrier may have (a) promised unconditionally to carry by road and on the trailer, (b) promised this, but reserved either a general or limited option to elect for some other means of transport for all or part of the way, (c) left the means of transport open, either entirely or as between a number of possibilities at least one of them being carriage by road, or (d) undertaken to carry by some other means, but reserved either a general or limited option to carry by road. In his view in case (a) a contract was </w:t>
      </w:r>
      <w:proofErr w:type="gramStart"/>
      <w:r w:rsidR="005E468C" w:rsidRPr="009C69FE">
        <w:rPr>
          <w:sz w:val="24"/>
          <w:szCs w:val="24"/>
        </w:rPr>
        <w:t>definitely for</w:t>
      </w:r>
      <w:proofErr w:type="gramEnd"/>
      <w:r w:rsidR="005E468C" w:rsidRPr="009C69FE">
        <w:rPr>
          <w:sz w:val="24"/>
          <w:szCs w:val="24"/>
        </w:rPr>
        <w:t xml:space="preserve"> carriage by </w:t>
      </w:r>
      <w:r w:rsidR="00842BCD" w:rsidRPr="009C69FE">
        <w:rPr>
          <w:sz w:val="24"/>
          <w:szCs w:val="24"/>
        </w:rPr>
        <w:t>road and</w:t>
      </w:r>
      <w:r w:rsidR="005E468C" w:rsidRPr="009C69FE">
        <w:rPr>
          <w:sz w:val="24"/>
          <w:szCs w:val="24"/>
        </w:rPr>
        <w:t xml:space="preserve"> was so in case (b) until the carrier elected otherwise under the option. Case (c) a contract was for such carriage in the sense of providing for or permitting it when it </w:t>
      </w:r>
      <w:proofErr w:type="gramStart"/>
      <w:r w:rsidR="005E468C" w:rsidRPr="009C69FE">
        <w:rPr>
          <w:sz w:val="24"/>
          <w:szCs w:val="24"/>
        </w:rPr>
        <w:t>actually occurred</w:t>
      </w:r>
      <w:proofErr w:type="gramEnd"/>
      <w:r w:rsidR="005E468C" w:rsidRPr="009C69FE">
        <w:rPr>
          <w:sz w:val="24"/>
          <w:szCs w:val="24"/>
        </w:rPr>
        <w:t xml:space="preserve">. Case (d) was more </w:t>
      </w:r>
      <w:proofErr w:type="gramStart"/>
      <w:r w:rsidR="005E468C" w:rsidRPr="009C69FE">
        <w:rPr>
          <w:sz w:val="24"/>
          <w:szCs w:val="24"/>
        </w:rPr>
        <w:t>doubtful</w:t>
      </w:r>
      <w:proofErr w:type="gramEnd"/>
      <w:r w:rsidR="005E468C" w:rsidRPr="009C69FE">
        <w:rPr>
          <w:sz w:val="24"/>
          <w:szCs w:val="24"/>
        </w:rPr>
        <w:t xml:space="preserve"> but he thought it difficult to draw any clear or satisfactory distinction between this and the other cases. In effect he </w:t>
      </w:r>
      <w:r w:rsidR="005E468C" w:rsidRPr="009C69FE">
        <w:rPr>
          <w:rFonts w:cs="Arial"/>
          <w:sz w:val="24"/>
          <w:szCs w:val="24"/>
        </w:rPr>
        <w:t xml:space="preserve">applied a test based upon the actual carriage permitted by the contract so that if this included road carriage </w:t>
      </w:r>
      <w:r w:rsidR="00D87D33" w:rsidRPr="009C69FE">
        <w:rPr>
          <w:rFonts w:cs="Arial"/>
          <w:sz w:val="24"/>
          <w:szCs w:val="24"/>
        </w:rPr>
        <w:t xml:space="preserve">which occurred </w:t>
      </w:r>
      <w:r w:rsidR="005E468C" w:rsidRPr="009C69FE">
        <w:rPr>
          <w:rFonts w:cs="Arial"/>
          <w:sz w:val="24"/>
          <w:szCs w:val="24"/>
        </w:rPr>
        <w:t>then the contract was ‘for</w:t>
      </w:r>
      <w:r w:rsidR="001A75CD">
        <w:rPr>
          <w:rFonts w:cs="Arial"/>
          <w:sz w:val="24"/>
          <w:szCs w:val="24"/>
        </w:rPr>
        <w:t>’</w:t>
      </w:r>
      <w:r w:rsidR="005E468C" w:rsidRPr="009C69FE">
        <w:rPr>
          <w:rFonts w:cs="Arial"/>
          <w:sz w:val="24"/>
          <w:szCs w:val="24"/>
        </w:rPr>
        <w:t xml:space="preserve"> carriage of goods by road.  </w:t>
      </w:r>
      <w:r w:rsidRPr="009C69FE">
        <w:rPr>
          <w:rFonts w:cs="Arial"/>
          <w:sz w:val="24"/>
          <w:szCs w:val="24"/>
        </w:rPr>
        <w:t xml:space="preserve">He rejected the view that the application of CMR depends on examining the contract terms </w:t>
      </w:r>
      <w:proofErr w:type="gramStart"/>
      <w:r w:rsidRPr="009C69FE">
        <w:rPr>
          <w:rFonts w:cs="Arial"/>
          <w:sz w:val="24"/>
          <w:szCs w:val="24"/>
        </w:rPr>
        <w:t>at the moment</w:t>
      </w:r>
      <w:proofErr w:type="gramEnd"/>
      <w:r w:rsidRPr="009C69FE">
        <w:rPr>
          <w:rFonts w:cs="Arial"/>
          <w:sz w:val="24"/>
          <w:szCs w:val="24"/>
        </w:rPr>
        <w:t xml:space="preserve"> the contract was made, but that the reference in art 1(1) to the ‘contract of carriage by road’ was consistent with the idea of carriage by road pursuant to the contract.</w:t>
      </w:r>
    </w:p>
    <w:p w14:paraId="52BA72B9" w14:textId="77777777" w:rsidR="000644F0" w:rsidRPr="009C69FE" w:rsidRDefault="005E468C" w:rsidP="004C6064">
      <w:pPr>
        <w:rPr>
          <w:rFonts w:cs="Arial"/>
          <w:sz w:val="24"/>
          <w:szCs w:val="24"/>
        </w:rPr>
      </w:pPr>
      <w:r w:rsidRPr="009C69FE">
        <w:rPr>
          <w:rFonts w:cs="Arial"/>
          <w:sz w:val="24"/>
          <w:szCs w:val="24"/>
        </w:rPr>
        <w:t>In respect of the second question</w:t>
      </w:r>
      <w:r w:rsidR="009A4883" w:rsidRPr="009C69FE">
        <w:rPr>
          <w:rFonts w:cs="Arial"/>
          <w:sz w:val="24"/>
          <w:szCs w:val="24"/>
        </w:rPr>
        <w:t xml:space="preserve"> </w:t>
      </w:r>
      <w:proofErr w:type="spellStart"/>
      <w:r w:rsidRPr="009C69FE">
        <w:rPr>
          <w:rFonts w:cs="Arial"/>
          <w:sz w:val="24"/>
          <w:szCs w:val="24"/>
        </w:rPr>
        <w:t>Mance</w:t>
      </w:r>
      <w:proofErr w:type="spellEnd"/>
      <w:r w:rsidRPr="009C69FE">
        <w:rPr>
          <w:rFonts w:cs="Arial"/>
          <w:sz w:val="24"/>
          <w:szCs w:val="24"/>
        </w:rPr>
        <w:t xml:space="preserve"> LJ </w:t>
      </w:r>
      <w:r w:rsidRPr="009C69FE">
        <w:rPr>
          <w:sz w:val="24"/>
          <w:szCs w:val="24"/>
        </w:rPr>
        <w:t>rejected</w:t>
      </w:r>
      <w:r w:rsidR="009A09CD" w:rsidRPr="009C69FE">
        <w:rPr>
          <w:sz w:val="24"/>
          <w:szCs w:val="24"/>
        </w:rPr>
        <w:t xml:space="preserve"> the</w:t>
      </w:r>
      <w:r w:rsidRPr="009C69FE">
        <w:rPr>
          <w:sz w:val="24"/>
          <w:szCs w:val="24"/>
        </w:rPr>
        <w:t xml:space="preserve"> idea that </w:t>
      </w:r>
      <w:r w:rsidR="009A4883" w:rsidRPr="009C69FE">
        <w:rPr>
          <w:sz w:val="24"/>
          <w:szCs w:val="24"/>
        </w:rPr>
        <w:t xml:space="preserve">the contract </w:t>
      </w:r>
      <w:proofErr w:type="gramStart"/>
      <w:r w:rsidRPr="009C69FE">
        <w:rPr>
          <w:sz w:val="24"/>
          <w:szCs w:val="24"/>
        </w:rPr>
        <w:t>as a whole</w:t>
      </w:r>
      <w:r w:rsidR="009A09CD" w:rsidRPr="009C69FE">
        <w:rPr>
          <w:sz w:val="24"/>
          <w:szCs w:val="24"/>
        </w:rPr>
        <w:t xml:space="preserve"> </w:t>
      </w:r>
      <w:r w:rsidR="009A4883" w:rsidRPr="009C69FE">
        <w:rPr>
          <w:sz w:val="24"/>
          <w:szCs w:val="24"/>
        </w:rPr>
        <w:t>has</w:t>
      </w:r>
      <w:proofErr w:type="gramEnd"/>
      <w:r w:rsidR="009A4883" w:rsidRPr="009C69FE">
        <w:rPr>
          <w:sz w:val="24"/>
          <w:szCs w:val="24"/>
        </w:rPr>
        <w:t xml:space="preserve"> to be predominantly for carriage by road </w:t>
      </w:r>
      <w:r w:rsidR="009A09CD" w:rsidRPr="009C69FE">
        <w:rPr>
          <w:sz w:val="24"/>
          <w:szCs w:val="24"/>
        </w:rPr>
        <w:t>or that the whole contract had to be solely for road carriage</w:t>
      </w:r>
      <w:r w:rsidR="00D87D33" w:rsidRPr="009C69FE">
        <w:rPr>
          <w:sz w:val="24"/>
          <w:szCs w:val="24"/>
        </w:rPr>
        <w:t xml:space="preserve">. </w:t>
      </w:r>
      <w:proofErr w:type="gramStart"/>
      <w:r w:rsidR="00A711BF">
        <w:rPr>
          <w:sz w:val="24"/>
          <w:szCs w:val="24"/>
        </w:rPr>
        <w:t>Otherwise</w:t>
      </w:r>
      <w:proofErr w:type="gramEnd"/>
      <w:r w:rsidR="00A711BF">
        <w:rPr>
          <w:sz w:val="24"/>
          <w:szCs w:val="24"/>
        </w:rPr>
        <w:t xml:space="preserve"> t</w:t>
      </w:r>
      <w:r w:rsidR="009A09CD" w:rsidRPr="009C69FE">
        <w:rPr>
          <w:sz w:val="24"/>
          <w:szCs w:val="24"/>
        </w:rPr>
        <w:t>his would mean e.g. t</w:t>
      </w:r>
      <w:r w:rsidR="001A75CD">
        <w:rPr>
          <w:sz w:val="24"/>
          <w:szCs w:val="24"/>
        </w:rPr>
        <w:t>hat road carriage under a</w:t>
      </w:r>
      <w:r w:rsidR="009A09CD" w:rsidRPr="009C69FE">
        <w:rPr>
          <w:sz w:val="24"/>
          <w:szCs w:val="24"/>
        </w:rPr>
        <w:t xml:space="preserve"> contract from Stockholm to Naples would be within CMR but that carriage from Stockholm to Capri would not be if the goods were unloaded from the vehicle at Naples for the short sea crossing to Capri. </w:t>
      </w:r>
      <w:r w:rsidR="001A75CD">
        <w:rPr>
          <w:sz w:val="24"/>
          <w:szCs w:val="24"/>
        </w:rPr>
        <w:t xml:space="preserve"> </w:t>
      </w:r>
      <w:r w:rsidR="009A09CD" w:rsidRPr="009C69FE">
        <w:rPr>
          <w:sz w:val="24"/>
          <w:szCs w:val="24"/>
        </w:rPr>
        <w:t>He also</w:t>
      </w:r>
      <w:r w:rsidRPr="009C69FE">
        <w:rPr>
          <w:sz w:val="24"/>
          <w:szCs w:val="24"/>
        </w:rPr>
        <w:t xml:space="preserve"> </w:t>
      </w:r>
      <w:r w:rsidR="004C6064" w:rsidRPr="009C69FE">
        <w:rPr>
          <w:rFonts w:cs="Arial"/>
          <w:sz w:val="24"/>
          <w:szCs w:val="24"/>
        </w:rPr>
        <w:t>rejected arguments based on the difficulty of applying the words “taking over” and “delivery” by road in the context of this carriage</w:t>
      </w:r>
      <w:r w:rsidR="009A4883" w:rsidRPr="009C69FE">
        <w:rPr>
          <w:rFonts w:cs="Arial"/>
          <w:sz w:val="24"/>
          <w:szCs w:val="24"/>
        </w:rPr>
        <w:t xml:space="preserve"> since this could be determined by the capacity in which the carrier was carrying the goods</w:t>
      </w:r>
      <w:r w:rsidR="004C6064" w:rsidRPr="009C69FE">
        <w:rPr>
          <w:rFonts w:cs="Arial"/>
          <w:sz w:val="24"/>
          <w:szCs w:val="24"/>
        </w:rPr>
        <w:t xml:space="preserve">.  </w:t>
      </w:r>
    </w:p>
    <w:p w14:paraId="55D008CF" w14:textId="77777777" w:rsidR="00CE7698" w:rsidRPr="009C69FE" w:rsidRDefault="009A4883" w:rsidP="004C6064">
      <w:pPr>
        <w:rPr>
          <w:rFonts w:cs="Arial"/>
          <w:sz w:val="24"/>
          <w:szCs w:val="24"/>
        </w:rPr>
      </w:pPr>
      <w:r w:rsidRPr="009C69FE">
        <w:rPr>
          <w:rFonts w:cs="Arial"/>
          <w:sz w:val="24"/>
          <w:szCs w:val="24"/>
        </w:rPr>
        <w:t xml:space="preserve">Consider </w:t>
      </w:r>
      <w:r w:rsidR="001E2AFE" w:rsidRPr="009C69FE">
        <w:rPr>
          <w:rFonts w:cs="Arial"/>
          <w:sz w:val="24"/>
          <w:szCs w:val="24"/>
        </w:rPr>
        <w:t>the implicat</w:t>
      </w:r>
      <w:r w:rsidRPr="009C69FE">
        <w:rPr>
          <w:rFonts w:cs="Arial"/>
          <w:sz w:val="24"/>
          <w:szCs w:val="24"/>
        </w:rPr>
        <w:t>ions of these views:</w:t>
      </w:r>
      <w:r w:rsidR="001E2AFE" w:rsidRPr="009C69FE">
        <w:rPr>
          <w:rFonts w:cs="Arial"/>
          <w:sz w:val="24"/>
          <w:szCs w:val="24"/>
        </w:rPr>
        <w:t xml:space="preserve">  T</w:t>
      </w:r>
      <w:r w:rsidRPr="009C69FE">
        <w:rPr>
          <w:rFonts w:cs="Arial"/>
          <w:sz w:val="24"/>
          <w:szCs w:val="24"/>
        </w:rPr>
        <w:t xml:space="preserve">o be </w:t>
      </w:r>
      <w:r w:rsidR="001E2AFE" w:rsidRPr="009C69FE">
        <w:rPr>
          <w:rFonts w:cs="Arial"/>
          <w:sz w:val="24"/>
          <w:szCs w:val="24"/>
        </w:rPr>
        <w:t>a contract fo</w:t>
      </w:r>
      <w:r w:rsidRPr="009C69FE">
        <w:rPr>
          <w:rFonts w:cs="Arial"/>
          <w:sz w:val="24"/>
          <w:szCs w:val="24"/>
        </w:rPr>
        <w:t>r the carriage of goods by road it</w:t>
      </w:r>
      <w:r w:rsidR="00DF02F0" w:rsidRPr="009C69FE">
        <w:rPr>
          <w:rFonts w:cs="Arial"/>
          <w:sz w:val="24"/>
          <w:szCs w:val="24"/>
        </w:rPr>
        <w:t xml:space="preserve"> did not have to specify carriage by road or any mode of carriage so long as</w:t>
      </w:r>
      <w:r w:rsidRPr="009C69FE">
        <w:rPr>
          <w:rFonts w:cs="Arial"/>
          <w:sz w:val="24"/>
          <w:szCs w:val="24"/>
        </w:rPr>
        <w:t xml:space="preserve"> carriage by road was permitted;</w:t>
      </w:r>
      <w:r w:rsidR="00CE7698" w:rsidRPr="009C69FE">
        <w:rPr>
          <w:rFonts w:cs="Arial"/>
          <w:sz w:val="24"/>
          <w:szCs w:val="24"/>
        </w:rPr>
        <w:t xml:space="preserve"> </w:t>
      </w:r>
      <w:r w:rsidR="00DF02F0" w:rsidRPr="009C69FE">
        <w:rPr>
          <w:rFonts w:cs="Arial"/>
          <w:sz w:val="24"/>
          <w:szCs w:val="24"/>
        </w:rPr>
        <w:t>It did not matter that other modes were used f</w:t>
      </w:r>
      <w:r w:rsidRPr="009C69FE">
        <w:rPr>
          <w:rFonts w:cs="Arial"/>
          <w:sz w:val="24"/>
          <w:szCs w:val="24"/>
        </w:rPr>
        <w:t>or other parts of the transport;</w:t>
      </w:r>
      <w:r w:rsidR="00CE7698" w:rsidRPr="009C69FE">
        <w:rPr>
          <w:rFonts w:cs="Arial"/>
          <w:sz w:val="24"/>
          <w:szCs w:val="24"/>
        </w:rPr>
        <w:t xml:space="preserve"> </w:t>
      </w:r>
      <w:r w:rsidR="00DF02F0" w:rsidRPr="009C69FE">
        <w:rPr>
          <w:rFonts w:cs="Arial"/>
          <w:sz w:val="24"/>
          <w:szCs w:val="24"/>
        </w:rPr>
        <w:t>It made no difference whether a particular mode was the most prominent</w:t>
      </w:r>
      <w:r w:rsidR="00907ED9" w:rsidRPr="009C69FE">
        <w:rPr>
          <w:rFonts w:cs="Arial"/>
          <w:sz w:val="24"/>
          <w:szCs w:val="24"/>
        </w:rPr>
        <w:t xml:space="preserve"> or that no CMR consignment note had been issued to the claimant</w:t>
      </w:r>
      <w:r w:rsidR="00DF02F0" w:rsidRPr="009C69FE">
        <w:rPr>
          <w:rFonts w:cs="Arial"/>
          <w:sz w:val="24"/>
          <w:szCs w:val="24"/>
        </w:rPr>
        <w:t xml:space="preserve">.  </w:t>
      </w:r>
      <w:r w:rsidR="00CE7698" w:rsidRPr="009C69FE">
        <w:rPr>
          <w:rFonts w:cs="Arial"/>
          <w:sz w:val="24"/>
          <w:szCs w:val="24"/>
        </w:rPr>
        <w:t>Under this approach for</w:t>
      </w:r>
      <w:r w:rsidR="00DF02F0" w:rsidRPr="009C69FE">
        <w:rPr>
          <w:rFonts w:cs="Arial"/>
          <w:sz w:val="24"/>
          <w:szCs w:val="24"/>
        </w:rPr>
        <w:t xml:space="preserve"> any multimodal contract CMR will apply to any </w:t>
      </w:r>
      <w:r w:rsidR="00FD2493" w:rsidRPr="009C69FE">
        <w:rPr>
          <w:rFonts w:cs="Arial"/>
          <w:sz w:val="24"/>
          <w:szCs w:val="24"/>
        </w:rPr>
        <w:t xml:space="preserve">permitted </w:t>
      </w:r>
      <w:r w:rsidR="00DF02F0" w:rsidRPr="009C69FE">
        <w:rPr>
          <w:rFonts w:cs="Arial"/>
          <w:sz w:val="24"/>
          <w:szCs w:val="24"/>
        </w:rPr>
        <w:t xml:space="preserve">international road carriage within its terms. </w:t>
      </w:r>
      <w:r w:rsidRPr="009C69FE">
        <w:rPr>
          <w:rFonts w:cs="Arial"/>
          <w:sz w:val="24"/>
          <w:szCs w:val="24"/>
        </w:rPr>
        <w:t xml:space="preserve"> </w:t>
      </w:r>
    </w:p>
    <w:p w14:paraId="28EED2BB" w14:textId="77777777" w:rsidR="00C94749" w:rsidRPr="009C69FE" w:rsidRDefault="00D11C1C" w:rsidP="004C6064">
      <w:pPr>
        <w:rPr>
          <w:rFonts w:cs="Arial"/>
          <w:sz w:val="24"/>
          <w:szCs w:val="24"/>
        </w:rPr>
      </w:pPr>
      <w:proofErr w:type="gramStart"/>
      <w:r w:rsidRPr="009C69FE">
        <w:rPr>
          <w:rFonts w:cs="Arial"/>
          <w:sz w:val="24"/>
          <w:szCs w:val="24"/>
        </w:rPr>
        <w:t>All of</w:t>
      </w:r>
      <w:proofErr w:type="gramEnd"/>
      <w:r w:rsidRPr="009C69FE">
        <w:rPr>
          <w:rFonts w:cs="Arial"/>
          <w:sz w:val="24"/>
          <w:szCs w:val="24"/>
        </w:rPr>
        <w:t xml:space="preserve"> these possibilities can be subject to alternative views which might be applied in other countries.  Leaving the mode of carriage up to the carrier might be thought not to be for carriage by </w:t>
      </w:r>
      <w:r w:rsidR="00DB69E1" w:rsidRPr="009C69FE">
        <w:rPr>
          <w:rFonts w:cs="Arial"/>
          <w:sz w:val="24"/>
          <w:szCs w:val="24"/>
        </w:rPr>
        <w:t xml:space="preserve">road (if it takes place) but for carriage by </w:t>
      </w:r>
      <w:r w:rsidRPr="009C69FE">
        <w:rPr>
          <w:rFonts w:cs="Arial"/>
          <w:sz w:val="24"/>
          <w:szCs w:val="24"/>
        </w:rPr>
        <w:t xml:space="preserve">any means.  Or for CMR </w:t>
      </w:r>
      <w:r w:rsidR="00DB69E1" w:rsidRPr="009C69FE">
        <w:rPr>
          <w:rFonts w:cs="Arial"/>
          <w:sz w:val="24"/>
          <w:szCs w:val="24"/>
        </w:rPr>
        <w:t xml:space="preserve">the view might be that </w:t>
      </w:r>
      <w:r w:rsidR="00CE7698" w:rsidRPr="009C69FE">
        <w:rPr>
          <w:rFonts w:cs="Arial"/>
          <w:sz w:val="24"/>
          <w:szCs w:val="24"/>
        </w:rPr>
        <w:t>the contract must</w:t>
      </w:r>
      <w:r w:rsidRPr="009C69FE">
        <w:rPr>
          <w:rFonts w:cs="Arial"/>
          <w:sz w:val="24"/>
          <w:szCs w:val="24"/>
        </w:rPr>
        <w:t xml:space="preserve"> </w:t>
      </w:r>
      <w:r w:rsidR="00CE7698" w:rsidRPr="009C69FE">
        <w:rPr>
          <w:rFonts w:cs="Arial"/>
          <w:sz w:val="24"/>
          <w:szCs w:val="24"/>
        </w:rPr>
        <w:t>specify road carriage</w:t>
      </w:r>
      <w:r w:rsidR="00C94749" w:rsidRPr="009C69FE">
        <w:rPr>
          <w:rFonts w:cs="Arial"/>
          <w:sz w:val="24"/>
          <w:szCs w:val="24"/>
        </w:rPr>
        <w:t xml:space="preserve"> or </w:t>
      </w:r>
      <w:r w:rsidR="00CE7698" w:rsidRPr="009C69FE">
        <w:rPr>
          <w:rFonts w:cs="Arial"/>
          <w:sz w:val="24"/>
          <w:szCs w:val="24"/>
        </w:rPr>
        <w:t xml:space="preserve">carriage must </w:t>
      </w:r>
      <w:r w:rsidR="00C94749" w:rsidRPr="009C69FE">
        <w:rPr>
          <w:rFonts w:cs="Arial"/>
          <w:sz w:val="24"/>
          <w:szCs w:val="24"/>
        </w:rPr>
        <w:t>be solely by road or</w:t>
      </w:r>
      <w:r w:rsidRPr="009C69FE">
        <w:rPr>
          <w:rFonts w:cs="Arial"/>
          <w:sz w:val="24"/>
          <w:szCs w:val="24"/>
        </w:rPr>
        <w:t xml:space="preserve"> predominantly by road or take place under a CMR consignment note.  The narrower the scope for the operation of CMR the wider the scope for freedom of contract where </w:t>
      </w:r>
      <w:r w:rsidR="00DB69E1" w:rsidRPr="009C69FE">
        <w:rPr>
          <w:rFonts w:cs="Arial"/>
          <w:sz w:val="24"/>
          <w:szCs w:val="24"/>
        </w:rPr>
        <w:t>a multimodal movement involves a road section.  The same will be true for CIM where the same issues are relevant.  Th</w:t>
      </w:r>
      <w:r w:rsidR="00CE3DC5" w:rsidRPr="009C69FE">
        <w:rPr>
          <w:rFonts w:cs="Arial"/>
          <w:sz w:val="24"/>
          <w:szCs w:val="24"/>
        </w:rPr>
        <w:t>e air rules may be more limiting</w:t>
      </w:r>
      <w:r w:rsidR="00DB69E1" w:rsidRPr="009C69FE">
        <w:rPr>
          <w:rFonts w:cs="Arial"/>
          <w:sz w:val="24"/>
          <w:szCs w:val="24"/>
        </w:rPr>
        <w:t xml:space="preserve"> since at the very least the relevant </w:t>
      </w:r>
      <w:r w:rsidR="00CE3DC5" w:rsidRPr="009C69FE">
        <w:rPr>
          <w:rFonts w:cs="Arial"/>
          <w:sz w:val="24"/>
          <w:szCs w:val="24"/>
        </w:rPr>
        <w:t xml:space="preserve">air </w:t>
      </w:r>
      <w:r w:rsidR="00DB69E1" w:rsidRPr="009C69FE">
        <w:rPr>
          <w:rFonts w:cs="Arial"/>
          <w:sz w:val="24"/>
          <w:szCs w:val="24"/>
        </w:rPr>
        <w:t xml:space="preserve">conventions make clear that air carriage </w:t>
      </w:r>
      <w:r w:rsidR="00C94749" w:rsidRPr="009C69FE">
        <w:rPr>
          <w:rFonts w:cs="Arial"/>
          <w:sz w:val="24"/>
          <w:szCs w:val="24"/>
        </w:rPr>
        <w:t xml:space="preserve">within their terms </w:t>
      </w:r>
      <w:r w:rsidR="00DB69E1" w:rsidRPr="009C69FE">
        <w:rPr>
          <w:rFonts w:cs="Arial"/>
          <w:sz w:val="24"/>
          <w:szCs w:val="24"/>
        </w:rPr>
        <w:t>will be govern</w:t>
      </w:r>
      <w:r w:rsidR="00C94749" w:rsidRPr="009C69FE">
        <w:rPr>
          <w:rFonts w:cs="Arial"/>
          <w:sz w:val="24"/>
          <w:szCs w:val="24"/>
        </w:rPr>
        <w:t>ed</w:t>
      </w:r>
      <w:r w:rsidR="00DB69E1" w:rsidRPr="009C69FE">
        <w:rPr>
          <w:rFonts w:cs="Arial"/>
          <w:sz w:val="24"/>
          <w:szCs w:val="24"/>
        </w:rPr>
        <w:t xml:space="preserve"> by them even if </w:t>
      </w:r>
      <w:r w:rsidR="00C94749" w:rsidRPr="009C69FE">
        <w:rPr>
          <w:rFonts w:cs="Arial"/>
          <w:sz w:val="24"/>
          <w:szCs w:val="24"/>
        </w:rPr>
        <w:t>other modes are involv</w:t>
      </w:r>
      <w:r w:rsidR="009A4883" w:rsidRPr="009C69FE">
        <w:rPr>
          <w:rFonts w:cs="Arial"/>
          <w:sz w:val="24"/>
          <w:szCs w:val="24"/>
        </w:rPr>
        <w:t xml:space="preserve">ed as well (as in </w:t>
      </w:r>
      <w:r w:rsidR="009A4883" w:rsidRPr="001A75CD">
        <w:rPr>
          <w:rFonts w:cs="Arial"/>
          <w:b/>
          <w:sz w:val="24"/>
          <w:szCs w:val="24"/>
        </w:rPr>
        <w:t>Quantum</w:t>
      </w:r>
      <w:r w:rsidR="009A4883" w:rsidRPr="009C69FE">
        <w:rPr>
          <w:rFonts w:cs="Arial"/>
          <w:sz w:val="24"/>
          <w:szCs w:val="24"/>
        </w:rPr>
        <w:t xml:space="preserve">), see the </w:t>
      </w:r>
      <w:r w:rsidR="00C94749" w:rsidRPr="009C69FE">
        <w:rPr>
          <w:rFonts w:cs="Arial"/>
          <w:sz w:val="24"/>
          <w:szCs w:val="24"/>
        </w:rPr>
        <w:t xml:space="preserve">Montreal </w:t>
      </w:r>
      <w:r w:rsidR="009A4883" w:rsidRPr="009C69FE">
        <w:rPr>
          <w:rFonts w:cs="Arial"/>
          <w:sz w:val="24"/>
          <w:szCs w:val="24"/>
        </w:rPr>
        <w:t>Convention</w:t>
      </w:r>
      <w:r w:rsidR="00A711BF">
        <w:rPr>
          <w:rFonts w:cs="Arial"/>
          <w:sz w:val="24"/>
          <w:szCs w:val="24"/>
        </w:rPr>
        <w:t xml:space="preserve"> </w:t>
      </w:r>
      <w:r w:rsidR="009A4883" w:rsidRPr="009C69FE">
        <w:rPr>
          <w:rFonts w:cs="Arial"/>
          <w:sz w:val="24"/>
          <w:szCs w:val="24"/>
        </w:rPr>
        <w:t>art</w:t>
      </w:r>
      <w:r w:rsidR="00A711BF">
        <w:rPr>
          <w:rFonts w:cs="Arial"/>
          <w:sz w:val="24"/>
          <w:szCs w:val="24"/>
        </w:rPr>
        <w:t>.</w:t>
      </w:r>
      <w:r w:rsidR="009A4883" w:rsidRPr="009C69FE">
        <w:rPr>
          <w:rFonts w:cs="Arial"/>
          <w:sz w:val="24"/>
          <w:szCs w:val="24"/>
        </w:rPr>
        <w:t>38(1).</w:t>
      </w:r>
    </w:p>
    <w:p w14:paraId="6D170821" w14:textId="77777777" w:rsidR="000644F0" w:rsidRPr="009C69FE" w:rsidRDefault="00C94749" w:rsidP="004C6064">
      <w:pPr>
        <w:rPr>
          <w:rFonts w:cs="Arial"/>
          <w:sz w:val="24"/>
          <w:szCs w:val="24"/>
        </w:rPr>
      </w:pPr>
      <w:r w:rsidRPr="009C69FE">
        <w:rPr>
          <w:rFonts w:cs="Arial"/>
          <w:sz w:val="24"/>
          <w:szCs w:val="24"/>
        </w:rPr>
        <w:t xml:space="preserve">The </w:t>
      </w:r>
      <w:r w:rsidRPr="009C69FE">
        <w:rPr>
          <w:rFonts w:cs="Arial"/>
          <w:b/>
          <w:sz w:val="24"/>
          <w:szCs w:val="24"/>
        </w:rPr>
        <w:t>Quantum</w:t>
      </w:r>
      <w:r w:rsidR="004C6064" w:rsidRPr="009C69FE">
        <w:rPr>
          <w:rFonts w:cs="Arial"/>
          <w:sz w:val="24"/>
          <w:szCs w:val="24"/>
        </w:rPr>
        <w:t xml:space="preserve"> approach h</w:t>
      </w:r>
      <w:r w:rsidR="00CE3DC5" w:rsidRPr="009C69FE">
        <w:rPr>
          <w:rFonts w:cs="Arial"/>
          <w:sz w:val="24"/>
          <w:szCs w:val="24"/>
        </w:rPr>
        <w:t>as been rejected by several</w:t>
      </w:r>
      <w:r w:rsidR="000644F0" w:rsidRPr="009C69FE">
        <w:rPr>
          <w:rFonts w:cs="Arial"/>
          <w:sz w:val="24"/>
          <w:szCs w:val="24"/>
        </w:rPr>
        <w:t xml:space="preserve"> </w:t>
      </w:r>
      <w:r w:rsidR="00A711BF" w:rsidRPr="009C69FE">
        <w:rPr>
          <w:rFonts w:cs="Arial"/>
          <w:sz w:val="24"/>
          <w:szCs w:val="24"/>
        </w:rPr>
        <w:t>non-UK</w:t>
      </w:r>
      <w:r w:rsidR="000644F0" w:rsidRPr="009C69FE">
        <w:rPr>
          <w:rFonts w:cs="Arial"/>
          <w:sz w:val="24"/>
          <w:szCs w:val="24"/>
        </w:rPr>
        <w:t xml:space="preserve"> courts</w:t>
      </w:r>
      <w:r w:rsidR="004C6064" w:rsidRPr="009C69FE">
        <w:rPr>
          <w:rFonts w:cs="Arial"/>
          <w:sz w:val="24"/>
          <w:szCs w:val="24"/>
        </w:rPr>
        <w:t xml:space="preserve">.  The </w:t>
      </w:r>
      <w:r w:rsidR="004C6064" w:rsidRPr="009C69FE">
        <w:rPr>
          <w:rFonts w:cs="Arial"/>
          <w:b/>
          <w:sz w:val="24"/>
          <w:szCs w:val="24"/>
        </w:rPr>
        <w:t>Belgian Supreme Court,</w:t>
      </w:r>
      <w:r w:rsidR="004C6064" w:rsidRPr="009C69FE">
        <w:rPr>
          <w:rFonts w:cs="Arial"/>
          <w:sz w:val="24"/>
          <w:szCs w:val="24"/>
        </w:rPr>
        <w:t xml:space="preserve"> 2005(3) Uniform Law Review</w:t>
      </w:r>
      <w:r w:rsidR="000644F0" w:rsidRPr="009C69FE">
        <w:rPr>
          <w:rFonts w:cs="Arial"/>
          <w:sz w:val="24"/>
          <w:szCs w:val="24"/>
        </w:rPr>
        <w:t xml:space="preserve"> 628 (8 November 2004</w:t>
      </w:r>
      <w:r w:rsidR="00C359A8" w:rsidRPr="009C69FE">
        <w:rPr>
          <w:rFonts w:cs="Arial"/>
          <w:sz w:val="24"/>
          <w:szCs w:val="24"/>
        </w:rPr>
        <w:t xml:space="preserve">, </w:t>
      </w:r>
      <w:proofErr w:type="spellStart"/>
      <w:r w:rsidR="00C359A8" w:rsidRPr="009C69FE">
        <w:rPr>
          <w:rFonts w:cs="Arial"/>
          <w:sz w:val="24"/>
          <w:szCs w:val="24"/>
        </w:rPr>
        <w:t>Idit</w:t>
      </w:r>
      <w:proofErr w:type="spellEnd"/>
      <w:r w:rsidR="00C359A8" w:rsidRPr="009C69FE">
        <w:rPr>
          <w:rFonts w:cs="Arial"/>
          <w:sz w:val="24"/>
          <w:szCs w:val="24"/>
        </w:rPr>
        <w:t xml:space="preserve"> No. 40793</w:t>
      </w:r>
      <w:r w:rsidR="000644F0" w:rsidRPr="009C69FE">
        <w:rPr>
          <w:rFonts w:cs="Arial"/>
          <w:sz w:val="24"/>
          <w:szCs w:val="24"/>
        </w:rPr>
        <w:t xml:space="preserve">) </w:t>
      </w:r>
      <w:r w:rsidR="004C6064" w:rsidRPr="009C69FE">
        <w:rPr>
          <w:rFonts w:cs="Arial"/>
          <w:sz w:val="24"/>
          <w:szCs w:val="24"/>
        </w:rPr>
        <w:t xml:space="preserve">rejected the </w:t>
      </w:r>
      <w:r w:rsidR="004C6064" w:rsidRPr="009C69FE">
        <w:rPr>
          <w:rFonts w:cs="Arial"/>
          <w:sz w:val="24"/>
          <w:szCs w:val="24"/>
        </w:rPr>
        <w:lastRenderedPageBreak/>
        <w:t xml:space="preserve">application of CMR to road carriage by a courier service under a framework agreement where the mode of transport was not </w:t>
      </w:r>
      <w:proofErr w:type="gramStart"/>
      <w:r w:rsidR="004C6064" w:rsidRPr="009C69FE">
        <w:rPr>
          <w:rFonts w:cs="Arial"/>
          <w:sz w:val="24"/>
          <w:szCs w:val="24"/>
        </w:rPr>
        <w:t>specified</w:t>
      </w:r>
      <w:proofErr w:type="gramEnd"/>
      <w:r w:rsidR="004C6064" w:rsidRPr="009C69FE">
        <w:rPr>
          <w:rFonts w:cs="Arial"/>
          <w:sz w:val="24"/>
          <w:szCs w:val="24"/>
        </w:rPr>
        <w:t xml:space="preserve"> and it was not clear from the circumstances that road transport was envisaged.  Clearly the court characterised the contract as different from a contract for carriage by road and might regard a contract for multimodal transport similarly.  However, the case may be distinguishable </w:t>
      </w:r>
      <w:r w:rsidR="00CE7698" w:rsidRPr="009C69FE">
        <w:rPr>
          <w:rFonts w:cs="Arial"/>
          <w:sz w:val="24"/>
          <w:szCs w:val="24"/>
        </w:rPr>
        <w:t xml:space="preserve">at least on the facts if not with the approach </w:t>
      </w:r>
      <w:r w:rsidR="004C6064" w:rsidRPr="009C69FE">
        <w:rPr>
          <w:rFonts w:cs="Arial"/>
          <w:sz w:val="24"/>
          <w:szCs w:val="24"/>
        </w:rPr>
        <w:t>on the basis that where a courier service is involved a customer would generally have little expectation as to how the goods are to be carried and would leave the form of carriage entirely to the decision of the carrier.</w:t>
      </w:r>
      <w:r w:rsidR="00C359A8" w:rsidRPr="009C69FE">
        <w:rPr>
          <w:rFonts w:cs="Arial"/>
          <w:sz w:val="24"/>
          <w:szCs w:val="24"/>
        </w:rPr>
        <w:t xml:space="preserve"> Compare the English decision in </w:t>
      </w:r>
      <w:proofErr w:type="spellStart"/>
      <w:r w:rsidR="00C359A8" w:rsidRPr="009C69FE">
        <w:rPr>
          <w:rFonts w:cs="Arial"/>
          <w:b/>
          <w:sz w:val="24"/>
          <w:szCs w:val="24"/>
        </w:rPr>
        <w:t>Da</w:t>
      </w:r>
      <w:r w:rsidR="00CE7698" w:rsidRPr="009C69FE">
        <w:rPr>
          <w:rFonts w:cs="Arial"/>
          <w:b/>
          <w:sz w:val="24"/>
          <w:szCs w:val="24"/>
        </w:rPr>
        <w:t>tec</w:t>
      </w:r>
      <w:proofErr w:type="spellEnd"/>
      <w:r w:rsidR="00CE7698" w:rsidRPr="009C69FE">
        <w:rPr>
          <w:rFonts w:cs="Arial"/>
          <w:b/>
          <w:sz w:val="24"/>
          <w:szCs w:val="24"/>
        </w:rPr>
        <w:t xml:space="preserve"> Electronic Holdings Ltd v United Parcels Service Ltd</w:t>
      </w:r>
      <w:r w:rsidR="00CE7698" w:rsidRPr="009C69FE">
        <w:rPr>
          <w:rFonts w:cs="Arial"/>
          <w:sz w:val="24"/>
          <w:szCs w:val="24"/>
        </w:rPr>
        <w:t xml:space="preserve"> [2007] UKHL 23, [2007] 1 WLR 1325</w:t>
      </w:r>
      <w:r w:rsidR="00C359A8" w:rsidRPr="009C69FE">
        <w:rPr>
          <w:rFonts w:cs="Arial"/>
          <w:sz w:val="24"/>
          <w:szCs w:val="24"/>
        </w:rPr>
        <w:t>.</w:t>
      </w:r>
    </w:p>
    <w:p w14:paraId="279FBCAC" w14:textId="7C5519B3" w:rsidR="004C6064" w:rsidRPr="00E919AC" w:rsidRDefault="004C6064" w:rsidP="004C6064">
      <w:pPr>
        <w:rPr>
          <w:rFonts w:cs="Arial"/>
          <w:sz w:val="24"/>
          <w:szCs w:val="24"/>
        </w:rPr>
      </w:pPr>
      <w:r w:rsidRPr="009C69FE">
        <w:rPr>
          <w:rFonts w:cs="Arial"/>
          <w:sz w:val="24"/>
          <w:szCs w:val="24"/>
        </w:rPr>
        <w:t>Whi</w:t>
      </w:r>
      <w:r w:rsidR="000644F0" w:rsidRPr="009C69FE">
        <w:rPr>
          <w:rFonts w:cs="Arial"/>
          <w:sz w:val="24"/>
          <w:szCs w:val="24"/>
        </w:rPr>
        <w:t>lst the Belgian</w:t>
      </w:r>
      <w:r w:rsidRPr="009C69FE">
        <w:rPr>
          <w:rFonts w:cs="Arial"/>
          <w:sz w:val="24"/>
          <w:szCs w:val="24"/>
        </w:rPr>
        <w:t xml:space="preserve"> case may be distinguishable, a recent decision of the </w:t>
      </w:r>
      <w:r w:rsidRPr="009C69FE">
        <w:rPr>
          <w:rFonts w:cs="Arial"/>
          <w:b/>
          <w:sz w:val="24"/>
          <w:szCs w:val="24"/>
        </w:rPr>
        <w:t xml:space="preserve">German federal High Court </w:t>
      </w:r>
      <w:r w:rsidR="00C94749" w:rsidRPr="009C69FE">
        <w:rPr>
          <w:rFonts w:cs="Arial"/>
          <w:b/>
          <w:sz w:val="24"/>
          <w:szCs w:val="24"/>
        </w:rPr>
        <w:t>(</w:t>
      </w:r>
      <w:proofErr w:type="spellStart"/>
      <w:r w:rsidR="00C94749" w:rsidRPr="009C69FE">
        <w:rPr>
          <w:rFonts w:cs="Arial"/>
          <w:b/>
          <w:sz w:val="24"/>
          <w:szCs w:val="24"/>
        </w:rPr>
        <w:t>Bundesgerichtshof</w:t>
      </w:r>
      <w:proofErr w:type="spellEnd"/>
      <w:r w:rsidR="00C94749" w:rsidRPr="009C69FE">
        <w:rPr>
          <w:rFonts w:cs="Arial"/>
          <w:b/>
          <w:sz w:val="24"/>
          <w:szCs w:val="24"/>
        </w:rPr>
        <w:t xml:space="preserve">) </w:t>
      </w:r>
      <w:r w:rsidRPr="009C69FE">
        <w:rPr>
          <w:rFonts w:cs="Arial"/>
          <w:sz w:val="24"/>
          <w:szCs w:val="24"/>
        </w:rPr>
        <w:t xml:space="preserve">may not be.  On facts </w:t>
      </w:r>
      <w:proofErr w:type="gramStart"/>
      <w:r w:rsidRPr="009C69FE">
        <w:rPr>
          <w:rFonts w:cs="Arial"/>
          <w:sz w:val="24"/>
          <w:szCs w:val="24"/>
        </w:rPr>
        <w:t>similar to</w:t>
      </w:r>
      <w:proofErr w:type="gramEnd"/>
      <w:r w:rsidRPr="009C69FE">
        <w:rPr>
          <w:rFonts w:cs="Arial"/>
          <w:sz w:val="24"/>
          <w:szCs w:val="24"/>
        </w:rPr>
        <w:t xml:space="preserve"> those in </w:t>
      </w:r>
      <w:r w:rsidRPr="009C69FE">
        <w:rPr>
          <w:rFonts w:cs="Arial"/>
          <w:b/>
          <w:sz w:val="24"/>
          <w:szCs w:val="24"/>
        </w:rPr>
        <w:t>Quantum</w:t>
      </w:r>
      <w:r w:rsidRPr="009C69FE">
        <w:rPr>
          <w:rFonts w:cs="Arial"/>
          <w:sz w:val="24"/>
          <w:szCs w:val="24"/>
        </w:rPr>
        <w:t xml:space="preserve"> the court held that CMR did not apply to the road leg of a contract of carriage which was performed by sea from Tokyo to Rotterdam an</w:t>
      </w:r>
      <w:r w:rsidR="001A75CD">
        <w:rPr>
          <w:rFonts w:cs="Arial"/>
          <w:sz w:val="24"/>
          <w:szCs w:val="24"/>
        </w:rPr>
        <w:t>d by road from there to Germany</w:t>
      </w:r>
      <w:r w:rsidR="00C94749" w:rsidRPr="009C69FE">
        <w:rPr>
          <w:rFonts w:cs="Arial"/>
          <w:sz w:val="24"/>
          <w:szCs w:val="24"/>
        </w:rPr>
        <w:t xml:space="preserve"> </w:t>
      </w:r>
      <w:r w:rsidRPr="009C69FE">
        <w:rPr>
          <w:rFonts w:cs="Arial"/>
          <w:sz w:val="24"/>
          <w:szCs w:val="24"/>
        </w:rPr>
        <w:t>(</w:t>
      </w:r>
      <w:proofErr w:type="spellStart"/>
      <w:r w:rsidR="00FF4F84" w:rsidRPr="009C69FE">
        <w:rPr>
          <w:rFonts w:cs="Arial"/>
          <w:b/>
          <w:sz w:val="24"/>
          <w:szCs w:val="24"/>
        </w:rPr>
        <w:t>Bundesgerichtshof</w:t>
      </w:r>
      <w:proofErr w:type="spellEnd"/>
      <w:r w:rsidR="00FF4F84" w:rsidRPr="009C69FE">
        <w:rPr>
          <w:rFonts w:cs="Arial"/>
          <w:b/>
          <w:sz w:val="24"/>
          <w:szCs w:val="24"/>
        </w:rPr>
        <w:t xml:space="preserve"> (</w:t>
      </w:r>
      <w:r w:rsidRPr="009C69FE">
        <w:rPr>
          <w:rFonts w:cs="Arial"/>
          <w:b/>
          <w:sz w:val="24"/>
          <w:szCs w:val="24"/>
        </w:rPr>
        <w:t>BGH</w:t>
      </w:r>
      <w:r w:rsidR="00FF4F84" w:rsidRPr="009C69FE">
        <w:rPr>
          <w:rFonts w:cs="Arial"/>
          <w:b/>
          <w:sz w:val="24"/>
          <w:szCs w:val="24"/>
        </w:rPr>
        <w:t>)</w:t>
      </w:r>
      <w:r w:rsidRPr="009C69FE">
        <w:rPr>
          <w:rFonts w:cs="Arial"/>
          <w:sz w:val="24"/>
          <w:szCs w:val="24"/>
        </w:rPr>
        <w:t xml:space="preserve"> 17 7 2008, I ZR 181/05. (2009) XLIV European Transport Law 196, see further P </w:t>
      </w:r>
      <w:proofErr w:type="spellStart"/>
      <w:r w:rsidRPr="009C69FE">
        <w:rPr>
          <w:rFonts w:cs="Arial"/>
          <w:sz w:val="24"/>
          <w:szCs w:val="24"/>
        </w:rPr>
        <w:t>Luarussen</w:t>
      </w:r>
      <w:proofErr w:type="spellEnd"/>
      <w:r w:rsidRPr="009C69FE">
        <w:rPr>
          <w:rFonts w:cs="Arial"/>
          <w:sz w:val="24"/>
          <w:szCs w:val="24"/>
        </w:rPr>
        <w:t xml:space="preserve">, (2009) XLIV ETL 143). </w:t>
      </w:r>
      <w:proofErr w:type="gramStart"/>
      <w:r w:rsidRPr="009C69FE">
        <w:rPr>
          <w:rFonts w:cs="Arial"/>
          <w:sz w:val="24"/>
          <w:szCs w:val="24"/>
        </w:rPr>
        <w:t>Note also</w:t>
      </w:r>
      <w:proofErr w:type="gramEnd"/>
      <w:r w:rsidRPr="009C69FE">
        <w:rPr>
          <w:rFonts w:cs="Arial"/>
          <w:sz w:val="24"/>
          <w:szCs w:val="24"/>
        </w:rPr>
        <w:t xml:space="preserve"> a similar decision</w:t>
      </w:r>
      <w:r w:rsidR="007E4669" w:rsidRPr="009C69FE">
        <w:rPr>
          <w:rFonts w:cs="Arial"/>
          <w:sz w:val="24"/>
          <w:szCs w:val="24"/>
        </w:rPr>
        <w:t xml:space="preserve"> by the Dutch Supreme Court in </w:t>
      </w:r>
      <w:r w:rsidR="007E4669" w:rsidRPr="009C69FE">
        <w:rPr>
          <w:rFonts w:cs="Arial"/>
          <w:b/>
          <w:sz w:val="24"/>
          <w:szCs w:val="24"/>
        </w:rPr>
        <w:t>T</w:t>
      </w:r>
      <w:r w:rsidRPr="009C69FE">
        <w:rPr>
          <w:rFonts w:cs="Arial"/>
          <w:b/>
          <w:sz w:val="24"/>
          <w:szCs w:val="24"/>
        </w:rPr>
        <w:t xml:space="preserve">he </w:t>
      </w:r>
      <w:proofErr w:type="spellStart"/>
      <w:r w:rsidRPr="009C69FE">
        <w:rPr>
          <w:rFonts w:cs="Arial"/>
          <w:b/>
          <w:sz w:val="24"/>
          <w:szCs w:val="24"/>
        </w:rPr>
        <w:t>Godafoss</w:t>
      </w:r>
      <w:proofErr w:type="spellEnd"/>
      <w:r w:rsidRPr="009C69FE">
        <w:rPr>
          <w:rFonts w:cs="Arial"/>
          <w:sz w:val="24"/>
          <w:szCs w:val="24"/>
        </w:rPr>
        <w:t xml:space="preserve"> </w:t>
      </w:r>
      <w:r w:rsidR="007E4669" w:rsidRPr="009C69FE">
        <w:rPr>
          <w:rFonts w:cs="Arial"/>
          <w:sz w:val="24"/>
          <w:szCs w:val="24"/>
        </w:rPr>
        <w:t>1.6.</w:t>
      </w:r>
      <w:r w:rsidRPr="009C69FE">
        <w:rPr>
          <w:rFonts w:cs="Arial"/>
          <w:sz w:val="24"/>
          <w:szCs w:val="24"/>
        </w:rPr>
        <w:t>2012</w:t>
      </w:r>
      <w:r w:rsidR="007E4669" w:rsidRPr="009C69FE">
        <w:rPr>
          <w:rFonts w:cs="Arial"/>
          <w:sz w:val="24"/>
          <w:szCs w:val="24"/>
        </w:rPr>
        <w:t xml:space="preserve">, </w:t>
      </w:r>
      <w:proofErr w:type="spellStart"/>
      <w:r w:rsidR="007E4669" w:rsidRPr="009C69FE">
        <w:rPr>
          <w:rFonts w:cs="Arial"/>
          <w:sz w:val="24"/>
          <w:szCs w:val="24"/>
        </w:rPr>
        <w:t>Idit</w:t>
      </w:r>
      <w:proofErr w:type="spellEnd"/>
      <w:r w:rsidR="007E4669" w:rsidRPr="009C69FE">
        <w:rPr>
          <w:rFonts w:cs="Arial"/>
          <w:sz w:val="24"/>
          <w:szCs w:val="24"/>
        </w:rPr>
        <w:t xml:space="preserve"> No. 41700</w:t>
      </w:r>
      <w:r w:rsidRPr="009C69FE">
        <w:rPr>
          <w:rFonts w:cs="Arial"/>
          <w:sz w:val="24"/>
          <w:szCs w:val="24"/>
        </w:rPr>
        <w:t xml:space="preserve">. </w:t>
      </w:r>
      <w:r w:rsidR="00C21C0D">
        <w:rPr>
          <w:rFonts w:cs="Arial"/>
          <w:sz w:val="24"/>
          <w:szCs w:val="24"/>
        </w:rPr>
        <w:t xml:space="preserve">Other cases </w:t>
      </w:r>
      <w:r w:rsidR="00F76D06">
        <w:rPr>
          <w:rFonts w:cs="Arial"/>
          <w:sz w:val="24"/>
          <w:szCs w:val="24"/>
        </w:rPr>
        <w:t xml:space="preserve">appear </w:t>
      </w:r>
      <w:r w:rsidR="008D33D5">
        <w:rPr>
          <w:rFonts w:cs="Arial"/>
          <w:sz w:val="24"/>
          <w:szCs w:val="24"/>
        </w:rPr>
        <w:t xml:space="preserve">to reach different conclusions to parts of the Quantum approach </w:t>
      </w:r>
      <w:r w:rsidR="00C968FC">
        <w:rPr>
          <w:rFonts w:cs="Arial"/>
          <w:sz w:val="24"/>
          <w:szCs w:val="24"/>
        </w:rPr>
        <w:t>e.g.,</w:t>
      </w:r>
      <w:r w:rsidR="008D33D5">
        <w:rPr>
          <w:rFonts w:cs="Arial"/>
          <w:sz w:val="24"/>
          <w:szCs w:val="24"/>
        </w:rPr>
        <w:t xml:space="preserve"> in respect </w:t>
      </w:r>
      <w:r w:rsidR="00F653C4">
        <w:rPr>
          <w:rFonts w:cs="Arial"/>
          <w:sz w:val="24"/>
          <w:szCs w:val="24"/>
        </w:rPr>
        <w:t xml:space="preserve">of the exercise of an option to substitute a different </w:t>
      </w:r>
      <w:r w:rsidR="00C968FC">
        <w:rPr>
          <w:rFonts w:cs="Arial"/>
          <w:sz w:val="24"/>
          <w:szCs w:val="24"/>
        </w:rPr>
        <w:t>mode of transport</w:t>
      </w:r>
      <w:r w:rsidR="00FF03B7">
        <w:rPr>
          <w:rFonts w:cs="Arial"/>
          <w:sz w:val="24"/>
          <w:szCs w:val="24"/>
        </w:rPr>
        <w:t>, the Danish Supreme Court</w:t>
      </w:r>
      <w:r w:rsidR="004228C7">
        <w:rPr>
          <w:rFonts w:cs="Arial"/>
          <w:sz w:val="24"/>
          <w:szCs w:val="24"/>
        </w:rPr>
        <w:t>,</w:t>
      </w:r>
      <w:r w:rsidR="00FF03B7">
        <w:rPr>
          <w:rFonts w:cs="Arial"/>
          <w:sz w:val="24"/>
          <w:szCs w:val="24"/>
        </w:rPr>
        <w:t xml:space="preserve"> </w:t>
      </w:r>
      <w:r w:rsidR="00A11CE6">
        <w:rPr>
          <w:rFonts w:cs="Arial"/>
          <w:sz w:val="24"/>
          <w:szCs w:val="24"/>
        </w:rPr>
        <w:t xml:space="preserve">in a decision of </w:t>
      </w:r>
      <w:r w:rsidR="004228C7">
        <w:rPr>
          <w:rFonts w:cs="Arial"/>
          <w:sz w:val="24"/>
          <w:szCs w:val="24"/>
        </w:rPr>
        <w:t xml:space="preserve">23.4.2008, </w:t>
      </w:r>
      <w:r w:rsidR="00A96D78">
        <w:rPr>
          <w:rFonts w:cs="Arial"/>
          <w:sz w:val="24"/>
          <w:szCs w:val="24"/>
        </w:rPr>
        <w:t xml:space="preserve">held </w:t>
      </w:r>
      <w:r w:rsidR="00D74E4F">
        <w:rPr>
          <w:rFonts w:cs="Arial"/>
          <w:sz w:val="24"/>
          <w:szCs w:val="24"/>
        </w:rPr>
        <w:t xml:space="preserve">that </w:t>
      </w:r>
      <w:r w:rsidR="003252CA">
        <w:rPr>
          <w:rFonts w:cs="Arial"/>
          <w:sz w:val="24"/>
          <w:szCs w:val="24"/>
        </w:rPr>
        <w:t>a contract for carriage by air</w:t>
      </w:r>
      <w:r w:rsidR="00C9092A">
        <w:rPr>
          <w:rFonts w:cs="Arial"/>
          <w:sz w:val="24"/>
          <w:szCs w:val="24"/>
        </w:rPr>
        <w:t xml:space="preserve"> remained a contract </w:t>
      </w:r>
      <w:r w:rsidR="006759FC">
        <w:rPr>
          <w:rFonts w:cs="Arial"/>
          <w:sz w:val="24"/>
          <w:szCs w:val="24"/>
        </w:rPr>
        <w:t xml:space="preserve">for such carriage </w:t>
      </w:r>
      <w:r w:rsidR="00004683">
        <w:rPr>
          <w:rFonts w:cs="Arial"/>
          <w:sz w:val="24"/>
          <w:szCs w:val="24"/>
        </w:rPr>
        <w:t xml:space="preserve">despite the substitution of road </w:t>
      </w:r>
      <w:r w:rsidR="000367AF">
        <w:rPr>
          <w:rFonts w:cs="Arial"/>
          <w:sz w:val="24"/>
          <w:szCs w:val="24"/>
        </w:rPr>
        <w:t xml:space="preserve">carriage for </w:t>
      </w:r>
      <w:r w:rsidR="00004683">
        <w:rPr>
          <w:rFonts w:cs="Arial"/>
          <w:sz w:val="24"/>
          <w:szCs w:val="24"/>
        </w:rPr>
        <w:t>part o</w:t>
      </w:r>
      <w:r w:rsidR="000367AF">
        <w:rPr>
          <w:rFonts w:cs="Arial"/>
          <w:sz w:val="24"/>
          <w:szCs w:val="24"/>
        </w:rPr>
        <w:t xml:space="preserve">f </w:t>
      </w:r>
      <w:r w:rsidR="00004683">
        <w:rPr>
          <w:rFonts w:cs="Arial"/>
          <w:sz w:val="24"/>
          <w:szCs w:val="24"/>
        </w:rPr>
        <w:t xml:space="preserve">the carriage </w:t>
      </w:r>
      <w:r w:rsidR="000367AF">
        <w:rPr>
          <w:rFonts w:cs="Arial"/>
          <w:sz w:val="24"/>
          <w:szCs w:val="24"/>
        </w:rPr>
        <w:t xml:space="preserve">and applied air rules for the damage that occurred on the road section </w:t>
      </w:r>
      <w:r w:rsidR="00E11F06">
        <w:rPr>
          <w:rFonts w:cs="Arial"/>
          <w:sz w:val="24"/>
          <w:szCs w:val="24"/>
        </w:rPr>
        <w:t xml:space="preserve">(see </w:t>
      </w:r>
      <w:proofErr w:type="spellStart"/>
      <w:r w:rsidR="00E11F06">
        <w:rPr>
          <w:rFonts w:cs="Arial"/>
          <w:sz w:val="24"/>
          <w:szCs w:val="24"/>
        </w:rPr>
        <w:t>Backden</w:t>
      </w:r>
      <w:proofErr w:type="spellEnd"/>
      <w:r w:rsidR="00E11F06">
        <w:rPr>
          <w:rFonts w:cs="Arial"/>
          <w:sz w:val="24"/>
          <w:szCs w:val="24"/>
        </w:rPr>
        <w:t xml:space="preserve"> (see </w:t>
      </w:r>
      <w:r w:rsidR="00823DC9">
        <w:rPr>
          <w:rFonts w:cs="Arial"/>
          <w:sz w:val="24"/>
          <w:szCs w:val="24"/>
        </w:rPr>
        <w:t xml:space="preserve">selected </w:t>
      </w:r>
      <w:r w:rsidR="00E11F06">
        <w:rPr>
          <w:rFonts w:cs="Arial"/>
          <w:sz w:val="24"/>
          <w:szCs w:val="24"/>
        </w:rPr>
        <w:t xml:space="preserve">references </w:t>
      </w:r>
      <w:r w:rsidR="00823DC9">
        <w:rPr>
          <w:rFonts w:cs="Arial"/>
          <w:sz w:val="24"/>
          <w:szCs w:val="24"/>
        </w:rPr>
        <w:t>below)</w:t>
      </w:r>
      <w:r w:rsidR="00851F74">
        <w:rPr>
          <w:rFonts w:cs="Arial"/>
          <w:sz w:val="24"/>
          <w:szCs w:val="24"/>
        </w:rPr>
        <w:t xml:space="preserve"> p. 289</w:t>
      </w:r>
      <w:r w:rsidR="009E0A3E">
        <w:rPr>
          <w:rFonts w:cs="Arial"/>
          <w:sz w:val="24"/>
          <w:szCs w:val="24"/>
        </w:rPr>
        <w:t xml:space="preserve"> – see further the discussion of the Quantum case in </w:t>
      </w:r>
      <w:proofErr w:type="spellStart"/>
      <w:r w:rsidR="009E0A3E">
        <w:rPr>
          <w:rFonts w:cs="Arial"/>
          <w:sz w:val="24"/>
          <w:szCs w:val="24"/>
        </w:rPr>
        <w:t>Hoeks</w:t>
      </w:r>
      <w:proofErr w:type="spellEnd"/>
      <w:r w:rsidR="009E0A3E">
        <w:rPr>
          <w:rFonts w:cs="Arial"/>
          <w:sz w:val="24"/>
          <w:szCs w:val="24"/>
        </w:rPr>
        <w:t xml:space="preserve"> (see selected references below</w:t>
      </w:r>
      <w:r w:rsidR="004B3914">
        <w:rPr>
          <w:rFonts w:cs="Arial"/>
          <w:sz w:val="24"/>
          <w:szCs w:val="24"/>
        </w:rPr>
        <w:t xml:space="preserve">) p. </w:t>
      </w:r>
      <w:r w:rsidR="005004BD">
        <w:rPr>
          <w:rFonts w:cs="Arial"/>
          <w:sz w:val="24"/>
          <w:szCs w:val="24"/>
        </w:rPr>
        <w:t>1</w:t>
      </w:r>
      <w:r w:rsidR="00D75BC0">
        <w:rPr>
          <w:rFonts w:cs="Arial"/>
          <w:sz w:val="24"/>
          <w:szCs w:val="24"/>
        </w:rPr>
        <w:t xml:space="preserve">58 </w:t>
      </w:r>
      <w:r w:rsidR="00D75BC0" w:rsidRPr="00D75BC0">
        <w:rPr>
          <w:rFonts w:cs="Arial"/>
          <w:i/>
          <w:iCs/>
          <w:sz w:val="24"/>
          <w:szCs w:val="24"/>
        </w:rPr>
        <w:t xml:space="preserve">et </w:t>
      </w:r>
      <w:proofErr w:type="spellStart"/>
      <w:r w:rsidR="00D75BC0" w:rsidRPr="00D75BC0">
        <w:rPr>
          <w:rFonts w:cs="Arial"/>
          <w:i/>
          <w:iCs/>
          <w:sz w:val="24"/>
          <w:szCs w:val="24"/>
        </w:rPr>
        <w:t>seq</w:t>
      </w:r>
      <w:proofErr w:type="spellEnd"/>
      <w:r w:rsidR="00D75BC0">
        <w:rPr>
          <w:rFonts w:cs="Arial"/>
          <w:sz w:val="24"/>
          <w:szCs w:val="24"/>
        </w:rPr>
        <w:t>).</w:t>
      </w:r>
    </w:p>
    <w:p w14:paraId="3615CE81" w14:textId="2BC5A025" w:rsidR="004C6064" w:rsidRPr="009C69FE" w:rsidRDefault="007728E8" w:rsidP="004C6064">
      <w:pPr>
        <w:rPr>
          <w:rFonts w:cs="Arial"/>
          <w:b/>
          <w:sz w:val="24"/>
          <w:szCs w:val="24"/>
        </w:rPr>
      </w:pPr>
      <w:r w:rsidRPr="009C69FE">
        <w:rPr>
          <w:rFonts w:cs="Arial"/>
          <w:b/>
          <w:sz w:val="24"/>
          <w:szCs w:val="24"/>
        </w:rPr>
        <w:t>Q.</w:t>
      </w:r>
      <w:r w:rsidR="00E25A3C">
        <w:rPr>
          <w:rFonts w:cs="Arial"/>
          <w:b/>
          <w:sz w:val="24"/>
          <w:szCs w:val="24"/>
        </w:rPr>
        <w:t>6</w:t>
      </w:r>
      <w:r w:rsidRPr="009C69FE">
        <w:rPr>
          <w:rFonts w:cs="Arial"/>
          <w:b/>
          <w:sz w:val="24"/>
          <w:szCs w:val="24"/>
        </w:rPr>
        <w:t xml:space="preserve"> Can you see any</w:t>
      </w:r>
      <w:r w:rsidR="00FD2493" w:rsidRPr="009C69FE">
        <w:rPr>
          <w:rFonts w:cs="Arial"/>
          <w:b/>
          <w:sz w:val="24"/>
          <w:szCs w:val="24"/>
        </w:rPr>
        <w:t xml:space="preserve"> </w:t>
      </w:r>
      <w:r w:rsidR="00B72EAA" w:rsidRPr="009C69FE">
        <w:rPr>
          <w:rFonts w:cs="Arial"/>
          <w:b/>
          <w:sz w:val="24"/>
          <w:szCs w:val="24"/>
        </w:rPr>
        <w:t>difficulties</w:t>
      </w:r>
      <w:r w:rsidR="00EB2950" w:rsidRPr="009C69FE">
        <w:rPr>
          <w:rFonts w:cs="Arial"/>
          <w:b/>
          <w:sz w:val="24"/>
          <w:szCs w:val="24"/>
        </w:rPr>
        <w:t xml:space="preserve"> in applying CMR that might arise from the appr</w:t>
      </w:r>
      <w:r w:rsidR="00FD2493" w:rsidRPr="009C69FE">
        <w:rPr>
          <w:rFonts w:cs="Arial"/>
          <w:b/>
          <w:sz w:val="24"/>
          <w:szCs w:val="24"/>
        </w:rPr>
        <w:t>oach taken in the Quantum case?</w:t>
      </w:r>
      <w:r w:rsidR="009E0A3E">
        <w:rPr>
          <w:rFonts w:cs="Arial"/>
          <w:b/>
          <w:sz w:val="24"/>
          <w:szCs w:val="24"/>
        </w:rPr>
        <w:t xml:space="preserve"> </w:t>
      </w:r>
    </w:p>
    <w:p w14:paraId="7D9FF14B" w14:textId="77777777" w:rsidR="00FF4F84" w:rsidRPr="009C69FE" w:rsidRDefault="00FF4F84" w:rsidP="004C6064">
      <w:pPr>
        <w:rPr>
          <w:rFonts w:cs="Arial"/>
          <w:sz w:val="24"/>
          <w:szCs w:val="24"/>
        </w:rPr>
      </w:pPr>
      <w:r w:rsidRPr="009C69FE">
        <w:rPr>
          <w:rFonts w:cs="Arial"/>
          <w:sz w:val="24"/>
          <w:szCs w:val="24"/>
        </w:rPr>
        <w:t>The</w:t>
      </w:r>
      <w:r w:rsidR="00643DB1" w:rsidRPr="009C69FE">
        <w:rPr>
          <w:rFonts w:cs="Arial"/>
          <w:sz w:val="24"/>
          <w:szCs w:val="24"/>
        </w:rPr>
        <w:t xml:space="preserve"> view that a contract must be predominantly or characterised as for a particular mode of carria</w:t>
      </w:r>
      <w:r w:rsidR="00297259" w:rsidRPr="009C69FE">
        <w:rPr>
          <w:rFonts w:cs="Arial"/>
          <w:sz w:val="24"/>
          <w:szCs w:val="24"/>
        </w:rPr>
        <w:t>ge has a strong following</w:t>
      </w:r>
      <w:r w:rsidR="00643DB1" w:rsidRPr="009C69FE">
        <w:rPr>
          <w:rFonts w:cs="Arial"/>
          <w:sz w:val="24"/>
          <w:szCs w:val="24"/>
        </w:rPr>
        <w:t xml:space="preserve">.  </w:t>
      </w:r>
      <w:proofErr w:type="gramStart"/>
      <w:r w:rsidR="00643DB1" w:rsidRPr="009C69FE">
        <w:rPr>
          <w:rFonts w:cs="Arial"/>
          <w:sz w:val="24"/>
          <w:szCs w:val="24"/>
        </w:rPr>
        <w:t>E.g.</w:t>
      </w:r>
      <w:proofErr w:type="gramEnd"/>
      <w:r w:rsidR="00643DB1" w:rsidRPr="009C69FE">
        <w:rPr>
          <w:rFonts w:cs="Arial"/>
          <w:sz w:val="24"/>
          <w:szCs w:val="24"/>
        </w:rPr>
        <w:t xml:space="preserve"> in the c</w:t>
      </w:r>
      <w:r w:rsidR="00297259" w:rsidRPr="009C69FE">
        <w:rPr>
          <w:rFonts w:cs="Arial"/>
          <w:sz w:val="24"/>
          <w:szCs w:val="24"/>
        </w:rPr>
        <w:t>ontext of reform of CIM the Central Office (OCTI – see above) saw</w:t>
      </w:r>
      <w:r w:rsidR="00643DB1" w:rsidRPr="009C69FE">
        <w:rPr>
          <w:rFonts w:cs="Arial"/>
          <w:sz w:val="24"/>
          <w:szCs w:val="24"/>
        </w:rPr>
        <w:t xml:space="preserve"> no problem in extending CIM to supplementary road carriage even if it was international since they thought there would be no clash with CMR</w:t>
      </w:r>
      <w:r w:rsidR="001A75CD">
        <w:rPr>
          <w:rFonts w:cs="Arial"/>
          <w:sz w:val="24"/>
          <w:szCs w:val="24"/>
        </w:rPr>
        <w:t xml:space="preserve"> as</w:t>
      </w:r>
      <w:r w:rsidR="00297259" w:rsidRPr="009C69FE">
        <w:rPr>
          <w:rFonts w:cs="Arial"/>
          <w:sz w:val="24"/>
          <w:szCs w:val="24"/>
        </w:rPr>
        <w:t xml:space="preserve"> the road carriage was simply complementary to a contract whose purpose was carriage by rail.  The Revision C</w:t>
      </w:r>
      <w:r w:rsidR="00643DB1" w:rsidRPr="009C69FE">
        <w:rPr>
          <w:rFonts w:cs="Arial"/>
          <w:sz w:val="24"/>
          <w:szCs w:val="24"/>
        </w:rPr>
        <w:t>ommittee was more cautious</w:t>
      </w:r>
      <w:r w:rsidR="00297259" w:rsidRPr="009C69FE">
        <w:rPr>
          <w:rFonts w:cs="Arial"/>
          <w:sz w:val="24"/>
          <w:szCs w:val="24"/>
        </w:rPr>
        <w:t xml:space="preserve"> and restricted the CIM cover to supplementary internal road carriag</w:t>
      </w:r>
      <w:r w:rsidR="00056A22" w:rsidRPr="009C69FE">
        <w:rPr>
          <w:rFonts w:cs="Arial"/>
          <w:sz w:val="24"/>
          <w:szCs w:val="24"/>
        </w:rPr>
        <w:t xml:space="preserve">e (CIM Explanatory Report, </w:t>
      </w:r>
      <w:r w:rsidR="00297259" w:rsidRPr="009C69FE">
        <w:rPr>
          <w:rFonts w:cs="Arial"/>
          <w:sz w:val="24"/>
          <w:szCs w:val="24"/>
        </w:rPr>
        <w:t>art 1 [14]-[15</w:t>
      </w:r>
      <w:r w:rsidR="00AD4A63" w:rsidRPr="009C69FE">
        <w:rPr>
          <w:rFonts w:cs="Arial"/>
          <w:sz w:val="24"/>
          <w:szCs w:val="24"/>
        </w:rPr>
        <w:t>]</w:t>
      </w:r>
      <w:r w:rsidR="00B72EAA" w:rsidRPr="009C69FE">
        <w:rPr>
          <w:rFonts w:cs="Arial"/>
          <w:sz w:val="24"/>
          <w:szCs w:val="24"/>
        </w:rPr>
        <w:t xml:space="preserve"> (see above)</w:t>
      </w:r>
      <w:r w:rsidR="001A75CD">
        <w:rPr>
          <w:rFonts w:cs="Arial"/>
          <w:sz w:val="24"/>
          <w:szCs w:val="24"/>
        </w:rPr>
        <w:t>)</w:t>
      </w:r>
      <w:r w:rsidR="00B72EAA" w:rsidRPr="009C69FE">
        <w:rPr>
          <w:rFonts w:cs="Arial"/>
          <w:sz w:val="24"/>
          <w:szCs w:val="24"/>
        </w:rPr>
        <w:t>.</w:t>
      </w:r>
      <w:r w:rsidR="00B72EAA" w:rsidRPr="009C69FE">
        <w:rPr>
          <w:rFonts w:cs="Arial"/>
          <w:sz w:val="24"/>
          <w:szCs w:val="24"/>
        </w:rPr>
        <w:br/>
        <w:t xml:space="preserve"> </w:t>
      </w:r>
      <w:r w:rsidR="00AD4A63" w:rsidRPr="009C69FE">
        <w:rPr>
          <w:rFonts w:cs="Arial"/>
          <w:sz w:val="24"/>
          <w:szCs w:val="24"/>
        </w:rPr>
        <w:br/>
      </w:r>
      <w:r w:rsidR="00643DB1" w:rsidRPr="009C69FE">
        <w:rPr>
          <w:rFonts w:cs="Arial"/>
          <w:sz w:val="24"/>
          <w:szCs w:val="24"/>
        </w:rPr>
        <w:t>Similarly in respect of the developme</w:t>
      </w:r>
      <w:r w:rsidR="00AD4A63" w:rsidRPr="009C69FE">
        <w:rPr>
          <w:rFonts w:cs="Arial"/>
          <w:sz w:val="24"/>
          <w:szCs w:val="24"/>
        </w:rPr>
        <w:t xml:space="preserve">nt of the Rotterdam Rules the UNCITRAL Secretariat noted the </w:t>
      </w:r>
      <w:r w:rsidR="00786CDB" w:rsidRPr="009C69FE">
        <w:rPr>
          <w:rFonts w:cs="Arial"/>
          <w:sz w:val="24"/>
          <w:szCs w:val="24"/>
        </w:rPr>
        <w:t xml:space="preserve">arguments made </w:t>
      </w:r>
      <w:r w:rsidR="00B72EAA" w:rsidRPr="009C69FE">
        <w:rPr>
          <w:rFonts w:cs="Arial"/>
          <w:sz w:val="24"/>
          <w:szCs w:val="24"/>
        </w:rPr>
        <w:t xml:space="preserve">for </w:t>
      </w:r>
      <w:r w:rsidR="00786CDB" w:rsidRPr="009C69FE">
        <w:rPr>
          <w:rFonts w:cs="Arial"/>
          <w:sz w:val="24"/>
          <w:szCs w:val="24"/>
        </w:rPr>
        <w:t xml:space="preserve">and against </w:t>
      </w:r>
      <w:r w:rsidR="00AD4A63" w:rsidRPr="009C69FE">
        <w:rPr>
          <w:rFonts w:cs="Arial"/>
          <w:sz w:val="24"/>
          <w:szCs w:val="24"/>
        </w:rPr>
        <w:t>the application of CMR</w:t>
      </w:r>
      <w:r w:rsidR="00643DB1" w:rsidRPr="009C69FE">
        <w:rPr>
          <w:rFonts w:cs="Arial"/>
          <w:sz w:val="24"/>
          <w:szCs w:val="24"/>
        </w:rPr>
        <w:t xml:space="preserve"> to a </w:t>
      </w:r>
      <w:r w:rsidR="00AD4A63" w:rsidRPr="009C69FE">
        <w:rPr>
          <w:rFonts w:cs="Arial"/>
          <w:sz w:val="24"/>
          <w:szCs w:val="24"/>
        </w:rPr>
        <w:t>door to door movement</w:t>
      </w:r>
      <w:r w:rsidR="00786CDB" w:rsidRPr="009C69FE">
        <w:rPr>
          <w:rFonts w:cs="Arial"/>
          <w:sz w:val="24"/>
          <w:szCs w:val="24"/>
        </w:rPr>
        <w:t xml:space="preserve"> (</w:t>
      </w:r>
      <w:r w:rsidR="00786CDB" w:rsidRPr="009C69FE">
        <w:rPr>
          <w:sz w:val="24"/>
          <w:szCs w:val="24"/>
        </w:rPr>
        <w:t>General remarks on the sphere of application of the draft instrument, 31.01.03, A/CN.9/WG.III/WP.29,</w:t>
      </w:r>
      <w:r w:rsidR="00643DB1" w:rsidRPr="009C69FE">
        <w:rPr>
          <w:rFonts w:cs="Arial"/>
          <w:sz w:val="24"/>
          <w:szCs w:val="24"/>
        </w:rPr>
        <w:t>.</w:t>
      </w:r>
      <w:r w:rsidR="00786CDB" w:rsidRPr="009C69FE">
        <w:rPr>
          <w:rFonts w:cs="Arial"/>
          <w:sz w:val="24"/>
          <w:szCs w:val="24"/>
        </w:rPr>
        <w:t xml:space="preserve">paras 62-63, 115-116, </w:t>
      </w:r>
      <w:hyperlink r:id="rId38" w:history="1">
        <w:r w:rsidR="00786CDB" w:rsidRPr="009C69FE">
          <w:rPr>
            <w:rStyle w:val="Hyperlink"/>
            <w:rFonts w:cs="Arial"/>
            <w:sz w:val="24"/>
            <w:szCs w:val="24"/>
          </w:rPr>
          <w:t>https://undocs.org/en/A/CN.9/WG.III/WP.29</w:t>
        </w:r>
      </w:hyperlink>
      <w:r w:rsidR="00786CDB" w:rsidRPr="009C69FE">
        <w:rPr>
          <w:rFonts w:cs="Arial"/>
          <w:sz w:val="24"/>
          <w:szCs w:val="24"/>
        </w:rPr>
        <w:t xml:space="preserve">). </w:t>
      </w:r>
    </w:p>
    <w:p w14:paraId="7BF8C08E" w14:textId="77777777" w:rsidR="004C6064" w:rsidRPr="009C69FE" w:rsidRDefault="00E12137" w:rsidP="004C6064">
      <w:pPr>
        <w:rPr>
          <w:rFonts w:cs="Arial"/>
          <w:sz w:val="24"/>
          <w:szCs w:val="24"/>
        </w:rPr>
      </w:pPr>
      <w:r w:rsidRPr="009C69FE">
        <w:rPr>
          <w:rFonts w:cs="Arial"/>
          <w:b/>
          <w:sz w:val="24"/>
          <w:szCs w:val="24"/>
        </w:rPr>
        <w:t>4.3.2</w:t>
      </w:r>
      <w:r w:rsidRPr="009C69FE">
        <w:rPr>
          <w:rFonts w:cs="Arial"/>
          <w:sz w:val="24"/>
          <w:szCs w:val="24"/>
        </w:rPr>
        <w:t xml:space="preserve"> </w:t>
      </w:r>
      <w:r w:rsidR="00FD2493" w:rsidRPr="009C69FE">
        <w:rPr>
          <w:rFonts w:cs="Arial"/>
          <w:sz w:val="24"/>
          <w:szCs w:val="24"/>
        </w:rPr>
        <w:t xml:space="preserve">A </w:t>
      </w:r>
      <w:r w:rsidR="004C6064" w:rsidRPr="009C69FE">
        <w:rPr>
          <w:rFonts w:cs="Arial"/>
          <w:sz w:val="24"/>
          <w:szCs w:val="24"/>
        </w:rPr>
        <w:t>different situation is where the carrier departs fro</w:t>
      </w:r>
      <w:r w:rsidR="000644F0" w:rsidRPr="009C69FE">
        <w:rPr>
          <w:rFonts w:cs="Arial"/>
          <w:sz w:val="24"/>
          <w:szCs w:val="24"/>
        </w:rPr>
        <w:t xml:space="preserve">m the agreed contract.  In air law the Montreal Convention </w:t>
      </w:r>
      <w:r w:rsidR="00EB2950" w:rsidRPr="009C69FE">
        <w:rPr>
          <w:rFonts w:cs="Arial"/>
          <w:sz w:val="24"/>
          <w:szCs w:val="24"/>
        </w:rPr>
        <w:t xml:space="preserve">1999 </w:t>
      </w:r>
      <w:r w:rsidR="000644F0" w:rsidRPr="009C69FE">
        <w:rPr>
          <w:rFonts w:cs="Arial"/>
          <w:sz w:val="24"/>
          <w:szCs w:val="24"/>
        </w:rPr>
        <w:t>makes</w:t>
      </w:r>
      <w:r w:rsidR="004C6064" w:rsidRPr="009C69FE">
        <w:rPr>
          <w:rFonts w:cs="Arial"/>
          <w:sz w:val="24"/>
          <w:szCs w:val="24"/>
        </w:rPr>
        <w:t xml:space="preserve"> </w:t>
      </w:r>
      <w:r w:rsidR="000644F0" w:rsidRPr="009C69FE">
        <w:rPr>
          <w:rFonts w:cs="Arial"/>
          <w:sz w:val="24"/>
          <w:szCs w:val="24"/>
        </w:rPr>
        <w:t xml:space="preserve">clear that </w:t>
      </w:r>
      <w:r w:rsidR="004C6064" w:rsidRPr="009C69FE">
        <w:rPr>
          <w:rFonts w:cs="Arial"/>
          <w:sz w:val="24"/>
          <w:szCs w:val="24"/>
        </w:rPr>
        <w:t>the court is still supposed to apply the air convention if it applies to the contract as agreed</w:t>
      </w:r>
      <w:r w:rsidR="000644F0" w:rsidRPr="009C69FE">
        <w:rPr>
          <w:rFonts w:cs="Arial"/>
          <w:sz w:val="24"/>
          <w:szCs w:val="24"/>
        </w:rPr>
        <w:t xml:space="preserve"> (art </w:t>
      </w:r>
      <w:r w:rsidR="00EB2950" w:rsidRPr="009C69FE">
        <w:rPr>
          <w:rFonts w:cs="Arial"/>
          <w:sz w:val="24"/>
          <w:szCs w:val="24"/>
        </w:rPr>
        <w:t>18(4)</w:t>
      </w:r>
      <w:r w:rsidR="007B704E" w:rsidRPr="009C69FE">
        <w:rPr>
          <w:rFonts w:cs="Arial"/>
          <w:sz w:val="24"/>
          <w:szCs w:val="24"/>
        </w:rPr>
        <w:t xml:space="preserve">). </w:t>
      </w:r>
      <w:r w:rsidR="004C6064" w:rsidRPr="009C69FE">
        <w:rPr>
          <w:rFonts w:cs="Arial"/>
          <w:sz w:val="24"/>
          <w:szCs w:val="24"/>
        </w:rPr>
        <w:t>In other cases</w:t>
      </w:r>
      <w:r w:rsidR="001446DF">
        <w:rPr>
          <w:rFonts w:cs="Arial"/>
          <w:sz w:val="24"/>
          <w:szCs w:val="24"/>
        </w:rPr>
        <w:t>,</w:t>
      </w:r>
      <w:r w:rsidR="004C6064" w:rsidRPr="009C69FE">
        <w:rPr>
          <w:rFonts w:cs="Arial"/>
          <w:sz w:val="24"/>
          <w:szCs w:val="24"/>
        </w:rPr>
        <w:t xml:space="preserve"> courts have either adopted this approach or have applied to the carrier those rules which provide for the greatest liability</w:t>
      </w:r>
      <w:r w:rsidR="00FF4F84" w:rsidRPr="009C69FE">
        <w:rPr>
          <w:rFonts w:cs="Arial"/>
          <w:sz w:val="24"/>
          <w:szCs w:val="24"/>
        </w:rPr>
        <w:t xml:space="preserve"> (</w:t>
      </w:r>
      <w:r w:rsidR="00FF4F84" w:rsidRPr="009C69FE">
        <w:rPr>
          <w:rFonts w:cs="Arial"/>
          <w:b/>
          <w:sz w:val="24"/>
          <w:szCs w:val="24"/>
        </w:rPr>
        <w:t>BGH</w:t>
      </w:r>
      <w:r w:rsidR="00FF4F84" w:rsidRPr="009C69FE">
        <w:rPr>
          <w:rFonts w:cs="Arial"/>
          <w:sz w:val="24"/>
          <w:szCs w:val="24"/>
        </w:rPr>
        <w:t xml:space="preserve"> 17.5.89 I ZR 211/87)</w:t>
      </w:r>
      <w:r w:rsidR="004C6064" w:rsidRPr="009C69FE">
        <w:rPr>
          <w:rFonts w:cs="Arial"/>
          <w:sz w:val="24"/>
          <w:szCs w:val="24"/>
        </w:rPr>
        <w:t>.</w:t>
      </w:r>
    </w:p>
    <w:p w14:paraId="11000099" w14:textId="77777777" w:rsidR="00BC0634" w:rsidRDefault="00E12137" w:rsidP="004C6064">
      <w:pPr>
        <w:rPr>
          <w:rFonts w:cs="Arial"/>
          <w:sz w:val="24"/>
          <w:szCs w:val="24"/>
        </w:rPr>
      </w:pPr>
      <w:r w:rsidRPr="009C69FE">
        <w:rPr>
          <w:rFonts w:cs="Arial"/>
          <w:b/>
          <w:sz w:val="24"/>
          <w:szCs w:val="24"/>
        </w:rPr>
        <w:t>4.3.3</w:t>
      </w:r>
      <w:r w:rsidRPr="009C69FE">
        <w:rPr>
          <w:rFonts w:cs="Arial"/>
          <w:sz w:val="24"/>
          <w:szCs w:val="24"/>
        </w:rPr>
        <w:t xml:space="preserve"> </w:t>
      </w:r>
      <w:r w:rsidR="004C6064" w:rsidRPr="009C69FE">
        <w:rPr>
          <w:rFonts w:cs="Arial"/>
          <w:sz w:val="24"/>
          <w:szCs w:val="24"/>
        </w:rPr>
        <w:t xml:space="preserve">One further problem arises where it is not clear at what point in the transit the event causing the loss, damage or delay has occurred.  If </w:t>
      </w:r>
      <w:proofErr w:type="gramStart"/>
      <w:r w:rsidR="004C6064" w:rsidRPr="009C69FE">
        <w:rPr>
          <w:rFonts w:cs="Arial"/>
          <w:sz w:val="24"/>
          <w:szCs w:val="24"/>
        </w:rPr>
        <w:t>e.g.</w:t>
      </w:r>
      <w:proofErr w:type="gramEnd"/>
      <w:r w:rsidR="004C6064" w:rsidRPr="009C69FE">
        <w:rPr>
          <w:rFonts w:cs="Arial"/>
          <w:sz w:val="24"/>
          <w:szCs w:val="24"/>
        </w:rPr>
        <w:t xml:space="preserve"> in the </w:t>
      </w:r>
      <w:r w:rsidR="004C6064" w:rsidRPr="009C69FE">
        <w:rPr>
          <w:rFonts w:cs="Arial"/>
          <w:b/>
          <w:sz w:val="24"/>
          <w:szCs w:val="24"/>
        </w:rPr>
        <w:t>Quantum</w:t>
      </w:r>
      <w:r w:rsidR="004C6064" w:rsidRPr="009C69FE">
        <w:rPr>
          <w:rFonts w:cs="Arial"/>
          <w:sz w:val="24"/>
          <w:szCs w:val="24"/>
        </w:rPr>
        <w:t xml:space="preserve"> case it was unknown where the loss occurred would the air convention or CMR be applied?  </w:t>
      </w:r>
      <w:r w:rsidR="00A1016F" w:rsidRPr="009C69FE">
        <w:rPr>
          <w:rFonts w:cs="Arial"/>
          <w:sz w:val="24"/>
          <w:szCs w:val="24"/>
        </w:rPr>
        <w:t xml:space="preserve">Some writers suggest </w:t>
      </w:r>
      <w:r w:rsidR="00A1016F" w:rsidRPr="009C69FE">
        <w:rPr>
          <w:rFonts w:cs="Arial"/>
          <w:sz w:val="24"/>
          <w:szCs w:val="24"/>
        </w:rPr>
        <w:lastRenderedPageBreak/>
        <w:t>that in this situation neither convention would apply.  An alternative argument would suggest that</w:t>
      </w:r>
      <w:r w:rsidR="004C6064" w:rsidRPr="009C69FE">
        <w:rPr>
          <w:rFonts w:cs="Arial"/>
          <w:sz w:val="24"/>
          <w:szCs w:val="24"/>
        </w:rPr>
        <w:t xml:space="preserve"> the burden of proof should be on the carrier to avoid the application of the least favourable rule.  This type of approach has been applied in some cases (</w:t>
      </w:r>
      <w:r w:rsidR="004C6064" w:rsidRPr="009C69FE">
        <w:rPr>
          <w:rFonts w:cs="Arial"/>
          <w:b/>
          <w:sz w:val="24"/>
          <w:szCs w:val="24"/>
        </w:rPr>
        <w:t>BGH</w:t>
      </w:r>
      <w:r w:rsidR="004C6064" w:rsidRPr="009C69FE">
        <w:rPr>
          <w:rFonts w:cs="Arial"/>
          <w:sz w:val="24"/>
          <w:szCs w:val="24"/>
        </w:rPr>
        <w:t>, 24.6.87, 1 ZR 127/85).  Where there is only one convention applic</w:t>
      </w:r>
      <w:r w:rsidR="00FD2493" w:rsidRPr="009C69FE">
        <w:rPr>
          <w:rFonts w:cs="Arial"/>
          <w:sz w:val="24"/>
          <w:szCs w:val="24"/>
        </w:rPr>
        <w:t xml:space="preserve">able to part of a carriage it may be even more </w:t>
      </w:r>
      <w:r w:rsidR="004C6064" w:rsidRPr="009C69FE">
        <w:rPr>
          <w:rFonts w:cs="Arial"/>
          <w:sz w:val="24"/>
          <w:szCs w:val="24"/>
        </w:rPr>
        <w:t xml:space="preserve">arguable that </w:t>
      </w:r>
      <w:r w:rsidR="00FD2493" w:rsidRPr="009C69FE">
        <w:rPr>
          <w:rFonts w:cs="Arial"/>
          <w:sz w:val="24"/>
          <w:szCs w:val="24"/>
        </w:rPr>
        <w:t xml:space="preserve">the convention should apply in the absence of proof </w:t>
      </w:r>
      <w:r w:rsidR="004C6064" w:rsidRPr="009C69FE">
        <w:rPr>
          <w:rFonts w:cs="Arial"/>
          <w:sz w:val="24"/>
          <w:szCs w:val="24"/>
        </w:rPr>
        <w:t>that the loss or damage occurred outside the period in which the relevant mandatory international convention was applicable</w:t>
      </w:r>
      <w:r w:rsidR="00FD2493" w:rsidRPr="009C69FE">
        <w:rPr>
          <w:rFonts w:cs="Arial"/>
          <w:sz w:val="24"/>
          <w:szCs w:val="24"/>
        </w:rPr>
        <w:t>.</w:t>
      </w:r>
    </w:p>
    <w:p w14:paraId="5995210A" w14:textId="30DD0338" w:rsidR="00851F74" w:rsidRDefault="00851F74" w:rsidP="004C6064">
      <w:pPr>
        <w:rPr>
          <w:rFonts w:cs="Arial"/>
          <w:sz w:val="24"/>
          <w:szCs w:val="24"/>
        </w:rPr>
      </w:pPr>
      <w:r w:rsidRPr="0071653E">
        <w:rPr>
          <w:rFonts w:cs="Arial"/>
          <w:b/>
          <w:bCs/>
          <w:sz w:val="24"/>
          <w:szCs w:val="24"/>
        </w:rPr>
        <w:t>4.3.4</w:t>
      </w:r>
      <w:r>
        <w:rPr>
          <w:rFonts w:cs="Arial"/>
          <w:sz w:val="24"/>
          <w:szCs w:val="24"/>
        </w:rPr>
        <w:t xml:space="preserve"> As a final note on th</w:t>
      </w:r>
      <w:r w:rsidR="009635CD">
        <w:rPr>
          <w:rFonts w:cs="Arial"/>
          <w:sz w:val="24"/>
          <w:szCs w:val="24"/>
        </w:rPr>
        <w:t>is a</w:t>
      </w:r>
      <w:r>
        <w:rPr>
          <w:rFonts w:cs="Arial"/>
          <w:sz w:val="24"/>
          <w:szCs w:val="24"/>
        </w:rPr>
        <w:t xml:space="preserve">spect </w:t>
      </w:r>
      <w:r w:rsidR="009635CD">
        <w:rPr>
          <w:rFonts w:cs="Arial"/>
          <w:sz w:val="24"/>
          <w:szCs w:val="24"/>
        </w:rPr>
        <w:t>it should be note</w:t>
      </w:r>
      <w:r w:rsidR="0071653E">
        <w:rPr>
          <w:rFonts w:cs="Arial"/>
          <w:sz w:val="24"/>
          <w:szCs w:val="24"/>
        </w:rPr>
        <w:t xml:space="preserve">d </w:t>
      </w:r>
      <w:r w:rsidR="009635CD">
        <w:rPr>
          <w:rFonts w:cs="Arial"/>
          <w:sz w:val="24"/>
          <w:szCs w:val="24"/>
        </w:rPr>
        <w:t xml:space="preserve">that </w:t>
      </w:r>
      <w:proofErr w:type="spellStart"/>
      <w:r w:rsidR="004A21B1">
        <w:rPr>
          <w:rFonts w:cs="Arial"/>
          <w:sz w:val="24"/>
          <w:szCs w:val="24"/>
        </w:rPr>
        <w:t>Backden</w:t>
      </w:r>
      <w:proofErr w:type="spellEnd"/>
      <w:r w:rsidR="004A21B1">
        <w:rPr>
          <w:rFonts w:cs="Arial"/>
          <w:sz w:val="24"/>
          <w:szCs w:val="24"/>
        </w:rPr>
        <w:t xml:space="preserve"> (see selected references below) has done a thorough analysis of the issue of the application of modal conventions </w:t>
      </w:r>
      <w:r w:rsidR="001E664A">
        <w:rPr>
          <w:rFonts w:cs="Arial"/>
          <w:sz w:val="24"/>
          <w:szCs w:val="24"/>
        </w:rPr>
        <w:t xml:space="preserve">to multimodal carriage.  The divergent cases noted above appear to reflect </w:t>
      </w:r>
      <w:r w:rsidR="00FC6F44">
        <w:rPr>
          <w:rFonts w:cs="Arial"/>
          <w:sz w:val="24"/>
          <w:szCs w:val="24"/>
        </w:rPr>
        <w:t xml:space="preserve">a contrast between a contractual approach (or characterisation of the contract approach) </w:t>
      </w:r>
      <w:r w:rsidR="0071653E">
        <w:rPr>
          <w:rFonts w:cs="Arial"/>
          <w:sz w:val="24"/>
          <w:szCs w:val="24"/>
        </w:rPr>
        <w:t>and</w:t>
      </w:r>
      <w:r w:rsidR="00FC6F44">
        <w:rPr>
          <w:rFonts w:cs="Arial"/>
          <w:sz w:val="24"/>
          <w:szCs w:val="24"/>
        </w:rPr>
        <w:t xml:space="preserve"> a performance </w:t>
      </w:r>
      <w:r w:rsidR="0071653E">
        <w:rPr>
          <w:rFonts w:cs="Arial"/>
          <w:sz w:val="24"/>
          <w:szCs w:val="24"/>
        </w:rPr>
        <w:t xml:space="preserve">approach (where </w:t>
      </w:r>
      <w:r w:rsidR="007C1DBE">
        <w:rPr>
          <w:rFonts w:cs="Arial"/>
          <w:sz w:val="24"/>
          <w:szCs w:val="24"/>
        </w:rPr>
        <w:t xml:space="preserve">the actual </w:t>
      </w:r>
      <w:r w:rsidR="0071653E">
        <w:rPr>
          <w:rFonts w:cs="Arial"/>
          <w:sz w:val="24"/>
          <w:szCs w:val="24"/>
        </w:rPr>
        <w:t xml:space="preserve">performance </w:t>
      </w:r>
      <w:r w:rsidR="007C1DBE">
        <w:rPr>
          <w:rFonts w:cs="Arial"/>
          <w:sz w:val="24"/>
          <w:szCs w:val="24"/>
        </w:rPr>
        <w:t xml:space="preserve">is permitted under the contract), the latter being reflected by the approach </w:t>
      </w:r>
      <w:r w:rsidR="001A4166">
        <w:rPr>
          <w:rFonts w:cs="Arial"/>
          <w:sz w:val="24"/>
          <w:szCs w:val="24"/>
        </w:rPr>
        <w:t xml:space="preserve">taken in Quantum.  Even in that case </w:t>
      </w:r>
      <w:proofErr w:type="spellStart"/>
      <w:r w:rsidR="001A4166">
        <w:rPr>
          <w:rFonts w:cs="Arial"/>
          <w:sz w:val="24"/>
          <w:szCs w:val="24"/>
        </w:rPr>
        <w:t>Backden</w:t>
      </w:r>
      <w:proofErr w:type="spellEnd"/>
      <w:r w:rsidR="001A4166">
        <w:rPr>
          <w:rFonts w:cs="Arial"/>
          <w:sz w:val="24"/>
          <w:szCs w:val="24"/>
        </w:rPr>
        <w:t xml:space="preserve"> notes (p. 289) that the Court of Appeal </w:t>
      </w:r>
      <w:r w:rsidR="004715ED">
        <w:rPr>
          <w:rFonts w:cs="Arial"/>
          <w:sz w:val="24"/>
          <w:szCs w:val="24"/>
        </w:rPr>
        <w:t>was influenced by the fact that the parties had antici</w:t>
      </w:r>
      <w:r w:rsidR="004839DE">
        <w:rPr>
          <w:rFonts w:cs="Arial"/>
          <w:sz w:val="24"/>
          <w:szCs w:val="24"/>
        </w:rPr>
        <w:t xml:space="preserve">pated that for part of the transport the carrier would invoke its </w:t>
      </w:r>
      <w:r w:rsidR="004760FD">
        <w:rPr>
          <w:rFonts w:cs="Arial"/>
          <w:sz w:val="24"/>
          <w:szCs w:val="24"/>
        </w:rPr>
        <w:t xml:space="preserve">option to substitute air transport for road transport.  For </w:t>
      </w:r>
      <w:proofErr w:type="spellStart"/>
      <w:r w:rsidR="004760FD">
        <w:rPr>
          <w:rFonts w:cs="Arial"/>
          <w:sz w:val="24"/>
          <w:szCs w:val="24"/>
        </w:rPr>
        <w:t>Backden</w:t>
      </w:r>
      <w:proofErr w:type="spellEnd"/>
      <w:r w:rsidR="00D84277">
        <w:rPr>
          <w:rFonts w:cs="Arial"/>
          <w:sz w:val="24"/>
          <w:szCs w:val="24"/>
        </w:rPr>
        <w:t xml:space="preserve">, it is the correct interpretation of the contract that can provide the </w:t>
      </w:r>
      <w:r w:rsidR="007B5F97">
        <w:rPr>
          <w:rFonts w:cs="Arial"/>
          <w:sz w:val="24"/>
          <w:szCs w:val="24"/>
        </w:rPr>
        <w:t>answer to these issues</w:t>
      </w:r>
      <w:r w:rsidR="007F6A82">
        <w:rPr>
          <w:rFonts w:cs="Arial"/>
          <w:sz w:val="24"/>
          <w:szCs w:val="24"/>
        </w:rPr>
        <w:t xml:space="preserve"> especially if a court is not too ready to rely on printed standard terms (such as an option to </w:t>
      </w:r>
      <w:r w:rsidR="00652020">
        <w:rPr>
          <w:rFonts w:cs="Arial"/>
          <w:sz w:val="24"/>
          <w:szCs w:val="24"/>
        </w:rPr>
        <w:t xml:space="preserve">substitute) which might not truly reflect the understanding of the parties to the contract and where evidence as to </w:t>
      </w:r>
      <w:r w:rsidR="00E905BD">
        <w:rPr>
          <w:rFonts w:cs="Arial"/>
          <w:sz w:val="24"/>
          <w:szCs w:val="24"/>
        </w:rPr>
        <w:t>the underlying contemplation, including the nature o</w:t>
      </w:r>
      <w:r w:rsidR="009F7F88">
        <w:rPr>
          <w:rFonts w:cs="Arial"/>
          <w:sz w:val="24"/>
          <w:szCs w:val="24"/>
        </w:rPr>
        <w:t>f</w:t>
      </w:r>
      <w:r w:rsidR="00E905BD">
        <w:rPr>
          <w:rFonts w:cs="Arial"/>
          <w:sz w:val="24"/>
          <w:szCs w:val="24"/>
        </w:rPr>
        <w:t xml:space="preserve"> the goods, the possible routes</w:t>
      </w:r>
      <w:r w:rsidR="00C23FF1">
        <w:rPr>
          <w:rFonts w:cs="Arial"/>
          <w:sz w:val="24"/>
          <w:szCs w:val="24"/>
        </w:rPr>
        <w:t xml:space="preserve"> etc could be relevant in determining the true intention</w:t>
      </w:r>
      <w:r w:rsidR="00712241">
        <w:rPr>
          <w:rFonts w:cs="Arial"/>
          <w:sz w:val="24"/>
          <w:szCs w:val="24"/>
        </w:rPr>
        <w:t>.</w:t>
      </w:r>
      <w:r w:rsidR="009F7F88">
        <w:rPr>
          <w:rFonts w:cs="Arial"/>
          <w:sz w:val="24"/>
          <w:szCs w:val="24"/>
        </w:rPr>
        <w:t xml:space="preserve"> In the context of English </w:t>
      </w:r>
      <w:proofErr w:type="gramStart"/>
      <w:r w:rsidR="009F7F88">
        <w:rPr>
          <w:rFonts w:cs="Arial"/>
          <w:sz w:val="24"/>
          <w:szCs w:val="24"/>
        </w:rPr>
        <w:t>law</w:t>
      </w:r>
      <w:proofErr w:type="gramEnd"/>
      <w:r w:rsidR="009F7F88">
        <w:rPr>
          <w:rFonts w:cs="Arial"/>
          <w:sz w:val="24"/>
          <w:szCs w:val="24"/>
        </w:rPr>
        <w:t xml:space="preserve"> the restatement of Lord Hoffman</w:t>
      </w:r>
      <w:r w:rsidR="007E49FE">
        <w:rPr>
          <w:rFonts w:cs="Arial"/>
          <w:sz w:val="24"/>
          <w:szCs w:val="24"/>
        </w:rPr>
        <w:t xml:space="preserve"> on the interpretation of contracts in </w:t>
      </w:r>
      <w:r w:rsidR="008A5C6E" w:rsidRPr="002B2A09">
        <w:rPr>
          <w:rFonts w:cs="Arial"/>
          <w:b/>
          <w:bCs/>
          <w:sz w:val="24"/>
          <w:szCs w:val="24"/>
        </w:rPr>
        <w:t>Investors Compensation Scheme Ltd v West Br</w:t>
      </w:r>
      <w:r w:rsidR="00934E42" w:rsidRPr="002B2A09">
        <w:rPr>
          <w:rFonts w:cs="Arial"/>
          <w:b/>
          <w:bCs/>
          <w:sz w:val="24"/>
          <w:szCs w:val="24"/>
        </w:rPr>
        <w:t xml:space="preserve">omwich Building Society </w:t>
      </w:r>
      <w:r w:rsidR="00934E42">
        <w:rPr>
          <w:rFonts w:cs="Arial"/>
          <w:sz w:val="24"/>
          <w:szCs w:val="24"/>
        </w:rPr>
        <w:t xml:space="preserve">[1997] </w:t>
      </w:r>
      <w:r w:rsidR="001A073B">
        <w:rPr>
          <w:rFonts w:cs="Arial"/>
          <w:sz w:val="24"/>
          <w:szCs w:val="24"/>
        </w:rPr>
        <w:t>CLC 1243 at p. 1257 is especially</w:t>
      </w:r>
      <w:r w:rsidR="002B2A09">
        <w:rPr>
          <w:rFonts w:cs="Arial"/>
          <w:sz w:val="24"/>
          <w:szCs w:val="24"/>
        </w:rPr>
        <w:t xml:space="preserve"> pertinent.</w:t>
      </w:r>
      <w:r w:rsidR="00712241">
        <w:rPr>
          <w:rFonts w:cs="Arial"/>
          <w:sz w:val="24"/>
          <w:szCs w:val="24"/>
        </w:rPr>
        <w:t xml:space="preserve">  </w:t>
      </w:r>
    </w:p>
    <w:p w14:paraId="7C0ED7A2" w14:textId="63D2EC69" w:rsidR="004B2D8C" w:rsidRPr="00A862E4" w:rsidRDefault="00A862E4" w:rsidP="004C6064">
      <w:pPr>
        <w:rPr>
          <w:rFonts w:cs="Arial"/>
          <w:b/>
          <w:bCs/>
          <w:sz w:val="24"/>
          <w:szCs w:val="24"/>
        </w:rPr>
      </w:pPr>
      <w:r w:rsidRPr="00A862E4">
        <w:rPr>
          <w:rFonts w:cs="Arial"/>
          <w:b/>
          <w:bCs/>
          <w:sz w:val="24"/>
          <w:szCs w:val="24"/>
        </w:rPr>
        <w:t xml:space="preserve">4.4 </w:t>
      </w:r>
      <w:r w:rsidR="004B2D8C" w:rsidRPr="00A862E4">
        <w:rPr>
          <w:rFonts w:cs="Arial"/>
          <w:b/>
          <w:bCs/>
          <w:sz w:val="24"/>
          <w:szCs w:val="24"/>
        </w:rPr>
        <w:t xml:space="preserve">Technical and policy issues of </w:t>
      </w:r>
      <w:r w:rsidR="00D26E05" w:rsidRPr="00A862E4">
        <w:rPr>
          <w:rFonts w:cs="Arial"/>
          <w:b/>
          <w:bCs/>
          <w:sz w:val="24"/>
          <w:szCs w:val="24"/>
        </w:rPr>
        <w:t>regulating multimodal</w:t>
      </w:r>
      <w:r w:rsidR="004B2D8C" w:rsidRPr="00A862E4">
        <w:rPr>
          <w:rFonts w:cs="Arial"/>
          <w:b/>
          <w:bCs/>
          <w:sz w:val="24"/>
          <w:szCs w:val="24"/>
        </w:rPr>
        <w:t xml:space="preserve"> transport </w:t>
      </w:r>
      <w:proofErr w:type="gramStart"/>
      <w:r w:rsidR="004B2D8C" w:rsidRPr="00A862E4">
        <w:rPr>
          <w:rFonts w:cs="Arial"/>
          <w:b/>
          <w:bCs/>
          <w:sz w:val="24"/>
          <w:szCs w:val="24"/>
        </w:rPr>
        <w:t>contracts</w:t>
      </w:r>
      <w:proofErr w:type="gramEnd"/>
    </w:p>
    <w:p w14:paraId="1DAAE1D7" w14:textId="2AB06E7C" w:rsidR="00D26E05" w:rsidRDefault="004A63CF" w:rsidP="00D26E05">
      <w:pPr>
        <w:rPr>
          <w:rFonts w:cstheme="minorHAnsi"/>
          <w:sz w:val="24"/>
          <w:szCs w:val="24"/>
        </w:rPr>
      </w:pPr>
      <w:r w:rsidRPr="004A63CF">
        <w:rPr>
          <w:rFonts w:cstheme="minorHAnsi"/>
          <w:b/>
          <w:bCs/>
          <w:sz w:val="24"/>
          <w:szCs w:val="24"/>
        </w:rPr>
        <w:t>4.4.1</w:t>
      </w:r>
      <w:r>
        <w:rPr>
          <w:rFonts w:cstheme="minorHAnsi"/>
          <w:sz w:val="24"/>
          <w:szCs w:val="24"/>
        </w:rPr>
        <w:t xml:space="preserve"> </w:t>
      </w:r>
      <w:r w:rsidR="00D26E05">
        <w:rPr>
          <w:rFonts w:cstheme="minorHAnsi"/>
          <w:sz w:val="24"/>
          <w:szCs w:val="24"/>
        </w:rPr>
        <w:t xml:space="preserve">Over the years efforts have been made to create a </w:t>
      </w:r>
      <w:r w:rsidR="00D26E05" w:rsidRPr="006850FA">
        <w:rPr>
          <w:rFonts w:cstheme="minorHAnsi"/>
          <w:sz w:val="24"/>
          <w:szCs w:val="24"/>
        </w:rPr>
        <w:t xml:space="preserve">liability regime that </w:t>
      </w:r>
      <w:r w:rsidR="00430040">
        <w:rPr>
          <w:rFonts w:cstheme="minorHAnsi"/>
          <w:sz w:val="24"/>
          <w:szCs w:val="24"/>
        </w:rPr>
        <w:t>c</w:t>
      </w:r>
      <w:r w:rsidR="00D26E05" w:rsidRPr="006850FA">
        <w:rPr>
          <w:rFonts w:cstheme="minorHAnsi"/>
          <w:sz w:val="24"/>
          <w:szCs w:val="24"/>
        </w:rPr>
        <w:t>ould have legal recognition if adopted by the parties (</w:t>
      </w:r>
      <w:r w:rsidR="00430040">
        <w:rPr>
          <w:rFonts w:cstheme="minorHAnsi"/>
          <w:sz w:val="24"/>
          <w:szCs w:val="24"/>
        </w:rPr>
        <w:t xml:space="preserve">see </w:t>
      </w:r>
      <w:r w:rsidR="00D26E05" w:rsidRPr="006850FA">
        <w:rPr>
          <w:rFonts w:cstheme="minorHAnsi"/>
          <w:sz w:val="24"/>
          <w:szCs w:val="24"/>
        </w:rPr>
        <w:t>TCM</w:t>
      </w:r>
      <w:r w:rsidR="00430040">
        <w:rPr>
          <w:rFonts w:cstheme="minorHAnsi"/>
          <w:sz w:val="24"/>
          <w:szCs w:val="24"/>
        </w:rPr>
        <w:t xml:space="preserve"> below</w:t>
      </w:r>
      <w:r w:rsidR="00D26E05" w:rsidRPr="006850FA">
        <w:rPr>
          <w:rFonts w:cstheme="minorHAnsi"/>
          <w:sz w:val="24"/>
          <w:szCs w:val="24"/>
        </w:rPr>
        <w:t>) or given mandatory effect in contracting states (</w:t>
      </w:r>
      <w:r w:rsidR="00430040">
        <w:rPr>
          <w:rFonts w:cstheme="minorHAnsi"/>
          <w:sz w:val="24"/>
          <w:szCs w:val="24"/>
        </w:rPr>
        <w:t xml:space="preserve">see </w:t>
      </w:r>
      <w:r w:rsidR="00D26E05" w:rsidRPr="006850FA">
        <w:rPr>
          <w:rFonts w:cstheme="minorHAnsi"/>
          <w:sz w:val="24"/>
          <w:szCs w:val="24"/>
        </w:rPr>
        <w:t>MMTC</w:t>
      </w:r>
      <w:r w:rsidR="00430040">
        <w:rPr>
          <w:rFonts w:cstheme="minorHAnsi"/>
          <w:sz w:val="24"/>
          <w:szCs w:val="24"/>
        </w:rPr>
        <w:t xml:space="preserve"> below</w:t>
      </w:r>
      <w:r w:rsidR="00D26E05" w:rsidRPr="006850FA">
        <w:rPr>
          <w:rFonts w:cstheme="minorHAnsi"/>
          <w:sz w:val="24"/>
          <w:szCs w:val="24"/>
        </w:rPr>
        <w:t>).  In this field the existence of a widely adopted international convention would have distinct advantages by:</w:t>
      </w:r>
      <w:r w:rsidR="00D26E05" w:rsidRPr="006850FA">
        <w:rPr>
          <w:rFonts w:cstheme="minorHAnsi"/>
          <w:sz w:val="24"/>
          <w:szCs w:val="24"/>
        </w:rPr>
        <w:br/>
      </w:r>
      <w:proofErr w:type="spellStart"/>
      <w:r w:rsidR="00D26E05" w:rsidRPr="00A862E4">
        <w:rPr>
          <w:rFonts w:cstheme="minorHAnsi"/>
          <w:b/>
          <w:bCs/>
          <w:sz w:val="24"/>
          <w:szCs w:val="24"/>
        </w:rPr>
        <w:t>i</w:t>
      </w:r>
      <w:proofErr w:type="spellEnd"/>
      <w:r w:rsidR="00D26E05" w:rsidRPr="00A862E4">
        <w:rPr>
          <w:rFonts w:cstheme="minorHAnsi"/>
          <w:b/>
          <w:bCs/>
          <w:sz w:val="24"/>
          <w:szCs w:val="24"/>
        </w:rPr>
        <w:t>)</w:t>
      </w:r>
      <w:r w:rsidR="00D26E05" w:rsidRPr="00910391">
        <w:rPr>
          <w:rFonts w:cstheme="minorHAnsi"/>
          <w:sz w:val="24"/>
          <w:szCs w:val="24"/>
        </w:rPr>
        <w:t xml:space="preserve"> removing any problems of conflict of laws and jurisdiction,</w:t>
      </w:r>
      <w:r w:rsidR="00D26E05" w:rsidRPr="00910391">
        <w:rPr>
          <w:rFonts w:cstheme="minorHAnsi"/>
          <w:sz w:val="24"/>
          <w:szCs w:val="24"/>
        </w:rPr>
        <w:br/>
      </w:r>
      <w:r w:rsidR="00D26E05" w:rsidRPr="006850FA">
        <w:rPr>
          <w:rFonts w:cstheme="minorHAnsi"/>
          <w:b/>
          <w:bCs/>
          <w:sz w:val="24"/>
          <w:szCs w:val="24"/>
        </w:rPr>
        <w:t>ii)</w:t>
      </w:r>
      <w:r w:rsidR="00D26E05" w:rsidRPr="006850FA">
        <w:rPr>
          <w:rFonts w:cstheme="minorHAnsi"/>
          <w:sz w:val="24"/>
          <w:szCs w:val="24"/>
        </w:rPr>
        <w:t xml:space="preserve"> </w:t>
      </w:r>
      <w:r w:rsidR="001C626C">
        <w:rPr>
          <w:rFonts w:cstheme="minorHAnsi"/>
          <w:sz w:val="24"/>
          <w:szCs w:val="24"/>
        </w:rPr>
        <w:t xml:space="preserve">removing the need to use </w:t>
      </w:r>
      <w:r w:rsidR="00D26E05" w:rsidRPr="006850FA">
        <w:rPr>
          <w:rFonts w:cstheme="minorHAnsi"/>
          <w:sz w:val="24"/>
          <w:szCs w:val="24"/>
        </w:rPr>
        <w:t xml:space="preserve">purely contractual terms </w:t>
      </w:r>
      <w:r w:rsidR="001C626C">
        <w:rPr>
          <w:rFonts w:cstheme="minorHAnsi"/>
          <w:sz w:val="24"/>
          <w:szCs w:val="24"/>
        </w:rPr>
        <w:t xml:space="preserve">which are vulnerable </w:t>
      </w:r>
      <w:r w:rsidR="00D26E05" w:rsidRPr="006850FA">
        <w:rPr>
          <w:rFonts w:cstheme="minorHAnsi"/>
          <w:sz w:val="24"/>
          <w:szCs w:val="24"/>
        </w:rPr>
        <w:t>to attack by national or international mandatory law,</w:t>
      </w:r>
      <w:r w:rsidR="00D26E05" w:rsidRPr="006850FA">
        <w:rPr>
          <w:rFonts w:cstheme="minorHAnsi"/>
          <w:sz w:val="24"/>
          <w:szCs w:val="24"/>
        </w:rPr>
        <w:br/>
      </w:r>
      <w:r w:rsidR="00D26E05" w:rsidRPr="006850FA">
        <w:rPr>
          <w:rFonts w:cstheme="minorHAnsi"/>
          <w:b/>
          <w:bCs/>
          <w:sz w:val="24"/>
          <w:szCs w:val="24"/>
        </w:rPr>
        <w:t>iii)</w:t>
      </w:r>
      <w:r w:rsidR="00D26E05" w:rsidRPr="006850FA">
        <w:rPr>
          <w:rFonts w:cstheme="minorHAnsi"/>
          <w:sz w:val="24"/>
          <w:szCs w:val="24"/>
        </w:rPr>
        <w:t xml:space="preserve"> resolving potential conflicts with mandatory modal laws,</w:t>
      </w:r>
      <w:r w:rsidR="00D26E05" w:rsidRPr="006850FA">
        <w:rPr>
          <w:rFonts w:cstheme="minorHAnsi"/>
          <w:sz w:val="24"/>
          <w:szCs w:val="24"/>
        </w:rPr>
        <w:br/>
      </w:r>
      <w:r w:rsidR="00D26E05" w:rsidRPr="006850FA">
        <w:rPr>
          <w:rFonts w:cstheme="minorHAnsi"/>
          <w:b/>
          <w:bCs/>
          <w:sz w:val="24"/>
          <w:szCs w:val="24"/>
        </w:rPr>
        <w:t>iv)</w:t>
      </w:r>
      <w:r w:rsidR="00D26E05" w:rsidRPr="006850FA">
        <w:rPr>
          <w:rFonts w:cstheme="minorHAnsi"/>
          <w:sz w:val="24"/>
          <w:szCs w:val="24"/>
        </w:rPr>
        <w:t xml:space="preserve"> giving clear legal recognition to negotiable multimodal transport documents.</w:t>
      </w:r>
    </w:p>
    <w:p w14:paraId="6A05BC7B" w14:textId="36DCEA66" w:rsidR="000D0826" w:rsidRDefault="002C3C9A" w:rsidP="00D26E05">
      <w:pPr>
        <w:rPr>
          <w:rFonts w:cstheme="minorHAnsi"/>
          <w:sz w:val="24"/>
          <w:szCs w:val="24"/>
        </w:rPr>
      </w:pPr>
      <w:r>
        <w:rPr>
          <w:rFonts w:cstheme="minorHAnsi"/>
          <w:sz w:val="24"/>
          <w:szCs w:val="24"/>
        </w:rPr>
        <w:t xml:space="preserve">A </w:t>
      </w:r>
      <w:r w:rsidR="002E1170">
        <w:rPr>
          <w:rFonts w:cstheme="minorHAnsi"/>
          <w:sz w:val="24"/>
          <w:szCs w:val="24"/>
        </w:rPr>
        <w:t xml:space="preserve">view which </w:t>
      </w:r>
      <w:r w:rsidR="001F3107">
        <w:rPr>
          <w:rFonts w:cstheme="minorHAnsi"/>
          <w:sz w:val="24"/>
          <w:szCs w:val="24"/>
        </w:rPr>
        <w:t xml:space="preserve">has been very forceful in the efforts to create a legal regime is the idea that a </w:t>
      </w:r>
      <w:r w:rsidR="000F23D6">
        <w:rPr>
          <w:rFonts w:cstheme="minorHAnsi"/>
          <w:sz w:val="24"/>
          <w:szCs w:val="24"/>
        </w:rPr>
        <w:t>contract involving</w:t>
      </w:r>
      <w:r w:rsidR="004548C2">
        <w:rPr>
          <w:rFonts w:cstheme="minorHAnsi"/>
          <w:sz w:val="24"/>
          <w:szCs w:val="24"/>
        </w:rPr>
        <w:t xml:space="preserve"> more than one mode of transport </w:t>
      </w:r>
      <w:r w:rsidR="000A3E7A">
        <w:rPr>
          <w:rFonts w:cstheme="minorHAnsi"/>
          <w:sz w:val="24"/>
          <w:szCs w:val="24"/>
        </w:rPr>
        <w:t xml:space="preserve">is conceptually different from </w:t>
      </w:r>
      <w:r w:rsidR="00BD2DBF">
        <w:rPr>
          <w:rFonts w:cstheme="minorHAnsi"/>
          <w:sz w:val="24"/>
          <w:szCs w:val="24"/>
        </w:rPr>
        <w:t xml:space="preserve">a purely modal contract.  The MTO is contracting for a different type of contract </w:t>
      </w:r>
      <w:r w:rsidR="002871B0">
        <w:rPr>
          <w:rFonts w:cstheme="minorHAnsi"/>
          <w:sz w:val="24"/>
          <w:szCs w:val="24"/>
        </w:rPr>
        <w:t xml:space="preserve">than a purely modal one. </w:t>
      </w:r>
      <w:r w:rsidR="002E47E4">
        <w:rPr>
          <w:rFonts w:cstheme="minorHAnsi"/>
          <w:sz w:val="24"/>
          <w:szCs w:val="24"/>
        </w:rPr>
        <w:t xml:space="preserve">The purist might say that </w:t>
      </w:r>
      <w:r w:rsidR="000C4BC8">
        <w:rPr>
          <w:rFonts w:cstheme="minorHAnsi"/>
          <w:sz w:val="24"/>
          <w:szCs w:val="24"/>
        </w:rPr>
        <w:t xml:space="preserve">therefore </w:t>
      </w:r>
      <w:r w:rsidR="00BC2696">
        <w:rPr>
          <w:rFonts w:cstheme="minorHAnsi"/>
          <w:sz w:val="24"/>
          <w:szCs w:val="24"/>
        </w:rPr>
        <w:t>there cannot be an</w:t>
      </w:r>
      <w:r w:rsidR="00D56439">
        <w:rPr>
          <w:rFonts w:cstheme="minorHAnsi"/>
          <w:sz w:val="24"/>
          <w:szCs w:val="24"/>
        </w:rPr>
        <w:t>y</w:t>
      </w:r>
      <w:r w:rsidR="00BC2696">
        <w:rPr>
          <w:rFonts w:cstheme="minorHAnsi"/>
          <w:sz w:val="24"/>
          <w:szCs w:val="24"/>
        </w:rPr>
        <w:t xml:space="preserve"> conflict </w:t>
      </w:r>
      <w:r w:rsidR="00D708C7">
        <w:rPr>
          <w:rFonts w:cstheme="minorHAnsi"/>
          <w:sz w:val="24"/>
          <w:szCs w:val="24"/>
        </w:rPr>
        <w:t xml:space="preserve">with modal rules because of this.  </w:t>
      </w:r>
      <w:r w:rsidR="000971A1">
        <w:rPr>
          <w:rFonts w:cstheme="minorHAnsi"/>
          <w:sz w:val="24"/>
          <w:szCs w:val="24"/>
        </w:rPr>
        <w:t>Such a view would clearly regard the Quantum case as wrongly decided</w:t>
      </w:r>
      <w:r w:rsidR="003508B9">
        <w:rPr>
          <w:rFonts w:cstheme="minorHAnsi"/>
          <w:sz w:val="24"/>
          <w:szCs w:val="24"/>
        </w:rPr>
        <w:t>.</w:t>
      </w:r>
      <w:r w:rsidR="00177C45">
        <w:rPr>
          <w:rFonts w:cstheme="minorHAnsi"/>
          <w:sz w:val="24"/>
          <w:szCs w:val="24"/>
        </w:rPr>
        <w:t xml:space="preserve"> </w:t>
      </w:r>
      <w:proofErr w:type="gramStart"/>
      <w:r w:rsidR="00D56439">
        <w:rPr>
          <w:rFonts w:cstheme="minorHAnsi"/>
          <w:sz w:val="24"/>
          <w:szCs w:val="24"/>
        </w:rPr>
        <w:t>However</w:t>
      </w:r>
      <w:proofErr w:type="gramEnd"/>
      <w:r w:rsidR="00D56439">
        <w:rPr>
          <w:rFonts w:cstheme="minorHAnsi"/>
          <w:sz w:val="24"/>
          <w:szCs w:val="24"/>
        </w:rPr>
        <w:t xml:space="preserve"> they are reg</w:t>
      </w:r>
      <w:r w:rsidR="009B0210">
        <w:rPr>
          <w:rFonts w:cstheme="minorHAnsi"/>
          <w:sz w:val="24"/>
          <w:szCs w:val="24"/>
        </w:rPr>
        <w:t>arded</w:t>
      </w:r>
      <w:r w:rsidR="00FB5B27">
        <w:rPr>
          <w:rFonts w:cstheme="minorHAnsi"/>
          <w:sz w:val="24"/>
          <w:szCs w:val="24"/>
        </w:rPr>
        <w:t>,</w:t>
      </w:r>
      <w:r w:rsidR="009B0210">
        <w:rPr>
          <w:rFonts w:cstheme="minorHAnsi"/>
          <w:sz w:val="24"/>
          <w:szCs w:val="24"/>
        </w:rPr>
        <w:t xml:space="preserve"> </w:t>
      </w:r>
      <w:r w:rsidR="00A16058">
        <w:rPr>
          <w:rFonts w:cstheme="minorHAnsi"/>
          <w:sz w:val="24"/>
          <w:szCs w:val="24"/>
        </w:rPr>
        <w:t xml:space="preserve">adoption of such rules </w:t>
      </w:r>
      <w:r w:rsidR="00FC05CE">
        <w:rPr>
          <w:rFonts w:cstheme="minorHAnsi"/>
          <w:sz w:val="24"/>
          <w:szCs w:val="24"/>
        </w:rPr>
        <w:t xml:space="preserve">would mean that specific rules are being linked to such a contract </w:t>
      </w:r>
      <w:r w:rsidR="000D0A84">
        <w:rPr>
          <w:rFonts w:cstheme="minorHAnsi"/>
          <w:sz w:val="24"/>
          <w:szCs w:val="24"/>
        </w:rPr>
        <w:t xml:space="preserve">creating a potential difference </w:t>
      </w:r>
      <w:r w:rsidR="00DA1579">
        <w:rPr>
          <w:rFonts w:cstheme="minorHAnsi"/>
          <w:sz w:val="24"/>
          <w:szCs w:val="24"/>
        </w:rPr>
        <w:t xml:space="preserve">with the rules </w:t>
      </w:r>
      <w:r w:rsidR="006713A1">
        <w:rPr>
          <w:rFonts w:cstheme="minorHAnsi"/>
          <w:sz w:val="24"/>
          <w:szCs w:val="24"/>
        </w:rPr>
        <w:t>applying to the individual modes.</w:t>
      </w:r>
      <w:r w:rsidR="00877C78">
        <w:rPr>
          <w:rFonts w:cstheme="minorHAnsi"/>
          <w:sz w:val="24"/>
          <w:szCs w:val="24"/>
        </w:rPr>
        <w:t xml:space="preserve"> </w:t>
      </w:r>
      <w:r w:rsidR="00167EA2">
        <w:rPr>
          <w:rFonts w:cstheme="minorHAnsi"/>
          <w:sz w:val="24"/>
          <w:szCs w:val="24"/>
        </w:rPr>
        <w:t>But this does not</w:t>
      </w:r>
      <w:r w:rsidR="009B0210">
        <w:rPr>
          <w:rFonts w:cstheme="minorHAnsi"/>
          <w:sz w:val="24"/>
          <w:szCs w:val="24"/>
        </w:rPr>
        <w:t xml:space="preserve"> necessarily</w:t>
      </w:r>
      <w:r w:rsidR="00167EA2">
        <w:rPr>
          <w:rFonts w:cstheme="minorHAnsi"/>
          <w:sz w:val="24"/>
          <w:szCs w:val="24"/>
        </w:rPr>
        <w:t xml:space="preserve"> mean that there can be no overlap </w:t>
      </w:r>
      <w:r w:rsidR="00794BF5">
        <w:rPr>
          <w:rFonts w:cstheme="minorHAnsi"/>
          <w:sz w:val="24"/>
          <w:szCs w:val="24"/>
        </w:rPr>
        <w:t>with modal rules.  The purist conceptual view mu</w:t>
      </w:r>
      <w:r w:rsidR="00BD0C36">
        <w:rPr>
          <w:rFonts w:cstheme="minorHAnsi"/>
          <w:sz w:val="24"/>
          <w:szCs w:val="24"/>
        </w:rPr>
        <w:t>s</w:t>
      </w:r>
      <w:r w:rsidR="00794BF5">
        <w:rPr>
          <w:rFonts w:cstheme="minorHAnsi"/>
          <w:sz w:val="24"/>
          <w:szCs w:val="24"/>
        </w:rPr>
        <w:t xml:space="preserve">t live with the fact </w:t>
      </w:r>
      <w:r w:rsidR="00BD0C36">
        <w:rPr>
          <w:rFonts w:cstheme="minorHAnsi"/>
          <w:sz w:val="24"/>
          <w:szCs w:val="24"/>
        </w:rPr>
        <w:t xml:space="preserve">the practical reality is that cases like Quantum exist </w:t>
      </w:r>
      <w:proofErr w:type="gramStart"/>
      <w:r w:rsidR="00BD0C36">
        <w:rPr>
          <w:rFonts w:cstheme="minorHAnsi"/>
          <w:sz w:val="24"/>
          <w:szCs w:val="24"/>
        </w:rPr>
        <w:t>and also</w:t>
      </w:r>
      <w:proofErr w:type="gramEnd"/>
      <w:r w:rsidR="00BD0C36">
        <w:rPr>
          <w:rFonts w:cstheme="minorHAnsi"/>
          <w:sz w:val="24"/>
          <w:szCs w:val="24"/>
        </w:rPr>
        <w:t xml:space="preserve"> rules such as that</w:t>
      </w:r>
      <w:r w:rsidR="00681CC5">
        <w:rPr>
          <w:rFonts w:cstheme="minorHAnsi"/>
          <w:sz w:val="24"/>
          <w:szCs w:val="24"/>
        </w:rPr>
        <w:t xml:space="preserve"> </w:t>
      </w:r>
      <w:r w:rsidR="00D93A6F">
        <w:rPr>
          <w:rFonts w:cstheme="minorHAnsi"/>
          <w:sz w:val="24"/>
          <w:szCs w:val="24"/>
        </w:rPr>
        <w:t xml:space="preserve">of </w:t>
      </w:r>
      <w:r w:rsidR="000C1F6F">
        <w:rPr>
          <w:rFonts w:cstheme="minorHAnsi"/>
          <w:sz w:val="24"/>
          <w:szCs w:val="24"/>
        </w:rPr>
        <w:t>a</w:t>
      </w:r>
      <w:r w:rsidR="00681CC5">
        <w:rPr>
          <w:rFonts w:cstheme="minorHAnsi"/>
          <w:sz w:val="24"/>
          <w:szCs w:val="24"/>
        </w:rPr>
        <w:t>rt 38</w:t>
      </w:r>
      <w:r w:rsidR="00BD0C36">
        <w:rPr>
          <w:rFonts w:cstheme="minorHAnsi"/>
          <w:sz w:val="24"/>
          <w:szCs w:val="24"/>
        </w:rPr>
        <w:t xml:space="preserve"> </w:t>
      </w:r>
      <w:r w:rsidR="0014273F">
        <w:rPr>
          <w:rFonts w:cstheme="minorHAnsi"/>
          <w:sz w:val="24"/>
          <w:szCs w:val="24"/>
        </w:rPr>
        <w:t>of</w:t>
      </w:r>
      <w:r w:rsidR="00BD0C36">
        <w:rPr>
          <w:rFonts w:cstheme="minorHAnsi"/>
          <w:sz w:val="24"/>
          <w:szCs w:val="24"/>
        </w:rPr>
        <w:t xml:space="preserve"> the Montreal C</w:t>
      </w:r>
      <w:r w:rsidR="00B70C1A">
        <w:rPr>
          <w:rFonts w:cstheme="minorHAnsi"/>
          <w:sz w:val="24"/>
          <w:szCs w:val="24"/>
        </w:rPr>
        <w:t>onvention</w:t>
      </w:r>
      <w:r w:rsidR="008A0D8A">
        <w:rPr>
          <w:rFonts w:cstheme="minorHAnsi"/>
          <w:sz w:val="24"/>
          <w:szCs w:val="24"/>
        </w:rPr>
        <w:t xml:space="preserve"> </w:t>
      </w:r>
      <w:r w:rsidR="000C1F6F">
        <w:rPr>
          <w:rFonts w:cstheme="minorHAnsi"/>
          <w:sz w:val="24"/>
          <w:szCs w:val="24"/>
        </w:rPr>
        <w:t xml:space="preserve">(see above para 4.3.1) </w:t>
      </w:r>
      <w:r w:rsidR="0014273F">
        <w:rPr>
          <w:rFonts w:cstheme="minorHAnsi"/>
          <w:sz w:val="24"/>
          <w:szCs w:val="24"/>
        </w:rPr>
        <w:t xml:space="preserve">which, in effect, </w:t>
      </w:r>
      <w:r w:rsidR="000C1F6F">
        <w:rPr>
          <w:rFonts w:cstheme="minorHAnsi"/>
          <w:sz w:val="24"/>
          <w:szCs w:val="24"/>
        </w:rPr>
        <w:t>demand</w:t>
      </w:r>
      <w:r w:rsidR="0014273F">
        <w:rPr>
          <w:rFonts w:cstheme="minorHAnsi"/>
          <w:sz w:val="24"/>
          <w:szCs w:val="24"/>
        </w:rPr>
        <w:t>s</w:t>
      </w:r>
      <w:r w:rsidR="000C1F6F">
        <w:rPr>
          <w:rFonts w:cstheme="minorHAnsi"/>
          <w:sz w:val="24"/>
          <w:szCs w:val="24"/>
        </w:rPr>
        <w:t xml:space="preserve"> that </w:t>
      </w:r>
      <w:r w:rsidR="00205749">
        <w:rPr>
          <w:rFonts w:cstheme="minorHAnsi"/>
          <w:sz w:val="24"/>
          <w:szCs w:val="24"/>
        </w:rPr>
        <w:t xml:space="preserve">the air rules must apply to carriage by </w:t>
      </w:r>
      <w:r w:rsidR="00205749">
        <w:rPr>
          <w:rFonts w:cstheme="minorHAnsi"/>
          <w:sz w:val="24"/>
          <w:szCs w:val="24"/>
        </w:rPr>
        <w:lastRenderedPageBreak/>
        <w:t>air</w:t>
      </w:r>
      <w:r w:rsidR="008A0D8A">
        <w:rPr>
          <w:rFonts w:cstheme="minorHAnsi"/>
          <w:sz w:val="24"/>
          <w:szCs w:val="24"/>
        </w:rPr>
        <w:t>.</w:t>
      </w:r>
      <w:r w:rsidR="002871B0">
        <w:rPr>
          <w:rFonts w:cstheme="minorHAnsi"/>
          <w:sz w:val="24"/>
          <w:szCs w:val="24"/>
        </w:rPr>
        <w:t xml:space="preserve"> </w:t>
      </w:r>
      <w:r w:rsidR="0034107C">
        <w:rPr>
          <w:rFonts w:cstheme="minorHAnsi"/>
          <w:sz w:val="24"/>
          <w:szCs w:val="24"/>
        </w:rPr>
        <w:t xml:space="preserve"> </w:t>
      </w:r>
      <w:r w:rsidR="00F31255">
        <w:rPr>
          <w:rFonts w:cstheme="minorHAnsi"/>
          <w:sz w:val="24"/>
          <w:szCs w:val="24"/>
        </w:rPr>
        <w:t xml:space="preserve">Drafters of such conventions must </w:t>
      </w:r>
      <w:r w:rsidR="00612A4E">
        <w:rPr>
          <w:rFonts w:cstheme="minorHAnsi"/>
          <w:sz w:val="24"/>
          <w:szCs w:val="24"/>
        </w:rPr>
        <w:t xml:space="preserve">therefore </w:t>
      </w:r>
      <w:r w:rsidR="00FE5B21">
        <w:rPr>
          <w:rFonts w:cstheme="minorHAnsi"/>
          <w:sz w:val="24"/>
          <w:szCs w:val="24"/>
        </w:rPr>
        <w:t>consider</w:t>
      </w:r>
      <w:r w:rsidR="00612A4E">
        <w:rPr>
          <w:rFonts w:cstheme="minorHAnsi"/>
          <w:sz w:val="24"/>
          <w:szCs w:val="24"/>
        </w:rPr>
        <w:t xml:space="preserve"> </w:t>
      </w:r>
      <w:r w:rsidR="00C94FF3">
        <w:rPr>
          <w:rFonts w:cstheme="minorHAnsi"/>
          <w:sz w:val="24"/>
          <w:szCs w:val="24"/>
        </w:rPr>
        <w:t xml:space="preserve">the possibility of conflict with other </w:t>
      </w:r>
      <w:r w:rsidR="00DE0D59">
        <w:rPr>
          <w:rFonts w:cstheme="minorHAnsi"/>
          <w:sz w:val="24"/>
          <w:szCs w:val="24"/>
        </w:rPr>
        <w:t xml:space="preserve">mandatory </w:t>
      </w:r>
      <w:r w:rsidR="00C94FF3">
        <w:rPr>
          <w:rFonts w:cstheme="minorHAnsi"/>
          <w:sz w:val="24"/>
          <w:szCs w:val="24"/>
        </w:rPr>
        <w:t>rules</w:t>
      </w:r>
      <w:r w:rsidR="00F8423D">
        <w:rPr>
          <w:rFonts w:cstheme="minorHAnsi"/>
          <w:sz w:val="24"/>
          <w:szCs w:val="24"/>
        </w:rPr>
        <w:t>.</w:t>
      </w:r>
    </w:p>
    <w:p w14:paraId="4C3BD345" w14:textId="5816BE75" w:rsidR="00102805" w:rsidRPr="00102805" w:rsidRDefault="00102805" w:rsidP="00DD5ABE">
      <w:pPr>
        <w:rPr>
          <w:rFonts w:cstheme="minorHAnsi"/>
          <w:b/>
          <w:bCs/>
          <w:sz w:val="24"/>
          <w:szCs w:val="24"/>
        </w:rPr>
      </w:pPr>
      <w:r w:rsidRPr="00102805">
        <w:rPr>
          <w:rFonts w:cstheme="minorHAnsi"/>
          <w:b/>
          <w:bCs/>
          <w:sz w:val="24"/>
          <w:szCs w:val="24"/>
        </w:rPr>
        <w:t xml:space="preserve">4.4.2 Problems of definition </w:t>
      </w:r>
    </w:p>
    <w:p w14:paraId="20E6A3B0" w14:textId="1873E9AD" w:rsidR="009437ED" w:rsidRDefault="00C957B3" w:rsidP="00DD5ABE">
      <w:pPr>
        <w:rPr>
          <w:rFonts w:cstheme="minorHAnsi"/>
          <w:sz w:val="24"/>
          <w:szCs w:val="24"/>
        </w:rPr>
      </w:pPr>
      <w:r>
        <w:rPr>
          <w:rFonts w:cstheme="minorHAnsi"/>
          <w:sz w:val="24"/>
          <w:szCs w:val="24"/>
        </w:rPr>
        <w:t xml:space="preserve">When laying down rules for multimodal transport </w:t>
      </w:r>
      <w:r w:rsidR="000A0B8B">
        <w:rPr>
          <w:rFonts w:cstheme="minorHAnsi"/>
          <w:sz w:val="24"/>
          <w:szCs w:val="24"/>
        </w:rPr>
        <w:t xml:space="preserve">it is necessary to define </w:t>
      </w:r>
      <w:r w:rsidR="000A7018">
        <w:rPr>
          <w:rFonts w:cstheme="minorHAnsi"/>
          <w:sz w:val="24"/>
          <w:szCs w:val="24"/>
        </w:rPr>
        <w:t xml:space="preserve">to what they are to apply.  The MMTC (see below para </w:t>
      </w:r>
      <w:r w:rsidR="003A489E">
        <w:rPr>
          <w:rFonts w:cstheme="minorHAnsi"/>
          <w:sz w:val="24"/>
          <w:szCs w:val="24"/>
        </w:rPr>
        <w:t>5.2</w:t>
      </w:r>
      <w:r w:rsidR="000A7018">
        <w:rPr>
          <w:rFonts w:cstheme="minorHAnsi"/>
          <w:sz w:val="24"/>
          <w:szCs w:val="24"/>
        </w:rPr>
        <w:t>) applies to “</w:t>
      </w:r>
      <w:r w:rsidR="000A7018" w:rsidRPr="009C69FE">
        <w:rPr>
          <w:rFonts w:cs="Arial"/>
          <w:sz w:val="24"/>
          <w:szCs w:val="24"/>
        </w:rPr>
        <w:t>carriage of goods by at least two modes of transport on the basis of a multimodal transport contract</w:t>
      </w:r>
      <w:r w:rsidR="00785152">
        <w:rPr>
          <w:rFonts w:cs="Arial"/>
          <w:sz w:val="24"/>
          <w:szCs w:val="24"/>
        </w:rPr>
        <w:t>.</w:t>
      </w:r>
      <w:r w:rsidR="000A7018">
        <w:rPr>
          <w:rFonts w:cs="Arial"/>
          <w:sz w:val="24"/>
          <w:szCs w:val="24"/>
        </w:rPr>
        <w:t>”</w:t>
      </w:r>
      <w:r w:rsidR="00785152" w:rsidRPr="00785152">
        <w:t xml:space="preserve"> </w:t>
      </w:r>
      <w:r w:rsidR="00785152" w:rsidRPr="003E05EF">
        <w:rPr>
          <w:sz w:val="24"/>
          <w:szCs w:val="24"/>
        </w:rPr>
        <w:t xml:space="preserve">A “Multimodal transport contract” is defined </w:t>
      </w:r>
      <w:r w:rsidR="003A489E" w:rsidRPr="003E05EF">
        <w:rPr>
          <w:sz w:val="24"/>
          <w:szCs w:val="24"/>
        </w:rPr>
        <w:t>as a</w:t>
      </w:r>
      <w:r w:rsidR="00785152" w:rsidRPr="003E05EF">
        <w:rPr>
          <w:sz w:val="24"/>
          <w:szCs w:val="24"/>
        </w:rPr>
        <w:t xml:space="preserve"> contract whereby a multimodal transport operator undertakes, against payment of freight, to perform or to procure the performance of international multimodal transport.</w:t>
      </w:r>
      <w:r w:rsidR="00785152" w:rsidRPr="003E05EF">
        <w:rPr>
          <w:rFonts w:cs="Arial"/>
          <w:sz w:val="24"/>
          <w:szCs w:val="24"/>
        </w:rPr>
        <w:t xml:space="preserve"> </w:t>
      </w:r>
      <w:r w:rsidR="007E06B7" w:rsidRPr="003E05EF">
        <w:rPr>
          <w:rFonts w:cs="Arial"/>
          <w:sz w:val="24"/>
          <w:szCs w:val="24"/>
        </w:rPr>
        <w:t xml:space="preserve">This does not give us a precise idea of what is a multimodal transport contract. </w:t>
      </w:r>
      <w:r w:rsidR="007760A1" w:rsidRPr="003E05EF">
        <w:rPr>
          <w:rFonts w:cs="Arial"/>
          <w:sz w:val="24"/>
          <w:szCs w:val="24"/>
        </w:rPr>
        <w:t>If we apply</w:t>
      </w:r>
      <w:r w:rsidR="007760A1">
        <w:rPr>
          <w:rFonts w:cs="Arial"/>
          <w:sz w:val="24"/>
          <w:szCs w:val="24"/>
        </w:rPr>
        <w:t xml:space="preserve"> </w:t>
      </w:r>
      <w:r w:rsidR="00FE6320">
        <w:rPr>
          <w:rFonts w:cs="Arial"/>
          <w:sz w:val="24"/>
          <w:szCs w:val="24"/>
        </w:rPr>
        <w:t xml:space="preserve">the Quantum test and ask </w:t>
      </w:r>
      <w:r w:rsidR="00321BDD">
        <w:rPr>
          <w:rFonts w:cs="Arial"/>
          <w:sz w:val="24"/>
          <w:szCs w:val="24"/>
        </w:rPr>
        <w:t>w</w:t>
      </w:r>
      <w:r w:rsidR="003E65DA">
        <w:rPr>
          <w:rFonts w:cs="Arial"/>
          <w:sz w:val="24"/>
          <w:szCs w:val="24"/>
        </w:rPr>
        <w:t xml:space="preserve">hen </w:t>
      </w:r>
      <w:proofErr w:type="gramStart"/>
      <w:r w:rsidR="003E65DA">
        <w:rPr>
          <w:rFonts w:cs="Arial"/>
          <w:sz w:val="24"/>
          <w:szCs w:val="24"/>
        </w:rPr>
        <w:t xml:space="preserve">is a contract </w:t>
      </w:r>
      <w:r w:rsidR="00DD5ABE" w:rsidRPr="006850FA">
        <w:rPr>
          <w:rFonts w:cstheme="minorHAnsi"/>
          <w:b/>
          <w:bCs/>
          <w:i/>
          <w:iCs/>
          <w:sz w:val="24"/>
          <w:szCs w:val="24"/>
        </w:rPr>
        <w:t>for</w:t>
      </w:r>
      <w:r w:rsidR="00DD5ABE" w:rsidRPr="006850FA">
        <w:rPr>
          <w:rFonts w:cstheme="minorHAnsi"/>
          <w:sz w:val="24"/>
          <w:szCs w:val="24"/>
        </w:rPr>
        <w:t xml:space="preserve"> multimodal transport</w:t>
      </w:r>
      <w:r w:rsidR="009437ED">
        <w:rPr>
          <w:rFonts w:cstheme="minorHAnsi"/>
          <w:sz w:val="24"/>
          <w:szCs w:val="24"/>
        </w:rPr>
        <w:t xml:space="preserve"> </w:t>
      </w:r>
      <w:r w:rsidR="00F42752">
        <w:rPr>
          <w:rFonts w:cstheme="minorHAnsi"/>
          <w:sz w:val="24"/>
          <w:szCs w:val="24"/>
        </w:rPr>
        <w:t>different possib</w:t>
      </w:r>
      <w:r w:rsidR="00337D1E">
        <w:rPr>
          <w:rFonts w:cstheme="minorHAnsi"/>
          <w:sz w:val="24"/>
          <w:szCs w:val="24"/>
        </w:rPr>
        <w:t>ilities</w:t>
      </w:r>
      <w:proofErr w:type="gramEnd"/>
      <w:r w:rsidR="00337D1E">
        <w:rPr>
          <w:rFonts w:cstheme="minorHAnsi"/>
          <w:sz w:val="24"/>
          <w:szCs w:val="24"/>
        </w:rPr>
        <w:t xml:space="preserve"> arise</w:t>
      </w:r>
      <w:r w:rsidR="00AC1600">
        <w:rPr>
          <w:rFonts w:cstheme="minorHAnsi"/>
          <w:sz w:val="24"/>
          <w:szCs w:val="24"/>
        </w:rPr>
        <w:t>:</w:t>
      </w:r>
      <w:r w:rsidR="007055AC">
        <w:rPr>
          <w:rFonts w:cstheme="minorHAnsi"/>
          <w:sz w:val="24"/>
          <w:szCs w:val="24"/>
        </w:rPr>
        <w:t xml:space="preserve"> </w:t>
      </w:r>
    </w:p>
    <w:p w14:paraId="28982CC3" w14:textId="3D019687" w:rsidR="00673CD4" w:rsidRPr="006850FA" w:rsidRDefault="00F3321B" w:rsidP="00673CD4">
      <w:pPr>
        <w:rPr>
          <w:rFonts w:cstheme="minorHAnsi"/>
          <w:sz w:val="24"/>
          <w:szCs w:val="24"/>
        </w:rPr>
      </w:pPr>
      <w:r>
        <w:rPr>
          <w:rFonts w:cstheme="minorHAnsi"/>
          <w:sz w:val="24"/>
          <w:szCs w:val="24"/>
        </w:rPr>
        <w:t xml:space="preserve">If </w:t>
      </w:r>
      <w:r w:rsidRPr="006850FA">
        <w:rPr>
          <w:rFonts w:cstheme="minorHAnsi"/>
          <w:sz w:val="24"/>
          <w:szCs w:val="24"/>
        </w:rPr>
        <w:t>the contract expressly states that the carriage will be by more than one transport (most likely by expressly stating the modes to be used)</w:t>
      </w:r>
      <w:r>
        <w:rPr>
          <w:rFonts w:cstheme="minorHAnsi"/>
          <w:sz w:val="24"/>
          <w:szCs w:val="24"/>
        </w:rPr>
        <w:t xml:space="preserve"> and the goods are carried </w:t>
      </w:r>
      <w:r w:rsidR="00A8694E">
        <w:rPr>
          <w:rFonts w:cstheme="minorHAnsi"/>
          <w:sz w:val="24"/>
          <w:szCs w:val="24"/>
        </w:rPr>
        <w:t xml:space="preserve">by these </w:t>
      </w:r>
      <w:proofErr w:type="gramStart"/>
      <w:r w:rsidR="00A8694E">
        <w:rPr>
          <w:rFonts w:cstheme="minorHAnsi"/>
          <w:sz w:val="24"/>
          <w:szCs w:val="24"/>
        </w:rPr>
        <w:t>modes</w:t>
      </w:r>
      <w:proofErr w:type="gramEnd"/>
      <w:r w:rsidR="00A8694E">
        <w:rPr>
          <w:rFonts w:cstheme="minorHAnsi"/>
          <w:sz w:val="24"/>
          <w:szCs w:val="24"/>
        </w:rPr>
        <w:t xml:space="preserve"> </w:t>
      </w:r>
      <w:r w:rsidR="00BC47E7">
        <w:rPr>
          <w:rFonts w:cstheme="minorHAnsi"/>
          <w:sz w:val="24"/>
          <w:szCs w:val="24"/>
        </w:rPr>
        <w:t>t</w:t>
      </w:r>
      <w:r>
        <w:rPr>
          <w:rFonts w:cstheme="minorHAnsi"/>
          <w:sz w:val="24"/>
          <w:szCs w:val="24"/>
        </w:rPr>
        <w:t>his would definitely</w:t>
      </w:r>
      <w:r w:rsidR="00BC47E7">
        <w:rPr>
          <w:rFonts w:cstheme="minorHAnsi"/>
          <w:sz w:val="24"/>
          <w:szCs w:val="24"/>
        </w:rPr>
        <w:t xml:space="preserve"> be </w:t>
      </w:r>
      <w:r>
        <w:rPr>
          <w:rFonts w:cstheme="minorHAnsi"/>
          <w:sz w:val="24"/>
          <w:szCs w:val="24"/>
        </w:rPr>
        <w:t>a contract for multimodal carriage</w:t>
      </w:r>
      <w:r w:rsidR="00BC47E7">
        <w:rPr>
          <w:rFonts w:cstheme="minorHAnsi"/>
          <w:sz w:val="24"/>
          <w:szCs w:val="24"/>
        </w:rPr>
        <w:t>. But what if the contract is more open ended</w:t>
      </w:r>
      <w:r w:rsidR="00FE4C46">
        <w:rPr>
          <w:rFonts w:cstheme="minorHAnsi"/>
          <w:sz w:val="24"/>
          <w:szCs w:val="24"/>
        </w:rPr>
        <w:t xml:space="preserve"> as where t</w:t>
      </w:r>
      <w:r w:rsidR="00DD5ABE" w:rsidRPr="006850FA">
        <w:rPr>
          <w:rFonts w:cstheme="minorHAnsi"/>
          <w:sz w:val="24"/>
          <w:szCs w:val="24"/>
        </w:rPr>
        <w:t xml:space="preserve">he carrier is given a free choice as to modes of transport </w:t>
      </w:r>
      <w:r w:rsidR="00AC1600">
        <w:rPr>
          <w:rFonts w:cstheme="minorHAnsi"/>
          <w:sz w:val="24"/>
          <w:szCs w:val="24"/>
        </w:rPr>
        <w:t xml:space="preserve">and </w:t>
      </w:r>
      <w:r w:rsidR="00DD5ABE" w:rsidRPr="006850FA">
        <w:rPr>
          <w:rFonts w:cstheme="minorHAnsi"/>
          <w:sz w:val="24"/>
          <w:szCs w:val="24"/>
        </w:rPr>
        <w:t>carries by more than one mode of transport</w:t>
      </w:r>
      <w:r w:rsidR="00673CD4">
        <w:rPr>
          <w:rFonts w:cstheme="minorHAnsi"/>
          <w:sz w:val="24"/>
          <w:szCs w:val="24"/>
        </w:rPr>
        <w:t xml:space="preserve">.  </w:t>
      </w:r>
      <w:r w:rsidR="00D16A96">
        <w:rPr>
          <w:rFonts w:cstheme="minorHAnsi"/>
          <w:sz w:val="24"/>
          <w:szCs w:val="24"/>
        </w:rPr>
        <w:t>As in the Belgian decision (see above</w:t>
      </w:r>
      <w:r w:rsidR="00D608DB">
        <w:rPr>
          <w:rFonts w:cstheme="minorHAnsi"/>
          <w:sz w:val="24"/>
          <w:szCs w:val="24"/>
        </w:rPr>
        <w:t>, para. 4.3.1</w:t>
      </w:r>
      <w:r w:rsidR="00D16A96">
        <w:rPr>
          <w:rFonts w:cstheme="minorHAnsi"/>
          <w:sz w:val="24"/>
          <w:szCs w:val="24"/>
        </w:rPr>
        <w:t>) this might be seen as a</w:t>
      </w:r>
      <w:r w:rsidR="007E337E">
        <w:rPr>
          <w:rFonts w:cstheme="minorHAnsi"/>
          <w:sz w:val="24"/>
          <w:szCs w:val="24"/>
        </w:rPr>
        <w:t xml:space="preserve"> contract for carriage by any means and not for multimodal tran</w:t>
      </w:r>
      <w:r w:rsidR="005216E8">
        <w:rPr>
          <w:rFonts w:cstheme="minorHAnsi"/>
          <w:sz w:val="24"/>
          <w:szCs w:val="24"/>
        </w:rPr>
        <w:t>sport.</w:t>
      </w:r>
      <w:r w:rsidR="00DD5ABE" w:rsidRPr="006850FA">
        <w:rPr>
          <w:rFonts w:cstheme="minorHAnsi"/>
          <w:sz w:val="24"/>
          <w:szCs w:val="24"/>
        </w:rPr>
        <w:t xml:space="preserve"> </w:t>
      </w:r>
      <w:r w:rsidR="0017142E">
        <w:rPr>
          <w:rFonts w:cstheme="minorHAnsi"/>
          <w:sz w:val="24"/>
          <w:szCs w:val="24"/>
        </w:rPr>
        <w:t xml:space="preserve">Would it make a difference if the </w:t>
      </w:r>
      <w:r w:rsidR="004A6899">
        <w:rPr>
          <w:rFonts w:cstheme="minorHAnsi"/>
          <w:sz w:val="24"/>
          <w:szCs w:val="24"/>
        </w:rPr>
        <w:t xml:space="preserve">actual </w:t>
      </w:r>
      <w:r w:rsidR="0017142E">
        <w:rPr>
          <w:rFonts w:cstheme="minorHAnsi"/>
          <w:sz w:val="24"/>
          <w:szCs w:val="24"/>
        </w:rPr>
        <w:t>e</w:t>
      </w:r>
      <w:r w:rsidR="00FA2B66">
        <w:rPr>
          <w:rFonts w:cstheme="minorHAnsi"/>
          <w:sz w:val="24"/>
          <w:szCs w:val="24"/>
        </w:rPr>
        <w:t>xpectation of the parties is that there would be carriage by more than one mode</w:t>
      </w:r>
      <w:r w:rsidR="00FD5124">
        <w:rPr>
          <w:rFonts w:cstheme="minorHAnsi"/>
          <w:sz w:val="24"/>
          <w:szCs w:val="24"/>
        </w:rPr>
        <w:t>?</w:t>
      </w:r>
      <w:r w:rsidR="00E65CB7">
        <w:rPr>
          <w:rFonts w:cstheme="minorHAnsi"/>
          <w:sz w:val="24"/>
          <w:szCs w:val="24"/>
        </w:rPr>
        <w:t xml:space="preserve"> </w:t>
      </w:r>
      <w:r w:rsidR="00FE4C46">
        <w:rPr>
          <w:rFonts w:cstheme="minorHAnsi"/>
          <w:sz w:val="24"/>
          <w:szCs w:val="24"/>
        </w:rPr>
        <w:t>What i</w:t>
      </w:r>
      <w:r w:rsidR="00C55F30">
        <w:rPr>
          <w:rFonts w:cstheme="minorHAnsi"/>
          <w:sz w:val="24"/>
          <w:szCs w:val="24"/>
        </w:rPr>
        <w:t>f</w:t>
      </w:r>
      <w:r w:rsidR="00FE4C46">
        <w:rPr>
          <w:rFonts w:cstheme="minorHAnsi"/>
          <w:sz w:val="24"/>
          <w:szCs w:val="24"/>
        </w:rPr>
        <w:t xml:space="preserve"> the contract provides </w:t>
      </w:r>
      <w:r w:rsidR="00C55F30">
        <w:rPr>
          <w:rFonts w:cstheme="minorHAnsi"/>
          <w:sz w:val="24"/>
          <w:szCs w:val="24"/>
        </w:rPr>
        <w:t xml:space="preserve">for a single mode but permits the carrier </w:t>
      </w:r>
      <w:r w:rsidR="004A6899">
        <w:rPr>
          <w:rFonts w:cstheme="minorHAnsi"/>
          <w:sz w:val="24"/>
          <w:szCs w:val="24"/>
        </w:rPr>
        <w:t>(</w:t>
      </w:r>
      <w:r w:rsidR="00C55F30">
        <w:rPr>
          <w:rFonts w:cstheme="minorHAnsi"/>
          <w:sz w:val="24"/>
          <w:szCs w:val="24"/>
        </w:rPr>
        <w:t>either</w:t>
      </w:r>
      <w:r w:rsidR="004A6899">
        <w:rPr>
          <w:rFonts w:cstheme="minorHAnsi"/>
          <w:sz w:val="24"/>
          <w:szCs w:val="24"/>
        </w:rPr>
        <w:t xml:space="preserve"> at his convenience or </w:t>
      </w:r>
      <w:r w:rsidR="00794B3D">
        <w:rPr>
          <w:rFonts w:cstheme="minorHAnsi"/>
          <w:sz w:val="24"/>
          <w:szCs w:val="24"/>
        </w:rPr>
        <w:t xml:space="preserve">under certain circumstances) </w:t>
      </w:r>
      <w:r w:rsidR="00390796">
        <w:rPr>
          <w:rFonts w:cstheme="minorHAnsi"/>
          <w:sz w:val="24"/>
          <w:szCs w:val="24"/>
        </w:rPr>
        <w:t xml:space="preserve">to </w:t>
      </w:r>
      <w:r w:rsidR="000C2755">
        <w:rPr>
          <w:rFonts w:cstheme="minorHAnsi"/>
          <w:sz w:val="24"/>
          <w:szCs w:val="24"/>
        </w:rPr>
        <w:t>use different modes and the car</w:t>
      </w:r>
      <w:r w:rsidR="00403AAA">
        <w:rPr>
          <w:rFonts w:cstheme="minorHAnsi"/>
          <w:sz w:val="24"/>
          <w:szCs w:val="24"/>
        </w:rPr>
        <w:t xml:space="preserve">rier chooses </w:t>
      </w:r>
      <w:r w:rsidR="00B33B6F">
        <w:rPr>
          <w:rFonts w:cstheme="minorHAnsi"/>
          <w:sz w:val="24"/>
          <w:szCs w:val="24"/>
        </w:rPr>
        <w:t>multi</w:t>
      </w:r>
      <w:r w:rsidR="00B90510">
        <w:rPr>
          <w:rFonts w:cstheme="minorHAnsi"/>
          <w:sz w:val="24"/>
          <w:szCs w:val="24"/>
        </w:rPr>
        <w:t>ple modes.  Ultimately does the word ‘undertake</w:t>
      </w:r>
      <w:r w:rsidR="001E6702">
        <w:rPr>
          <w:rFonts w:cstheme="minorHAnsi"/>
          <w:sz w:val="24"/>
          <w:szCs w:val="24"/>
        </w:rPr>
        <w:t xml:space="preserve">’ require a definite undertaking </w:t>
      </w:r>
      <w:r w:rsidR="00161CF7">
        <w:rPr>
          <w:rFonts w:cstheme="minorHAnsi"/>
          <w:sz w:val="24"/>
          <w:szCs w:val="24"/>
        </w:rPr>
        <w:t xml:space="preserve">so that departure from it would be a breach of contract or can it include </w:t>
      </w:r>
      <w:r w:rsidR="00E52BBA">
        <w:rPr>
          <w:rFonts w:cstheme="minorHAnsi"/>
          <w:sz w:val="24"/>
          <w:szCs w:val="24"/>
        </w:rPr>
        <w:t xml:space="preserve">any contract where there is permission to use </w:t>
      </w:r>
      <w:r w:rsidR="00787B4D">
        <w:rPr>
          <w:rFonts w:cstheme="minorHAnsi"/>
          <w:sz w:val="24"/>
          <w:szCs w:val="24"/>
        </w:rPr>
        <w:t>more than one mode but no breach of contract if only a single mode is used?</w:t>
      </w:r>
      <w:r w:rsidR="00C21C0D">
        <w:rPr>
          <w:rFonts w:cstheme="minorHAnsi"/>
          <w:sz w:val="24"/>
          <w:szCs w:val="24"/>
        </w:rPr>
        <w:t xml:space="preserve"> </w:t>
      </w:r>
      <w:r w:rsidR="00FB52D5">
        <w:rPr>
          <w:rFonts w:cstheme="minorHAnsi"/>
          <w:sz w:val="24"/>
          <w:szCs w:val="24"/>
        </w:rPr>
        <w:br/>
      </w:r>
      <w:r w:rsidR="00FB52D5">
        <w:rPr>
          <w:rFonts w:cstheme="minorHAnsi"/>
          <w:sz w:val="24"/>
          <w:szCs w:val="24"/>
        </w:rPr>
        <w:br/>
        <w:t xml:space="preserve">We can keep in mind </w:t>
      </w:r>
      <w:r w:rsidR="000610E0">
        <w:rPr>
          <w:rFonts w:cstheme="minorHAnsi"/>
          <w:sz w:val="24"/>
          <w:szCs w:val="24"/>
        </w:rPr>
        <w:t xml:space="preserve">the view of </w:t>
      </w:r>
      <w:proofErr w:type="spellStart"/>
      <w:r w:rsidR="000610E0">
        <w:rPr>
          <w:rFonts w:cstheme="minorHAnsi"/>
          <w:sz w:val="24"/>
          <w:szCs w:val="24"/>
        </w:rPr>
        <w:t>Backden</w:t>
      </w:r>
      <w:proofErr w:type="spellEnd"/>
      <w:r w:rsidR="000610E0">
        <w:rPr>
          <w:rFonts w:cstheme="minorHAnsi"/>
          <w:sz w:val="24"/>
          <w:szCs w:val="24"/>
        </w:rPr>
        <w:t xml:space="preserve"> noted above (para. 4.3.4</w:t>
      </w:r>
      <w:r w:rsidR="00927AE6">
        <w:rPr>
          <w:rFonts w:cstheme="minorHAnsi"/>
          <w:sz w:val="24"/>
          <w:szCs w:val="24"/>
        </w:rPr>
        <w:t>, at p</w:t>
      </w:r>
      <w:r w:rsidR="00207B8C">
        <w:rPr>
          <w:rFonts w:cstheme="minorHAnsi"/>
          <w:sz w:val="24"/>
          <w:szCs w:val="24"/>
        </w:rPr>
        <w:t>.296</w:t>
      </w:r>
      <w:r w:rsidR="00B77AA8">
        <w:rPr>
          <w:rFonts w:cstheme="minorHAnsi"/>
          <w:sz w:val="24"/>
          <w:szCs w:val="24"/>
        </w:rPr>
        <w:t xml:space="preserve">) </w:t>
      </w:r>
      <w:r w:rsidR="001140B9">
        <w:rPr>
          <w:rFonts w:cstheme="minorHAnsi"/>
          <w:sz w:val="24"/>
          <w:szCs w:val="24"/>
        </w:rPr>
        <w:t xml:space="preserve">that apart </w:t>
      </w:r>
      <w:r w:rsidR="00CD4F06">
        <w:rPr>
          <w:rFonts w:cstheme="minorHAnsi"/>
          <w:sz w:val="24"/>
          <w:szCs w:val="24"/>
        </w:rPr>
        <w:t>from</w:t>
      </w:r>
      <w:r w:rsidR="00BA4F30">
        <w:rPr>
          <w:rFonts w:cstheme="minorHAnsi"/>
          <w:sz w:val="24"/>
          <w:szCs w:val="24"/>
        </w:rPr>
        <w:t xml:space="preserve"> the express </w:t>
      </w:r>
      <w:r w:rsidR="00B77AA8">
        <w:rPr>
          <w:rFonts w:cstheme="minorHAnsi"/>
          <w:sz w:val="24"/>
          <w:szCs w:val="24"/>
        </w:rPr>
        <w:t xml:space="preserve">terms </w:t>
      </w:r>
      <w:r w:rsidR="00BA4F30">
        <w:rPr>
          <w:rFonts w:cstheme="minorHAnsi"/>
          <w:sz w:val="24"/>
          <w:szCs w:val="24"/>
        </w:rPr>
        <w:t xml:space="preserve">of the contract </w:t>
      </w:r>
      <w:r w:rsidR="00CD4F06">
        <w:rPr>
          <w:rFonts w:cstheme="minorHAnsi"/>
          <w:sz w:val="24"/>
          <w:szCs w:val="24"/>
        </w:rPr>
        <w:t>it is also important to have regard to</w:t>
      </w:r>
      <w:r w:rsidR="00BA4F30">
        <w:rPr>
          <w:rFonts w:cstheme="minorHAnsi"/>
          <w:sz w:val="24"/>
          <w:szCs w:val="24"/>
        </w:rPr>
        <w:t xml:space="preserve"> the underlying context to the making of the contract </w:t>
      </w:r>
      <w:r w:rsidR="00CD4F06">
        <w:rPr>
          <w:rFonts w:cstheme="minorHAnsi"/>
          <w:sz w:val="24"/>
          <w:szCs w:val="24"/>
        </w:rPr>
        <w:t xml:space="preserve">in order to come to a more complete understanding of the contemplation of the parties </w:t>
      </w:r>
      <w:r w:rsidR="006217A7">
        <w:rPr>
          <w:rFonts w:cstheme="minorHAnsi"/>
          <w:sz w:val="24"/>
          <w:szCs w:val="24"/>
        </w:rPr>
        <w:t xml:space="preserve">it may be possible to give answers to </w:t>
      </w:r>
      <w:proofErr w:type="gramStart"/>
      <w:r w:rsidR="006217A7">
        <w:rPr>
          <w:rFonts w:cstheme="minorHAnsi"/>
          <w:sz w:val="24"/>
          <w:szCs w:val="24"/>
        </w:rPr>
        <w:t>these question</w:t>
      </w:r>
      <w:proofErr w:type="gramEnd"/>
      <w:r w:rsidR="006217A7">
        <w:rPr>
          <w:rFonts w:cstheme="minorHAnsi"/>
          <w:sz w:val="24"/>
          <w:szCs w:val="24"/>
        </w:rPr>
        <w:t xml:space="preserve"> based on the correct interpretation of the contract.</w:t>
      </w:r>
      <w:r w:rsidR="000C4436">
        <w:rPr>
          <w:rFonts w:cstheme="minorHAnsi"/>
          <w:sz w:val="24"/>
          <w:szCs w:val="24"/>
        </w:rPr>
        <w:t xml:space="preserve"> </w:t>
      </w:r>
      <w:r w:rsidR="00E773DE">
        <w:rPr>
          <w:rFonts w:cstheme="minorHAnsi"/>
          <w:sz w:val="24"/>
          <w:szCs w:val="24"/>
        </w:rPr>
        <w:t>As she notes, in the light of this approach</w:t>
      </w:r>
      <w:r w:rsidR="00927AE6">
        <w:rPr>
          <w:rFonts w:cstheme="minorHAnsi"/>
          <w:sz w:val="24"/>
          <w:szCs w:val="24"/>
        </w:rPr>
        <w:t xml:space="preserve">, </w:t>
      </w:r>
      <w:r w:rsidR="00E773DE">
        <w:rPr>
          <w:rFonts w:cstheme="minorHAnsi"/>
          <w:sz w:val="24"/>
          <w:szCs w:val="24"/>
        </w:rPr>
        <w:t>that truly open contracts</w:t>
      </w:r>
      <w:r w:rsidR="00C1335C">
        <w:rPr>
          <w:rFonts w:cstheme="minorHAnsi"/>
          <w:sz w:val="24"/>
          <w:szCs w:val="24"/>
        </w:rPr>
        <w:t xml:space="preserve"> of carriage where these is no mutual contemplation of the likely modes to be used is </w:t>
      </w:r>
      <w:r w:rsidR="00927AE6">
        <w:rPr>
          <w:rFonts w:cstheme="minorHAnsi"/>
          <w:sz w:val="24"/>
          <w:szCs w:val="24"/>
        </w:rPr>
        <w:t>likely to be rare.</w:t>
      </w:r>
    </w:p>
    <w:p w14:paraId="133511AB" w14:textId="4D4C653F" w:rsidR="00687785" w:rsidRPr="009C69FE" w:rsidRDefault="00102805" w:rsidP="00687785">
      <w:pPr>
        <w:rPr>
          <w:rFonts w:cs="Arial"/>
          <w:sz w:val="24"/>
          <w:szCs w:val="24"/>
        </w:rPr>
      </w:pPr>
      <w:r>
        <w:rPr>
          <w:rFonts w:cs="Arial"/>
          <w:b/>
          <w:sz w:val="24"/>
          <w:szCs w:val="24"/>
        </w:rPr>
        <w:t xml:space="preserve">4.4.3 </w:t>
      </w:r>
      <w:r w:rsidR="00687785" w:rsidRPr="009C69FE">
        <w:rPr>
          <w:rFonts w:cs="Arial"/>
          <w:b/>
          <w:sz w:val="24"/>
          <w:szCs w:val="24"/>
        </w:rPr>
        <w:t>Network versus Uniform</w:t>
      </w:r>
      <w:r w:rsidR="00687785" w:rsidRPr="009C69FE">
        <w:rPr>
          <w:rFonts w:cs="Arial"/>
          <w:sz w:val="24"/>
          <w:szCs w:val="24"/>
        </w:rPr>
        <w:br/>
      </w:r>
      <w:r w:rsidR="00687785" w:rsidRPr="009C69FE">
        <w:rPr>
          <w:rFonts w:cs="Arial"/>
          <w:sz w:val="24"/>
          <w:szCs w:val="24"/>
        </w:rPr>
        <w:br/>
      </w:r>
      <w:r w:rsidR="00D746E1">
        <w:rPr>
          <w:rFonts w:cs="Arial"/>
          <w:sz w:val="24"/>
          <w:szCs w:val="24"/>
        </w:rPr>
        <w:t xml:space="preserve">Later in the paper the various attempts at creating a multimodal regime </w:t>
      </w:r>
      <w:r w:rsidR="00D608DB">
        <w:rPr>
          <w:rFonts w:cs="Arial"/>
          <w:sz w:val="24"/>
          <w:szCs w:val="24"/>
        </w:rPr>
        <w:t>are</w:t>
      </w:r>
      <w:r w:rsidR="002B6233">
        <w:rPr>
          <w:rFonts w:cs="Arial"/>
          <w:sz w:val="24"/>
          <w:szCs w:val="24"/>
        </w:rPr>
        <w:t xml:space="preserve"> reviewed along with the fact that </w:t>
      </w:r>
      <w:r w:rsidR="002B3C71">
        <w:rPr>
          <w:rFonts w:cs="Arial"/>
          <w:sz w:val="24"/>
          <w:szCs w:val="24"/>
        </w:rPr>
        <w:t>although</w:t>
      </w:r>
      <w:r w:rsidR="002B6233">
        <w:rPr>
          <w:rFonts w:cs="Arial"/>
          <w:sz w:val="24"/>
          <w:szCs w:val="24"/>
        </w:rPr>
        <w:t xml:space="preserve"> none of them have ever </w:t>
      </w:r>
      <w:r w:rsidR="000E4688">
        <w:rPr>
          <w:rFonts w:cs="Arial"/>
          <w:sz w:val="24"/>
          <w:szCs w:val="24"/>
        </w:rPr>
        <w:t xml:space="preserve">been given effect </w:t>
      </w:r>
      <w:r w:rsidR="002B3C71">
        <w:rPr>
          <w:rFonts w:cs="Arial"/>
          <w:sz w:val="24"/>
          <w:szCs w:val="24"/>
        </w:rPr>
        <w:t xml:space="preserve">they have influenced the terms of </w:t>
      </w:r>
      <w:r w:rsidR="009F4A78">
        <w:rPr>
          <w:rFonts w:cs="Arial"/>
          <w:sz w:val="24"/>
          <w:szCs w:val="24"/>
        </w:rPr>
        <w:t xml:space="preserve">the </w:t>
      </w:r>
      <w:r w:rsidR="002B3C71">
        <w:rPr>
          <w:rFonts w:cs="Arial"/>
          <w:sz w:val="24"/>
          <w:szCs w:val="24"/>
        </w:rPr>
        <w:t xml:space="preserve">contracts in use </w:t>
      </w:r>
      <w:r w:rsidR="009F4A78">
        <w:rPr>
          <w:rFonts w:cs="Arial"/>
          <w:sz w:val="24"/>
          <w:szCs w:val="24"/>
        </w:rPr>
        <w:t xml:space="preserve">today. </w:t>
      </w:r>
      <w:r w:rsidR="008E7166">
        <w:rPr>
          <w:rFonts w:cs="Arial"/>
          <w:sz w:val="24"/>
          <w:szCs w:val="24"/>
        </w:rPr>
        <w:t xml:space="preserve"> You will see </w:t>
      </w:r>
      <w:r w:rsidR="00077DD8">
        <w:rPr>
          <w:rFonts w:cs="Arial"/>
          <w:sz w:val="24"/>
          <w:szCs w:val="24"/>
        </w:rPr>
        <w:t>they will tend to take one of two basic forms</w:t>
      </w:r>
      <w:r w:rsidR="0045471F">
        <w:rPr>
          <w:rFonts w:cs="Arial"/>
          <w:sz w:val="24"/>
          <w:szCs w:val="24"/>
        </w:rPr>
        <w:t xml:space="preserve"> – a network approach or a uniform approach.  </w:t>
      </w:r>
      <w:r w:rsidR="00687785" w:rsidRPr="009C69FE">
        <w:rPr>
          <w:rFonts w:cs="Arial"/>
          <w:sz w:val="24"/>
          <w:szCs w:val="24"/>
        </w:rPr>
        <w:t xml:space="preserve">At this stage it may be useful to reflect on the different possible systems and their advantages and disadvantages.  </w:t>
      </w:r>
    </w:p>
    <w:p w14:paraId="75F378F4" w14:textId="480FFCB9" w:rsidR="00687785" w:rsidRPr="009C69FE" w:rsidRDefault="00687785" w:rsidP="00687785">
      <w:pPr>
        <w:rPr>
          <w:rFonts w:cs="Arial"/>
          <w:b/>
          <w:sz w:val="24"/>
          <w:szCs w:val="24"/>
        </w:rPr>
      </w:pPr>
      <w:proofErr w:type="spellStart"/>
      <w:r w:rsidRPr="009C69FE">
        <w:rPr>
          <w:rFonts w:cs="Arial"/>
          <w:b/>
          <w:sz w:val="24"/>
          <w:szCs w:val="24"/>
        </w:rPr>
        <w:t>i</w:t>
      </w:r>
      <w:proofErr w:type="spellEnd"/>
      <w:r w:rsidRPr="009C69FE">
        <w:rPr>
          <w:rFonts w:cs="Arial"/>
          <w:b/>
          <w:sz w:val="24"/>
          <w:szCs w:val="24"/>
        </w:rPr>
        <w:t xml:space="preserve">) Network System </w:t>
      </w:r>
      <w:r w:rsidR="007F4ED0">
        <w:rPr>
          <w:rFonts w:cs="Arial"/>
          <w:b/>
          <w:sz w:val="24"/>
          <w:szCs w:val="24"/>
        </w:rPr>
        <w:t>–</w:t>
      </w:r>
      <w:r w:rsidR="0045471F">
        <w:rPr>
          <w:rFonts w:cs="Arial"/>
          <w:b/>
          <w:sz w:val="24"/>
          <w:szCs w:val="24"/>
        </w:rPr>
        <w:t xml:space="preserve"> </w:t>
      </w:r>
      <w:r w:rsidR="007F4ED0" w:rsidRPr="007F4ED0">
        <w:rPr>
          <w:rFonts w:cs="Arial"/>
          <w:bCs/>
          <w:sz w:val="24"/>
          <w:szCs w:val="24"/>
        </w:rPr>
        <w:t>tries to align the liability of the MTO</w:t>
      </w:r>
      <w:r w:rsidR="007F4ED0">
        <w:rPr>
          <w:rFonts w:cs="Arial"/>
          <w:b/>
          <w:sz w:val="24"/>
          <w:szCs w:val="24"/>
        </w:rPr>
        <w:t xml:space="preserve"> </w:t>
      </w:r>
      <w:r w:rsidR="007F4ED0" w:rsidRPr="007F4ED0">
        <w:rPr>
          <w:rFonts w:cs="Arial"/>
          <w:bCs/>
          <w:sz w:val="24"/>
          <w:szCs w:val="24"/>
        </w:rPr>
        <w:t>with the rules operating at the modal level.</w:t>
      </w:r>
      <w:r w:rsidRPr="007F4ED0">
        <w:rPr>
          <w:rFonts w:cs="Arial"/>
          <w:bCs/>
          <w:sz w:val="24"/>
          <w:szCs w:val="24"/>
        </w:rPr>
        <w:br/>
      </w:r>
      <w:r w:rsidRPr="007F4ED0">
        <w:rPr>
          <w:rFonts w:cs="Arial"/>
          <w:b/>
          <w:sz w:val="24"/>
          <w:szCs w:val="24"/>
        </w:rPr>
        <w:br/>
      </w:r>
      <w:r w:rsidRPr="009C69FE">
        <w:rPr>
          <w:rFonts w:cs="Arial"/>
          <w:b/>
          <w:sz w:val="24"/>
          <w:szCs w:val="24"/>
        </w:rPr>
        <w:t>a) Advantages:</w:t>
      </w:r>
    </w:p>
    <w:p w14:paraId="18740C73" w14:textId="77777777" w:rsidR="00687785" w:rsidRPr="009C69FE" w:rsidRDefault="00687785" w:rsidP="00687785">
      <w:pPr>
        <w:pStyle w:val="ListParagraph"/>
        <w:numPr>
          <w:ilvl w:val="0"/>
          <w:numId w:val="1"/>
        </w:numPr>
        <w:rPr>
          <w:rFonts w:cs="Arial"/>
          <w:sz w:val="24"/>
          <w:szCs w:val="24"/>
        </w:rPr>
      </w:pPr>
      <w:r w:rsidRPr="009C69FE">
        <w:rPr>
          <w:rFonts w:cs="Arial"/>
          <w:sz w:val="24"/>
          <w:szCs w:val="24"/>
        </w:rPr>
        <w:lastRenderedPageBreak/>
        <w:t>maintains the current balance of interests and enables operators to work with schemes that are familiar to them.</w:t>
      </w:r>
      <w:r w:rsidRPr="009C69FE">
        <w:rPr>
          <w:rFonts w:cs="Arial"/>
          <w:sz w:val="24"/>
          <w:szCs w:val="24"/>
        </w:rPr>
        <w:br/>
      </w:r>
    </w:p>
    <w:p w14:paraId="370E4928" w14:textId="77777777" w:rsidR="00687785" w:rsidRPr="009C69FE" w:rsidRDefault="00687785" w:rsidP="00687785">
      <w:pPr>
        <w:pStyle w:val="ListParagraph"/>
        <w:numPr>
          <w:ilvl w:val="0"/>
          <w:numId w:val="1"/>
        </w:numPr>
        <w:spacing w:after="0"/>
        <w:rPr>
          <w:rFonts w:cs="Arial"/>
          <w:sz w:val="24"/>
          <w:szCs w:val="24"/>
        </w:rPr>
      </w:pPr>
      <w:r w:rsidRPr="009C69FE">
        <w:rPr>
          <w:rFonts w:cs="Arial"/>
          <w:sz w:val="24"/>
          <w:szCs w:val="24"/>
        </w:rPr>
        <w:t xml:space="preserve">reduces the possibility of conflict between the modal and multimodal rules.  The degree of severity of conflict depends on the view taken as to </w:t>
      </w:r>
      <w:proofErr w:type="gramStart"/>
      <w:r w:rsidRPr="009C69FE">
        <w:rPr>
          <w:rFonts w:cs="Arial"/>
          <w:sz w:val="24"/>
          <w:szCs w:val="24"/>
        </w:rPr>
        <w:t>whether or not</w:t>
      </w:r>
      <w:proofErr w:type="gramEnd"/>
      <w:r w:rsidRPr="009C69FE">
        <w:rPr>
          <w:rFonts w:cs="Arial"/>
          <w:sz w:val="24"/>
          <w:szCs w:val="24"/>
        </w:rPr>
        <w:t xml:space="preserve"> multimodal is a different type of contract which is not affected by modal rules.  If this view is accepted there is no direct conflict.  </w:t>
      </w:r>
      <w:r w:rsidRPr="009C69FE">
        <w:rPr>
          <w:rFonts w:cs="Arial"/>
          <w:sz w:val="24"/>
          <w:szCs w:val="24"/>
        </w:rPr>
        <w:br/>
      </w:r>
    </w:p>
    <w:p w14:paraId="3A1951E8" w14:textId="4DDC5333" w:rsidR="00687785" w:rsidRPr="009C69FE" w:rsidRDefault="00687785" w:rsidP="00687785">
      <w:pPr>
        <w:pStyle w:val="ListParagraph"/>
        <w:numPr>
          <w:ilvl w:val="0"/>
          <w:numId w:val="1"/>
        </w:numPr>
        <w:spacing w:after="0"/>
        <w:rPr>
          <w:rFonts w:cs="Arial"/>
          <w:sz w:val="24"/>
          <w:szCs w:val="24"/>
        </w:rPr>
      </w:pPr>
      <w:r w:rsidRPr="009C69FE">
        <w:rPr>
          <w:rFonts w:cs="Arial"/>
          <w:sz w:val="24"/>
          <w:szCs w:val="24"/>
        </w:rPr>
        <w:t>helps to maintain the recourse position of the main contractor and puts the goods interest into the same position as if they had contracted directly with the performing operator.</w:t>
      </w:r>
      <w:r w:rsidR="003B6816">
        <w:rPr>
          <w:rFonts w:cs="Arial"/>
          <w:sz w:val="24"/>
          <w:szCs w:val="24"/>
        </w:rPr>
        <w:t xml:space="preserve"> This means that even if there is no conflict </w:t>
      </w:r>
      <w:r w:rsidR="007E5793">
        <w:rPr>
          <w:rFonts w:cs="Arial"/>
          <w:sz w:val="24"/>
          <w:szCs w:val="24"/>
        </w:rPr>
        <w:t xml:space="preserve">with modal rules </w:t>
      </w:r>
      <w:r w:rsidR="00C80775">
        <w:rPr>
          <w:rFonts w:cs="Arial"/>
          <w:sz w:val="24"/>
          <w:szCs w:val="24"/>
        </w:rPr>
        <w:t>it is still useful to align with them.</w:t>
      </w:r>
    </w:p>
    <w:p w14:paraId="78680AF8" w14:textId="77777777" w:rsidR="00687785" w:rsidRPr="009C69FE" w:rsidRDefault="00687785" w:rsidP="00687785">
      <w:pPr>
        <w:rPr>
          <w:rFonts w:cs="Arial"/>
          <w:sz w:val="24"/>
          <w:szCs w:val="24"/>
        </w:rPr>
      </w:pPr>
    </w:p>
    <w:p w14:paraId="4A79B631" w14:textId="77777777" w:rsidR="00687785" w:rsidRPr="009C69FE" w:rsidRDefault="00687785" w:rsidP="00687785">
      <w:pPr>
        <w:rPr>
          <w:rFonts w:cs="Arial"/>
          <w:sz w:val="24"/>
          <w:szCs w:val="24"/>
        </w:rPr>
      </w:pPr>
      <w:r w:rsidRPr="009C69FE">
        <w:rPr>
          <w:rFonts w:cs="Arial"/>
          <w:b/>
          <w:sz w:val="24"/>
          <w:szCs w:val="24"/>
        </w:rPr>
        <w:t>b) Disadvantages:</w:t>
      </w:r>
    </w:p>
    <w:p w14:paraId="3A4F576F" w14:textId="77777777" w:rsidR="00687785" w:rsidRPr="009C69FE" w:rsidRDefault="00687785" w:rsidP="00687785">
      <w:pPr>
        <w:numPr>
          <w:ilvl w:val="0"/>
          <w:numId w:val="3"/>
        </w:numPr>
        <w:spacing w:after="0"/>
        <w:rPr>
          <w:rFonts w:cs="Arial"/>
          <w:sz w:val="24"/>
          <w:szCs w:val="24"/>
        </w:rPr>
      </w:pPr>
      <w:r w:rsidRPr="009C69FE">
        <w:rPr>
          <w:rFonts w:cs="Arial"/>
          <w:sz w:val="24"/>
          <w:szCs w:val="24"/>
        </w:rPr>
        <w:t xml:space="preserve">creates uncertainty in that it is not possible to know at the outset what rules will apply to loss, </w:t>
      </w:r>
      <w:proofErr w:type="gramStart"/>
      <w:r w:rsidRPr="009C69FE">
        <w:rPr>
          <w:rFonts w:cs="Arial"/>
          <w:sz w:val="24"/>
          <w:szCs w:val="24"/>
        </w:rPr>
        <w:t>damage</w:t>
      </w:r>
      <w:proofErr w:type="gramEnd"/>
      <w:r w:rsidRPr="009C69FE">
        <w:rPr>
          <w:rFonts w:cs="Arial"/>
          <w:sz w:val="24"/>
          <w:szCs w:val="24"/>
        </w:rPr>
        <w:t xml:space="preserve"> or delay.</w:t>
      </w:r>
      <w:r w:rsidRPr="009C69FE">
        <w:rPr>
          <w:rFonts w:cs="Arial"/>
          <w:sz w:val="24"/>
          <w:szCs w:val="24"/>
        </w:rPr>
        <w:br/>
      </w:r>
    </w:p>
    <w:p w14:paraId="10DA0ACE" w14:textId="77777777" w:rsidR="00687785" w:rsidRPr="009C69FE" w:rsidRDefault="00687785" w:rsidP="00687785">
      <w:pPr>
        <w:numPr>
          <w:ilvl w:val="0"/>
          <w:numId w:val="3"/>
        </w:numPr>
        <w:spacing w:after="0"/>
        <w:rPr>
          <w:rFonts w:cs="Arial"/>
          <w:sz w:val="24"/>
          <w:szCs w:val="24"/>
        </w:rPr>
      </w:pPr>
      <w:r w:rsidRPr="009C69FE">
        <w:rPr>
          <w:rFonts w:cs="Arial"/>
          <w:sz w:val="24"/>
          <w:szCs w:val="24"/>
        </w:rPr>
        <w:t>can be difficult to determine the demarcation point between different modes.</w:t>
      </w:r>
      <w:r w:rsidRPr="009C69FE">
        <w:rPr>
          <w:rFonts w:cs="Arial"/>
          <w:sz w:val="24"/>
          <w:szCs w:val="24"/>
        </w:rPr>
        <w:br/>
      </w:r>
    </w:p>
    <w:p w14:paraId="17DD2D45" w14:textId="77777777" w:rsidR="00687785" w:rsidRPr="009C69FE" w:rsidRDefault="00687785" w:rsidP="00687785">
      <w:pPr>
        <w:numPr>
          <w:ilvl w:val="0"/>
          <w:numId w:val="3"/>
        </w:numPr>
        <w:spacing w:after="0"/>
        <w:rPr>
          <w:rFonts w:cs="Arial"/>
          <w:sz w:val="24"/>
          <w:szCs w:val="24"/>
        </w:rPr>
      </w:pPr>
      <w:r w:rsidRPr="009C69FE">
        <w:rPr>
          <w:rFonts w:cs="Arial"/>
          <w:sz w:val="24"/>
          <w:szCs w:val="24"/>
        </w:rPr>
        <w:t>can be difficult to determine the place where loss occurred.</w:t>
      </w:r>
      <w:r w:rsidRPr="009C69FE">
        <w:rPr>
          <w:rFonts w:cs="Arial"/>
          <w:sz w:val="24"/>
          <w:szCs w:val="24"/>
        </w:rPr>
        <w:br/>
      </w:r>
    </w:p>
    <w:p w14:paraId="1B1E7EE5" w14:textId="77777777" w:rsidR="00687785" w:rsidRPr="009C69FE" w:rsidRDefault="00687785" w:rsidP="00687785">
      <w:pPr>
        <w:numPr>
          <w:ilvl w:val="0"/>
          <w:numId w:val="3"/>
        </w:numPr>
        <w:spacing w:after="0"/>
        <w:rPr>
          <w:rFonts w:cs="Arial"/>
          <w:sz w:val="24"/>
          <w:szCs w:val="24"/>
        </w:rPr>
      </w:pPr>
      <w:r w:rsidRPr="009C69FE">
        <w:rPr>
          <w:rFonts w:cs="Arial"/>
          <w:sz w:val="24"/>
          <w:szCs w:val="24"/>
        </w:rPr>
        <w:t>is overly complex.</w:t>
      </w:r>
      <w:r w:rsidRPr="009C69FE">
        <w:rPr>
          <w:rFonts w:cs="Arial"/>
          <w:sz w:val="24"/>
          <w:szCs w:val="24"/>
        </w:rPr>
        <w:br/>
      </w:r>
    </w:p>
    <w:p w14:paraId="7BF6CDF6" w14:textId="77777777" w:rsidR="00687785" w:rsidRPr="009C69FE" w:rsidRDefault="00687785" w:rsidP="00687785">
      <w:pPr>
        <w:numPr>
          <w:ilvl w:val="0"/>
          <w:numId w:val="3"/>
        </w:numPr>
        <w:spacing w:after="0"/>
        <w:rPr>
          <w:rFonts w:cs="Arial"/>
          <w:sz w:val="24"/>
          <w:szCs w:val="24"/>
        </w:rPr>
      </w:pPr>
      <w:r w:rsidRPr="009C69FE">
        <w:rPr>
          <w:rFonts w:cs="Arial"/>
          <w:sz w:val="24"/>
          <w:szCs w:val="24"/>
        </w:rPr>
        <w:t>does not deal adequately with gaps between modal regimes or where the loss i</w:t>
      </w:r>
      <w:r>
        <w:rPr>
          <w:rFonts w:cs="Arial"/>
          <w:sz w:val="24"/>
          <w:szCs w:val="24"/>
        </w:rPr>
        <w:t>s</w:t>
      </w:r>
      <w:r w:rsidRPr="009C69FE">
        <w:rPr>
          <w:rFonts w:cs="Arial"/>
          <w:sz w:val="24"/>
          <w:szCs w:val="24"/>
        </w:rPr>
        <w:t xml:space="preserve"> unlocalised.  </w:t>
      </w:r>
      <w:r w:rsidRPr="009C69FE">
        <w:rPr>
          <w:rFonts w:cs="Arial"/>
          <w:sz w:val="24"/>
          <w:szCs w:val="24"/>
        </w:rPr>
        <w:br/>
      </w:r>
    </w:p>
    <w:p w14:paraId="46484E1A" w14:textId="427CD128" w:rsidR="00687785" w:rsidRPr="009C69FE" w:rsidRDefault="00687785" w:rsidP="00687785">
      <w:pPr>
        <w:rPr>
          <w:rFonts w:cs="Arial"/>
          <w:sz w:val="24"/>
          <w:szCs w:val="24"/>
        </w:rPr>
      </w:pPr>
      <w:r w:rsidRPr="009C69FE">
        <w:rPr>
          <w:rFonts w:cs="Arial"/>
          <w:sz w:val="24"/>
          <w:szCs w:val="24"/>
        </w:rPr>
        <w:t>For this last reason it is usual for the network system to be modified so as to cover gaps and unlocalised damage (</w:t>
      </w:r>
      <w:proofErr w:type="gramStart"/>
      <w:r w:rsidRPr="009C69FE">
        <w:rPr>
          <w:rFonts w:cs="Arial"/>
          <w:sz w:val="24"/>
          <w:szCs w:val="24"/>
        </w:rPr>
        <w:t>i.e.</w:t>
      </w:r>
      <w:proofErr w:type="gramEnd"/>
      <w:r w:rsidRPr="009C69FE">
        <w:rPr>
          <w:rFonts w:cs="Arial"/>
          <w:sz w:val="24"/>
          <w:szCs w:val="24"/>
        </w:rPr>
        <w:t xml:space="preserve"> modified network system).</w:t>
      </w:r>
      <w:r w:rsidRPr="009C69FE">
        <w:rPr>
          <w:rFonts w:cs="Arial"/>
          <w:sz w:val="24"/>
          <w:szCs w:val="24"/>
        </w:rPr>
        <w:br/>
      </w:r>
      <w:r w:rsidRPr="009C69FE">
        <w:rPr>
          <w:rFonts w:cs="Arial"/>
          <w:sz w:val="24"/>
          <w:szCs w:val="24"/>
        </w:rPr>
        <w:br/>
      </w:r>
      <w:r w:rsidRPr="009C69FE">
        <w:rPr>
          <w:rFonts w:cs="Arial"/>
          <w:b/>
          <w:sz w:val="24"/>
          <w:szCs w:val="24"/>
        </w:rPr>
        <w:t>ii) Uniform system</w:t>
      </w:r>
      <w:r w:rsidR="002E1F0F">
        <w:rPr>
          <w:rFonts w:cs="Arial"/>
          <w:b/>
          <w:sz w:val="24"/>
          <w:szCs w:val="24"/>
        </w:rPr>
        <w:t xml:space="preserve"> – </w:t>
      </w:r>
      <w:r w:rsidR="002E1F0F">
        <w:rPr>
          <w:rFonts w:cs="Arial"/>
          <w:bCs/>
          <w:sz w:val="24"/>
          <w:szCs w:val="24"/>
        </w:rPr>
        <w:t xml:space="preserve">applies the same </w:t>
      </w:r>
      <w:r w:rsidR="00947A22">
        <w:rPr>
          <w:rFonts w:cs="Arial"/>
          <w:bCs/>
          <w:sz w:val="24"/>
          <w:szCs w:val="24"/>
        </w:rPr>
        <w:t>rules regardless of the modes of transport employed</w:t>
      </w:r>
      <w:r w:rsidR="00AC333C">
        <w:rPr>
          <w:rFonts w:cs="Arial"/>
          <w:bCs/>
          <w:sz w:val="24"/>
          <w:szCs w:val="24"/>
        </w:rPr>
        <w:t>.</w:t>
      </w:r>
      <w:r w:rsidRPr="009C69FE">
        <w:rPr>
          <w:rFonts w:cs="Arial"/>
          <w:b/>
          <w:sz w:val="24"/>
          <w:szCs w:val="24"/>
        </w:rPr>
        <w:br/>
      </w:r>
      <w:r w:rsidRPr="009C69FE">
        <w:rPr>
          <w:rFonts w:cs="Arial"/>
          <w:b/>
          <w:sz w:val="24"/>
          <w:szCs w:val="24"/>
        </w:rPr>
        <w:br/>
        <w:t>a) Advantages:</w:t>
      </w:r>
    </w:p>
    <w:p w14:paraId="5EE91F79" w14:textId="77777777" w:rsidR="00687785" w:rsidRPr="009C69FE" w:rsidRDefault="00687785" w:rsidP="00687785">
      <w:pPr>
        <w:numPr>
          <w:ilvl w:val="0"/>
          <w:numId w:val="4"/>
        </w:numPr>
        <w:spacing w:after="0"/>
        <w:rPr>
          <w:rFonts w:cs="Arial"/>
          <w:sz w:val="24"/>
          <w:szCs w:val="24"/>
        </w:rPr>
      </w:pPr>
      <w:r w:rsidRPr="009C69FE">
        <w:rPr>
          <w:rFonts w:cs="Arial"/>
          <w:sz w:val="24"/>
          <w:szCs w:val="24"/>
        </w:rPr>
        <w:t>provides a more predictable regime removing all the uncertainties noted above in respect of the network system.</w:t>
      </w:r>
    </w:p>
    <w:p w14:paraId="3069519B" w14:textId="77777777" w:rsidR="00687785" w:rsidRPr="009C69FE" w:rsidRDefault="00687785" w:rsidP="00687785">
      <w:pPr>
        <w:rPr>
          <w:rFonts w:cs="Arial"/>
          <w:sz w:val="24"/>
          <w:szCs w:val="24"/>
        </w:rPr>
      </w:pPr>
      <w:r w:rsidRPr="009C69FE">
        <w:rPr>
          <w:rFonts w:cs="Arial"/>
          <w:sz w:val="24"/>
          <w:szCs w:val="24"/>
        </w:rPr>
        <w:br/>
      </w:r>
      <w:r w:rsidRPr="009C69FE">
        <w:rPr>
          <w:rFonts w:cs="Arial"/>
          <w:b/>
          <w:sz w:val="24"/>
          <w:szCs w:val="24"/>
        </w:rPr>
        <w:t>b) Disadvantages:</w:t>
      </w:r>
    </w:p>
    <w:p w14:paraId="536C6952" w14:textId="77777777" w:rsidR="00687785" w:rsidRPr="009C69FE" w:rsidRDefault="00687785" w:rsidP="00687785">
      <w:pPr>
        <w:numPr>
          <w:ilvl w:val="0"/>
          <w:numId w:val="4"/>
        </w:numPr>
        <w:spacing w:after="0"/>
        <w:rPr>
          <w:rFonts w:cs="Arial"/>
          <w:sz w:val="24"/>
          <w:szCs w:val="24"/>
        </w:rPr>
      </w:pPr>
      <w:r w:rsidRPr="009C69FE">
        <w:rPr>
          <w:rFonts w:cs="Arial"/>
          <w:sz w:val="24"/>
          <w:szCs w:val="24"/>
        </w:rPr>
        <w:t>may remove features of the modal rules that may be thought desirable to operators of that mode.</w:t>
      </w:r>
      <w:r w:rsidRPr="009C69FE">
        <w:rPr>
          <w:rFonts w:cs="Arial"/>
          <w:sz w:val="24"/>
          <w:szCs w:val="24"/>
        </w:rPr>
        <w:br/>
      </w:r>
    </w:p>
    <w:p w14:paraId="0111499B" w14:textId="77777777" w:rsidR="00687785" w:rsidRPr="009C69FE" w:rsidRDefault="00687785" w:rsidP="00687785">
      <w:pPr>
        <w:numPr>
          <w:ilvl w:val="0"/>
          <w:numId w:val="4"/>
        </w:numPr>
        <w:spacing w:after="0"/>
        <w:rPr>
          <w:rFonts w:cs="Arial"/>
          <w:sz w:val="24"/>
          <w:szCs w:val="24"/>
        </w:rPr>
      </w:pPr>
      <w:r w:rsidRPr="009C69FE">
        <w:rPr>
          <w:rFonts w:cs="Arial"/>
          <w:sz w:val="24"/>
          <w:szCs w:val="24"/>
        </w:rPr>
        <w:t>does not deal with the problem of conflicts with modal rules.</w:t>
      </w:r>
      <w:r w:rsidRPr="009C69FE">
        <w:rPr>
          <w:rFonts w:cs="Arial"/>
          <w:sz w:val="24"/>
          <w:szCs w:val="24"/>
        </w:rPr>
        <w:br/>
      </w:r>
    </w:p>
    <w:p w14:paraId="0F41787B" w14:textId="77777777" w:rsidR="00687785" w:rsidRPr="009C69FE" w:rsidRDefault="00687785" w:rsidP="00687785">
      <w:pPr>
        <w:numPr>
          <w:ilvl w:val="0"/>
          <w:numId w:val="4"/>
        </w:numPr>
        <w:spacing w:after="0"/>
        <w:rPr>
          <w:rFonts w:cs="Arial"/>
          <w:sz w:val="24"/>
          <w:szCs w:val="24"/>
        </w:rPr>
      </w:pPr>
      <w:r w:rsidRPr="009C69FE">
        <w:rPr>
          <w:rFonts w:cs="Arial"/>
          <w:sz w:val="24"/>
          <w:szCs w:val="24"/>
        </w:rPr>
        <w:t>could disadvantage the carrier’s recourse position.</w:t>
      </w:r>
      <w:r w:rsidRPr="009C69FE">
        <w:rPr>
          <w:rFonts w:cs="Arial"/>
          <w:sz w:val="24"/>
          <w:szCs w:val="24"/>
        </w:rPr>
        <w:br/>
      </w:r>
    </w:p>
    <w:p w14:paraId="5DB7D0DD" w14:textId="77777777" w:rsidR="00687785" w:rsidRPr="009C69FE" w:rsidRDefault="00687785" w:rsidP="00687785">
      <w:pPr>
        <w:numPr>
          <w:ilvl w:val="0"/>
          <w:numId w:val="4"/>
        </w:numPr>
        <w:spacing w:after="0"/>
        <w:rPr>
          <w:rFonts w:cs="Arial"/>
          <w:sz w:val="24"/>
          <w:szCs w:val="24"/>
        </w:rPr>
      </w:pPr>
      <w:r w:rsidRPr="009C69FE">
        <w:rPr>
          <w:rFonts w:cs="Arial"/>
          <w:sz w:val="24"/>
          <w:szCs w:val="24"/>
        </w:rPr>
        <w:lastRenderedPageBreak/>
        <w:t>could create a competitive imbalance between multimodal and modal operators as well as be an inducement to forum shopping so long as the modal rules continue in existence.</w:t>
      </w:r>
    </w:p>
    <w:p w14:paraId="6FD48CE1" w14:textId="77777777" w:rsidR="00687785" w:rsidRDefault="00687785" w:rsidP="00687785">
      <w:pPr>
        <w:rPr>
          <w:rFonts w:cs="Arial"/>
          <w:sz w:val="24"/>
          <w:szCs w:val="24"/>
        </w:rPr>
      </w:pPr>
      <w:r w:rsidRPr="009C69FE">
        <w:rPr>
          <w:rFonts w:cs="Arial"/>
          <w:sz w:val="24"/>
          <w:szCs w:val="24"/>
        </w:rPr>
        <w:br/>
        <w:t>As with the network system a uniform system may need some modifications to deal with at least some of its drawbacks (</w:t>
      </w:r>
      <w:proofErr w:type="gramStart"/>
      <w:r w:rsidRPr="009C69FE">
        <w:rPr>
          <w:rFonts w:cs="Arial"/>
          <w:sz w:val="24"/>
          <w:szCs w:val="24"/>
        </w:rPr>
        <w:t>i.e.</w:t>
      </w:r>
      <w:proofErr w:type="gramEnd"/>
      <w:r w:rsidRPr="009C69FE">
        <w:rPr>
          <w:rFonts w:cs="Arial"/>
          <w:sz w:val="24"/>
          <w:szCs w:val="24"/>
        </w:rPr>
        <w:t xml:space="preserve"> modified uniform system).</w:t>
      </w:r>
    </w:p>
    <w:p w14:paraId="7372CD06" w14:textId="3BAF05EE" w:rsidR="00600D02" w:rsidRDefault="00600D02" w:rsidP="00687785">
      <w:pPr>
        <w:rPr>
          <w:rFonts w:cs="Arial"/>
          <w:b/>
          <w:bCs/>
          <w:sz w:val="24"/>
          <w:szCs w:val="24"/>
        </w:rPr>
      </w:pPr>
      <w:r w:rsidRPr="00807D0B">
        <w:rPr>
          <w:rFonts w:cs="Arial"/>
          <w:b/>
          <w:bCs/>
          <w:sz w:val="24"/>
          <w:szCs w:val="24"/>
        </w:rPr>
        <w:t>4.4.4</w:t>
      </w:r>
      <w:r w:rsidR="00807D0B" w:rsidRPr="00807D0B">
        <w:rPr>
          <w:rFonts w:cs="Arial"/>
          <w:b/>
          <w:bCs/>
          <w:sz w:val="24"/>
          <w:szCs w:val="24"/>
        </w:rPr>
        <w:t xml:space="preserve"> Multimodal transport documents</w:t>
      </w:r>
    </w:p>
    <w:p w14:paraId="7BCE4F44" w14:textId="7A095699" w:rsidR="00807D0B" w:rsidRPr="00807D0B" w:rsidRDefault="00EB23AD" w:rsidP="00687785">
      <w:pPr>
        <w:rPr>
          <w:rFonts w:cs="Arial"/>
          <w:sz w:val="24"/>
          <w:szCs w:val="24"/>
        </w:rPr>
      </w:pPr>
      <w:r w:rsidRPr="009C69FE">
        <w:rPr>
          <w:rFonts w:cs="Arial"/>
          <w:sz w:val="24"/>
          <w:szCs w:val="24"/>
        </w:rPr>
        <w:t xml:space="preserve">Doubts have long persisted as to the legal effect of multimodal transport documents </w:t>
      </w:r>
      <w:r w:rsidR="00D56160">
        <w:rPr>
          <w:rFonts w:cs="Arial"/>
          <w:sz w:val="24"/>
          <w:szCs w:val="24"/>
        </w:rPr>
        <w:t xml:space="preserve">(in </w:t>
      </w:r>
      <w:r w:rsidR="002B1B58">
        <w:rPr>
          <w:rFonts w:cs="Arial"/>
          <w:sz w:val="24"/>
          <w:szCs w:val="24"/>
        </w:rPr>
        <w:t>transferable</w:t>
      </w:r>
      <w:r w:rsidR="00D56160">
        <w:rPr>
          <w:rFonts w:cs="Arial"/>
          <w:sz w:val="24"/>
          <w:szCs w:val="24"/>
        </w:rPr>
        <w:t xml:space="preserve"> form)</w:t>
      </w:r>
      <w:r w:rsidR="002B1B58">
        <w:rPr>
          <w:rFonts w:cs="Arial"/>
          <w:sz w:val="24"/>
          <w:szCs w:val="24"/>
        </w:rPr>
        <w:t xml:space="preserve"> </w:t>
      </w:r>
      <w:r w:rsidRPr="009C69FE">
        <w:rPr>
          <w:rFonts w:cs="Arial"/>
          <w:sz w:val="24"/>
          <w:szCs w:val="24"/>
        </w:rPr>
        <w:t>in terms of their effectiveness in transferring property rights, the contract of carriage (</w:t>
      </w:r>
      <w:proofErr w:type="gramStart"/>
      <w:r w:rsidRPr="009C69FE">
        <w:rPr>
          <w:rFonts w:cs="Arial"/>
          <w:sz w:val="24"/>
          <w:szCs w:val="24"/>
        </w:rPr>
        <w:t>e.g.</w:t>
      </w:r>
      <w:proofErr w:type="gramEnd"/>
      <w:r w:rsidRPr="009C69FE">
        <w:rPr>
          <w:rFonts w:cs="Arial"/>
          <w:sz w:val="24"/>
          <w:szCs w:val="24"/>
        </w:rPr>
        <w:t xml:space="preserve"> under COGSA 1992) and whether they attract application of the Hague Rules.  The continued use of documents called bill</w:t>
      </w:r>
      <w:r w:rsidR="002B1B58">
        <w:rPr>
          <w:rFonts w:cs="Arial"/>
          <w:sz w:val="24"/>
          <w:szCs w:val="24"/>
        </w:rPr>
        <w:t>s</w:t>
      </w:r>
      <w:r w:rsidRPr="009C69FE">
        <w:rPr>
          <w:rFonts w:cs="Arial"/>
          <w:sz w:val="24"/>
          <w:szCs w:val="24"/>
        </w:rPr>
        <w:t xml:space="preserve"> of lading is probably to encourage recognition and no doubt there would be no difficulty with a dual bill of lading issued by a shipowner for </w:t>
      </w:r>
      <w:proofErr w:type="gramStart"/>
      <w:r w:rsidRPr="009C69FE">
        <w:rPr>
          <w:rFonts w:cs="Arial"/>
          <w:sz w:val="24"/>
          <w:szCs w:val="24"/>
        </w:rPr>
        <w:t>port to port</w:t>
      </w:r>
      <w:proofErr w:type="gramEnd"/>
      <w:r w:rsidRPr="009C69FE">
        <w:rPr>
          <w:rFonts w:cs="Arial"/>
          <w:sz w:val="24"/>
          <w:szCs w:val="24"/>
        </w:rPr>
        <w:t xml:space="preserve"> carriage and also if it was for combined transport but marked with a note of on board shipment.  In </w:t>
      </w:r>
      <w:r w:rsidRPr="0003728B">
        <w:rPr>
          <w:rFonts w:cs="Arial"/>
          <w:b/>
          <w:sz w:val="24"/>
          <w:szCs w:val="24"/>
        </w:rPr>
        <w:t>Mayhew Foods</w:t>
      </w:r>
      <w:r w:rsidRPr="009C69FE">
        <w:rPr>
          <w:rFonts w:cs="Arial"/>
          <w:sz w:val="24"/>
          <w:szCs w:val="24"/>
        </w:rPr>
        <w:t xml:space="preserve"> (see above</w:t>
      </w:r>
      <w:r w:rsidR="002B1B58">
        <w:rPr>
          <w:rFonts w:cs="Arial"/>
          <w:sz w:val="24"/>
          <w:szCs w:val="24"/>
        </w:rPr>
        <w:t>, para. 2.6</w:t>
      </w:r>
      <w:r w:rsidRPr="009C69FE">
        <w:rPr>
          <w:rFonts w:cs="Arial"/>
          <w:sz w:val="24"/>
          <w:szCs w:val="24"/>
        </w:rPr>
        <w:t xml:space="preserve">) the Hague-Visby Rules applied from the original shipment from Shoreham under a combined transport bill. The bill of lading was issued after shipment on the second ship at Le </w:t>
      </w:r>
      <w:proofErr w:type="gramStart"/>
      <w:r w:rsidRPr="009C69FE">
        <w:rPr>
          <w:rFonts w:cs="Arial"/>
          <w:sz w:val="24"/>
          <w:szCs w:val="24"/>
        </w:rPr>
        <w:t>Havre</w:t>
      </w:r>
      <w:proofErr w:type="gramEnd"/>
      <w:r w:rsidRPr="009C69FE">
        <w:rPr>
          <w:rFonts w:cs="Arial"/>
          <w:sz w:val="24"/>
          <w:szCs w:val="24"/>
        </w:rPr>
        <w:t xml:space="preserve"> but this did not prevent the</w:t>
      </w:r>
      <w:r>
        <w:rPr>
          <w:rFonts w:cs="Arial"/>
          <w:sz w:val="24"/>
          <w:szCs w:val="24"/>
        </w:rPr>
        <w:t xml:space="preserve"> Rules applying from Shoreham. </w:t>
      </w:r>
      <w:r w:rsidRPr="009C69FE">
        <w:rPr>
          <w:rFonts w:cs="Arial"/>
          <w:sz w:val="24"/>
          <w:szCs w:val="24"/>
        </w:rPr>
        <w:t xml:space="preserve"> More difficulty might be encountered by a document issued by another type of operator and possibly also a document referring to itself as a multimodal transport document (MTD) rather than a bill of lading.  In </w:t>
      </w:r>
      <w:r w:rsidRPr="009C69FE">
        <w:rPr>
          <w:rFonts w:cs="Arial"/>
          <w:b/>
          <w:sz w:val="24"/>
          <w:szCs w:val="24"/>
        </w:rPr>
        <w:t>Bhatia Shipping</w:t>
      </w:r>
      <w:r>
        <w:rPr>
          <w:rFonts w:cs="Arial"/>
          <w:b/>
          <w:sz w:val="24"/>
          <w:szCs w:val="24"/>
        </w:rPr>
        <w:t xml:space="preserve"> </w:t>
      </w:r>
      <w:r w:rsidRPr="009C69FE">
        <w:rPr>
          <w:rFonts w:cs="Arial"/>
          <w:b/>
          <w:sz w:val="24"/>
          <w:szCs w:val="24"/>
        </w:rPr>
        <w:t xml:space="preserve">and Agencies PVT Ltd v </w:t>
      </w:r>
      <w:proofErr w:type="spellStart"/>
      <w:r w:rsidRPr="009C69FE">
        <w:rPr>
          <w:rFonts w:cs="Arial"/>
          <w:b/>
          <w:sz w:val="24"/>
          <w:szCs w:val="24"/>
        </w:rPr>
        <w:t>Alcobex</w:t>
      </w:r>
      <w:proofErr w:type="spellEnd"/>
      <w:r w:rsidRPr="009C69FE">
        <w:rPr>
          <w:rFonts w:cs="Arial"/>
          <w:b/>
          <w:sz w:val="24"/>
          <w:szCs w:val="24"/>
        </w:rPr>
        <w:t xml:space="preserve"> Metals Ltd</w:t>
      </w:r>
      <w:r w:rsidRPr="009C69FE">
        <w:rPr>
          <w:rFonts w:cs="Arial"/>
          <w:sz w:val="24"/>
          <w:szCs w:val="24"/>
        </w:rPr>
        <w:t xml:space="preserve"> [2004] EWHC 2323 (Comm), [2005] 2 Lloyd’s Rep. 336, a multimodal transport document was issued by an operator to the customer for carriage from India to the UK.  Delivery to the receiver was to be against this document.  The operator obtained a bill of lading from the shipowner intending that on discharge </w:t>
      </w:r>
      <w:r>
        <w:rPr>
          <w:rFonts w:cs="Arial"/>
          <w:sz w:val="24"/>
          <w:szCs w:val="24"/>
        </w:rPr>
        <w:t>the goods</w:t>
      </w:r>
      <w:r w:rsidRPr="009C69FE">
        <w:rPr>
          <w:rFonts w:cs="Arial"/>
          <w:sz w:val="24"/>
          <w:szCs w:val="24"/>
        </w:rPr>
        <w:t xml:space="preserve"> would be delivered to its agent.  Somehow the receiver managed to obtain the goods with the authority of the ship’s agent without production of the MTD – it is not clear what happened to the shipowner’s bill of lading.  The customer had not been paid and sued the operator who successfully obtained a declaration of non-liability.  This was because the 9-month time limit in the MTD had expired.  A clause in the MTD applied the law of the country where the loss or damage occurred (a floating proper law clause).  As this was England the court had jurisdiction (as well as under the jurisdiction clause in the MTD).  </w:t>
      </w:r>
      <w:proofErr w:type="spellStart"/>
      <w:r>
        <w:rPr>
          <w:rFonts w:cs="Arial"/>
          <w:sz w:val="24"/>
          <w:szCs w:val="24"/>
        </w:rPr>
        <w:t>Flaux</w:t>
      </w:r>
      <w:proofErr w:type="spellEnd"/>
      <w:r w:rsidRPr="009C69FE">
        <w:rPr>
          <w:rFonts w:cs="Arial"/>
          <w:sz w:val="24"/>
          <w:szCs w:val="24"/>
        </w:rPr>
        <w:t xml:space="preserve"> J said that since the document was an MTD the Hague or Hague-Visby Rules did not apply. More to the point perhaps is the fact that India is not a contracting state to either</w:t>
      </w:r>
      <w:r>
        <w:rPr>
          <w:rFonts w:cs="Arial"/>
          <w:sz w:val="24"/>
          <w:szCs w:val="24"/>
        </w:rPr>
        <w:t xml:space="preserve"> the Hague or Hague-Visby Rules</w:t>
      </w:r>
      <w:r w:rsidRPr="009C69FE">
        <w:rPr>
          <w:rFonts w:cs="Arial"/>
          <w:sz w:val="24"/>
          <w:szCs w:val="24"/>
        </w:rPr>
        <w:t>.  It applies the Hague Rules under its legislation</w:t>
      </w:r>
      <w:r>
        <w:rPr>
          <w:rFonts w:cs="Arial"/>
          <w:sz w:val="24"/>
          <w:szCs w:val="24"/>
        </w:rPr>
        <w:t>,</w:t>
      </w:r>
      <w:r w:rsidRPr="009C69FE">
        <w:rPr>
          <w:rFonts w:cs="Arial"/>
          <w:sz w:val="24"/>
          <w:szCs w:val="24"/>
        </w:rPr>
        <w:t xml:space="preserve"> but this would not be relevant since English law only applies the Hague-Visby Rules.  The case illustrates both the difficulty of having </w:t>
      </w:r>
      <w:r>
        <w:rPr>
          <w:rFonts w:cs="Arial"/>
          <w:sz w:val="24"/>
          <w:szCs w:val="24"/>
        </w:rPr>
        <w:t xml:space="preserve">different </w:t>
      </w:r>
      <w:r w:rsidRPr="009C69FE">
        <w:rPr>
          <w:rFonts w:cs="Arial"/>
          <w:sz w:val="24"/>
          <w:szCs w:val="24"/>
        </w:rPr>
        <w:t>controlling documents at different levels of a multimodal operation and the uncertainty of the status of an MTD.</w:t>
      </w:r>
    </w:p>
    <w:p w14:paraId="4823AE8B" w14:textId="67C39CBC" w:rsidR="004C6064" w:rsidRPr="00114C85" w:rsidRDefault="00161B1A" w:rsidP="004C6064">
      <w:pPr>
        <w:rPr>
          <w:rFonts w:cstheme="minorHAnsi"/>
          <w:sz w:val="28"/>
          <w:szCs w:val="28"/>
        </w:rPr>
      </w:pPr>
      <w:r w:rsidRPr="00114C85">
        <w:rPr>
          <w:rFonts w:cstheme="minorHAnsi"/>
          <w:sz w:val="28"/>
          <w:szCs w:val="28"/>
        </w:rPr>
        <w:br/>
      </w:r>
      <w:r w:rsidR="00EB23AD" w:rsidRPr="00114C85">
        <w:rPr>
          <w:rFonts w:cs="Arial"/>
          <w:b/>
          <w:sz w:val="28"/>
          <w:szCs w:val="28"/>
        </w:rPr>
        <w:t>5</w:t>
      </w:r>
      <w:r w:rsidR="00832BFB" w:rsidRPr="00114C85">
        <w:rPr>
          <w:rFonts w:cs="Arial"/>
          <w:b/>
          <w:sz w:val="28"/>
          <w:szCs w:val="28"/>
        </w:rPr>
        <w:t xml:space="preserve"> </w:t>
      </w:r>
      <w:r w:rsidR="001A75CD" w:rsidRPr="00114C85">
        <w:rPr>
          <w:rFonts w:cs="Arial"/>
          <w:b/>
          <w:sz w:val="28"/>
          <w:szCs w:val="28"/>
        </w:rPr>
        <w:t xml:space="preserve">Multimodal transport in general: </w:t>
      </w:r>
      <w:r w:rsidR="004C6064" w:rsidRPr="00114C85">
        <w:rPr>
          <w:rFonts w:cs="Arial"/>
          <w:b/>
          <w:sz w:val="28"/>
          <w:szCs w:val="28"/>
        </w:rPr>
        <w:t>Contractual and International Solutions.</w:t>
      </w:r>
    </w:p>
    <w:p w14:paraId="1BEBF6D8" w14:textId="25CF07C1" w:rsidR="004C6064" w:rsidRPr="009C69FE" w:rsidRDefault="0047765A" w:rsidP="004C6064">
      <w:pPr>
        <w:rPr>
          <w:rFonts w:cs="Arial"/>
          <w:sz w:val="24"/>
          <w:szCs w:val="24"/>
        </w:rPr>
      </w:pPr>
      <w:r>
        <w:rPr>
          <w:rFonts w:cs="Arial"/>
          <w:b/>
          <w:sz w:val="24"/>
          <w:szCs w:val="24"/>
        </w:rPr>
        <w:t>5.</w:t>
      </w:r>
      <w:r w:rsidR="00E12137" w:rsidRPr="009C69FE">
        <w:rPr>
          <w:rFonts w:cs="Arial"/>
          <w:b/>
          <w:sz w:val="24"/>
          <w:szCs w:val="24"/>
        </w:rPr>
        <w:t>1</w:t>
      </w:r>
      <w:r w:rsidR="00E12137" w:rsidRPr="009C69FE">
        <w:rPr>
          <w:rFonts w:cs="Arial"/>
          <w:sz w:val="24"/>
          <w:szCs w:val="24"/>
        </w:rPr>
        <w:t xml:space="preserve"> </w:t>
      </w:r>
      <w:r w:rsidR="004C6064" w:rsidRPr="009C69FE">
        <w:rPr>
          <w:rFonts w:cs="Arial"/>
          <w:sz w:val="24"/>
          <w:szCs w:val="24"/>
        </w:rPr>
        <w:t>Over the years a variety of contract forms have developed to cover combined forms of transport.  These have had an inter-linked relationship with international efforts to harmonise the relevant rules.</w:t>
      </w:r>
    </w:p>
    <w:p w14:paraId="466988F8" w14:textId="0691829D" w:rsidR="004C6064" w:rsidRPr="009C69FE" w:rsidRDefault="0047765A" w:rsidP="004C6064">
      <w:pPr>
        <w:rPr>
          <w:rFonts w:cs="Arial"/>
          <w:sz w:val="24"/>
          <w:szCs w:val="24"/>
        </w:rPr>
      </w:pPr>
      <w:r>
        <w:rPr>
          <w:rFonts w:cs="Arial"/>
          <w:b/>
          <w:sz w:val="24"/>
          <w:szCs w:val="24"/>
        </w:rPr>
        <w:t>5.</w:t>
      </w:r>
      <w:r w:rsidR="00E12137" w:rsidRPr="009C69FE">
        <w:rPr>
          <w:rFonts w:cs="Arial"/>
          <w:b/>
          <w:sz w:val="24"/>
          <w:szCs w:val="24"/>
        </w:rPr>
        <w:t>2</w:t>
      </w:r>
      <w:r w:rsidR="00832BFB" w:rsidRPr="009C69FE">
        <w:rPr>
          <w:rFonts w:cs="Arial"/>
          <w:b/>
          <w:sz w:val="24"/>
          <w:szCs w:val="24"/>
        </w:rPr>
        <w:t xml:space="preserve"> </w:t>
      </w:r>
      <w:r w:rsidR="004C6064" w:rsidRPr="009C69FE">
        <w:rPr>
          <w:rFonts w:cs="Arial"/>
          <w:b/>
          <w:sz w:val="24"/>
          <w:szCs w:val="24"/>
        </w:rPr>
        <w:t>A Brief History:</w:t>
      </w:r>
      <w:r w:rsidR="0076691C" w:rsidRPr="009C69FE">
        <w:rPr>
          <w:rFonts w:cs="Arial"/>
          <w:sz w:val="24"/>
          <w:szCs w:val="24"/>
        </w:rPr>
        <w:br/>
      </w:r>
      <w:r w:rsidR="004C6064" w:rsidRPr="009C69FE">
        <w:rPr>
          <w:rFonts w:cs="Arial"/>
          <w:sz w:val="24"/>
          <w:szCs w:val="24"/>
        </w:rPr>
        <w:t xml:space="preserve">Early forms of contract would seek to adapt familiar conditions to the new situation posed </w:t>
      </w:r>
      <w:r w:rsidR="004C6064" w:rsidRPr="009C69FE">
        <w:rPr>
          <w:rFonts w:cs="Arial"/>
          <w:sz w:val="24"/>
          <w:szCs w:val="24"/>
        </w:rPr>
        <w:lastRenderedPageBreak/>
        <w:t>especially by container transport and the fact that carriage of containers commonly required supplementary carriage.  As noted above, early forms of contract tended to involve segmented liability</w:t>
      </w:r>
      <w:r w:rsidR="00777193">
        <w:rPr>
          <w:rFonts w:cs="Arial"/>
          <w:sz w:val="24"/>
          <w:szCs w:val="24"/>
        </w:rPr>
        <w:t>,</w:t>
      </w:r>
      <w:r w:rsidR="004C6064" w:rsidRPr="009C69FE">
        <w:rPr>
          <w:rFonts w:cs="Arial"/>
          <w:sz w:val="24"/>
          <w:szCs w:val="24"/>
        </w:rPr>
        <w:t xml:space="preserve"> but many carriers soon accepted the need to provide through cover to their customers.  They would try to avoid a clash with compulsory national or international rules where part of the carriage fell within their scope.  This would both help to reduce the possibility of their contracts being struck down as void and help to maintain their recourse position with any sub-contractors used to perform sections of the transit.  Where a compulsory rule did not apply it was common to apply the conditions used by the party performing the section.  Where it was unknown at what point loss or damage had occurred the operator would seek to apply those rules with which they were most familiar </w:t>
      </w:r>
      <w:proofErr w:type="gramStart"/>
      <w:r w:rsidR="004C6064" w:rsidRPr="009C69FE">
        <w:rPr>
          <w:rFonts w:cs="Arial"/>
          <w:sz w:val="24"/>
          <w:szCs w:val="24"/>
        </w:rPr>
        <w:t>e.g.</w:t>
      </w:r>
      <w:proofErr w:type="gramEnd"/>
      <w:r w:rsidR="004C6064" w:rsidRPr="009C69FE">
        <w:rPr>
          <w:rFonts w:cs="Arial"/>
          <w:sz w:val="24"/>
          <w:szCs w:val="24"/>
        </w:rPr>
        <w:t xml:space="preserve"> shipowners would include a provision that sea carriage rules would apply to unlocalised damage.  Because of the predominance of carriage by sea in many contracts there was a strong tendency to adopt a bill of lading or sea waybill format. </w:t>
      </w:r>
      <w:r w:rsidR="004C6064" w:rsidRPr="009C69FE">
        <w:rPr>
          <w:rFonts w:cs="Arial"/>
          <w:sz w:val="24"/>
          <w:szCs w:val="24"/>
        </w:rPr>
        <w:br/>
      </w:r>
      <w:r w:rsidR="004C6064" w:rsidRPr="009C69FE">
        <w:rPr>
          <w:rFonts w:cs="Arial"/>
          <w:sz w:val="24"/>
          <w:szCs w:val="24"/>
        </w:rPr>
        <w:br/>
        <w:t xml:space="preserve">At this </w:t>
      </w:r>
      <w:proofErr w:type="gramStart"/>
      <w:r w:rsidR="004C6064" w:rsidRPr="009C69FE">
        <w:rPr>
          <w:rFonts w:cs="Arial"/>
          <w:sz w:val="24"/>
          <w:szCs w:val="24"/>
        </w:rPr>
        <w:t>early stage</w:t>
      </w:r>
      <w:proofErr w:type="gramEnd"/>
      <w:r w:rsidR="004C6064" w:rsidRPr="009C69FE">
        <w:rPr>
          <w:rFonts w:cs="Arial"/>
          <w:sz w:val="24"/>
          <w:szCs w:val="24"/>
        </w:rPr>
        <w:t xml:space="preserve"> international efforts had begun to establish harmonised international rules.  The </w:t>
      </w:r>
      <w:proofErr w:type="spellStart"/>
      <w:r w:rsidR="004C6064" w:rsidRPr="009C69FE">
        <w:rPr>
          <w:rFonts w:cs="Arial"/>
          <w:sz w:val="24"/>
          <w:szCs w:val="24"/>
        </w:rPr>
        <w:t>Comité</w:t>
      </w:r>
      <w:proofErr w:type="spellEnd"/>
      <w:r w:rsidR="004C6064" w:rsidRPr="009C69FE">
        <w:rPr>
          <w:rFonts w:cs="Arial"/>
          <w:sz w:val="24"/>
          <w:szCs w:val="24"/>
        </w:rPr>
        <w:t xml:space="preserve"> Maritime International (CMI) and the Institute of Private Law (</w:t>
      </w:r>
      <w:proofErr w:type="spellStart"/>
      <w:r w:rsidR="004C6064" w:rsidRPr="009C69FE">
        <w:rPr>
          <w:rFonts w:cs="Arial"/>
          <w:sz w:val="24"/>
          <w:szCs w:val="24"/>
        </w:rPr>
        <w:t>Unidroit</w:t>
      </w:r>
      <w:proofErr w:type="spellEnd"/>
      <w:r w:rsidR="004C6064" w:rsidRPr="009C69FE">
        <w:rPr>
          <w:rFonts w:cs="Arial"/>
          <w:sz w:val="24"/>
          <w:szCs w:val="24"/>
        </w:rPr>
        <w:t xml:space="preserve">) began work in the 1960’s.  This was eventually taken over by intergovernmental bodies and </w:t>
      </w:r>
      <w:proofErr w:type="gramStart"/>
      <w:r w:rsidR="004C6064" w:rsidRPr="009C69FE">
        <w:rPr>
          <w:rFonts w:cs="Arial"/>
          <w:sz w:val="24"/>
          <w:szCs w:val="24"/>
        </w:rPr>
        <w:t>in the course of</w:t>
      </w:r>
      <w:proofErr w:type="gramEnd"/>
      <w:r w:rsidR="004C6064" w:rsidRPr="009C69FE">
        <w:rPr>
          <w:rFonts w:cs="Arial"/>
          <w:sz w:val="24"/>
          <w:szCs w:val="24"/>
        </w:rPr>
        <w:t xml:space="preserve"> joint ECE/IMCO meetings a </w:t>
      </w:r>
      <w:r w:rsidR="004C6064" w:rsidRPr="00075599">
        <w:rPr>
          <w:rFonts w:cs="Arial"/>
          <w:b/>
          <w:bCs/>
          <w:sz w:val="24"/>
          <w:szCs w:val="24"/>
        </w:rPr>
        <w:t>draft TCM convention</w:t>
      </w:r>
      <w:r w:rsidR="004C6064" w:rsidRPr="009C69FE">
        <w:rPr>
          <w:rFonts w:cs="Arial"/>
          <w:sz w:val="24"/>
          <w:szCs w:val="24"/>
        </w:rPr>
        <w:t xml:space="preserve"> was produced.  This used the concept of a combin</w:t>
      </w:r>
      <w:r w:rsidR="009A5EFA" w:rsidRPr="009C69FE">
        <w:rPr>
          <w:rFonts w:cs="Arial"/>
          <w:sz w:val="24"/>
          <w:szCs w:val="24"/>
        </w:rPr>
        <w:t>ed transport operator to encourage the idea of moving away from</w:t>
      </w:r>
      <w:r w:rsidR="004C6064" w:rsidRPr="009C69FE">
        <w:rPr>
          <w:rFonts w:cs="Arial"/>
          <w:sz w:val="24"/>
          <w:szCs w:val="24"/>
        </w:rPr>
        <w:t xml:space="preserve"> identification with </w:t>
      </w:r>
      <w:proofErr w:type="gramStart"/>
      <w:r w:rsidR="004C6064" w:rsidRPr="009C69FE">
        <w:rPr>
          <w:rFonts w:cs="Arial"/>
          <w:sz w:val="24"/>
          <w:szCs w:val="24"/>
        </w:rPr>
        <w:t>particular modes</w:t>
      </w:r>
      <w:proofErr w:type="gramEnd"/>
      <w:r w:rsidR="004C6064" w:rsidRPr="009C69FE">
        <w:rPr>
          <w:rFonts w:cs="Arial"/>
          <w:sz w:val="24"/>
          <w:szCs w:val="24"/>
        </w:rPr>
        <w:t xml:space="preserve">.  The variety of conditions and the fact that sometimes they would operate severely against the interests of shippers were major concerns so that the draft rules were designed to provide a basic standard of liability which could be </w:t>
      </w:r>
      <w:r w:rsidR="008C49B0" w:rsidRPr="009C69FE">
        <w:rPr>
          <w:rFonts w:cs="Arial"/>
          <w:sz w:val="24"/>
          <w:szCs w:val="24"/>
        </w:rPr>
        <w:t xml:space="preserve">voluntarily </w:t>
      </w:r>
      <w:r w:rsidR="004C6064" w:rsidRPr="009C69FE">
        <w:rPr>
          <w:rFonts w:cs="Arial"/>
          <w:sz w:val="24"/>
          <w:szCs w:val="24"/>
        </w:rPr>
        <w:t xml:space="preserve">adopted </w:t>
      </w:r>
      <w:r w:rsidR="008C49B0" w:rsidRPr="009C69FE">
        <w:rPr>
          <w:rFonts w:cs="Arial"/>
          <w:sz w:val="24"/>
          <w:szCs w:val="24"/>
        </w:rPr>
        <w:t xml:space="preserve">by the parties </w:t>
      </w:r>
      <w:r w:rsidR="004C6064" w:rsidRPr="009C69FE">
        <w:rPr>
          <w:rFonts w:cs="Arial"/>
          <w:sz w:val="24"/>
          <w:szCs w:val="24"/>
        </w:rPr>
        <w:t xml:space="preserve">to assist the acceptability of such documents to banks </w:t>
      </w:r>
      <w:r w:rsidR="00CF247C" w:rsidRPr="009C69FE">
        <w:rPr>
          <w:rFonts w:cs="Arial"/>
          <w:sz w:val="24"/>
          <w:szCs w:val="24"/>
        </w:rPr>
        <w:t xml:space="preserve">(bankability) </w:t>
      </w:r>
      <w:r w:rsidR="004C6064" w:rsidRPr="009C69FE">
        <w:rPr>
          <w:rFonts w:cs="Arial"/>
          <w:sz w:val="24"/>
          <w:szCs w:val="24"/>
        </w:rPr>
        <w:t xml:space="preserve">and insurers.  Alternative provisions were provided for both a network and uniform approach. </w:t>
      </w:r>
      <w:r w:rsidR="008C49B0" w:rsidRPr="009C69FE">
        <w:rPr>
          <w:rFonts w:cs="Arial"/>
          <w:sz w:val="24"/>
          <w:szCs w:val="24"/>
        </w:rPr>
        <w:t xml:space="preserve"> </w:t>
      </w:r>
    </w:p>
    <w:p w14:paraId="59B87D64" w14:textId="77777777" w:rsidR="00CF247C" w:rsidRPr="009C69FE" w:rsidRDefault="004C6064" w:rsidP="004C6064">
      <w:pPr>
        <w:rPr>
          <w:rFonts w:cs="Arial"/>
          <w:sz w:val="24"/>
          <w:szCs w:val="24"/>
        </w:rPr>
      </w:pPr>
      <w:r w:rsidRPr="009C69FE">
        <w:rPr>
          <w:rFonts w:cs="Arial"/>
          <w:sz w:val="24"/>
          <w:szCs w:val="24"/>
        </w:rPr>
        <w:t>The draft was never adopted officially</w:t>
      </w:r>
      <w:r w:rsidR="004E650A" w:rsidRPr="009C69FE">
        <w:rPr>
          <w:rFonts w:cs="Arial"/>
          <w:sz w:val="24"/>
          <w:szCs w:val="24"/>
        </w:rPr>
        <w:t xml:space="preserve"> </w:t>
      </w:r>
      <w:r w:rsidRPr="009C69FE">
        <w:rPr>
          <w:rFonts w:cs="Arial"/>
          <w:sz w:val="24"/>
          <w:szCs w:val="24"/>
        </w:rPr>
        <w:t xml:space="preserve">but the network approach set out in TCM was adopted by international </w:t>
      </w:r>
      <w:r w:rsidR="009A5EFA" w:rsidRPr="009C69FE">
        <w:rPr>
          <w:rFonts w:cs="Arial"/>
          <w:sz w:val="24"/>
          <w:szCs w:val="24"/>
        </w:rPr>
        <w:t>commercial associations</w:t>
      </w:r>
      <w:r w:rsidRPr="009C69FE">
        <w:rPr>
          <w:rFonts w:cs="Arial"/>
          <w:sz w:val="24"/>
          <w:szCs w:val="24"/>
        </w:rPr>
        <w:t xml:space="preserve"> such as the ICC, BIMCO and FIATA.  </w:t>
      </w:r>
      <w:r w:rsidR="00843E2B" w:rsidRPr="009C69FE">
        <w:rPr>
          <w:rFonts w:cs="Arial"/>
          <w:sz w:val="24"/>
          <w:szCs w:val="24"/>
        </w:rPr>
        <w:t xml:space="preserve">First came the FIATA FBL 1970 and then BIMCO’s </w:t>
      </w:r>
      <w:proofErr w:type="spellStart"/>
      <w:r w:rsidR="00843E2B" w:rsidRPr="009C69FE">
        <w:rPr>
          <w:rFonts w:cs="Arial"/>
          <w:sz w:val="24"/>
          <w:szCs w:val="24"/>
        </w:rPr>
        <w:t>Combiconbill</w:t>
      </w:r>
      <w:proofErr w:type="spellEnd"/>
      <w:r w:rsidR="00843E2B" w:rsidRPr="009C69FE">
        <w:rPr>
          <w:rFonts w:cs="Arial"/>
          <w:sz w:val="24"/>
          <w:szCs w:val="24"/>
        </w:rPr>
        <w:t xml:space="preserve"> in 1971</w:t>
      </w:r>
      <w:r w:rsidR="00A377A7">
        <w:rPr>
          <w:rFonts w:cs="Arial"/>
          <w:sz w:val="24"/>
          <w:szCs w:val="24"/>
        </w:rPr>
        <w:t xml:space="preserve"> (latest 2016:</w:t>
      </w:r>
      <w:r w:rsidR="00A377A7">
        <w:rPr>
          <w:rFonts w:cs="Arial"/>
          <w:sz w:val="24"/>
          <w:szCs w:val="24"/>
        </w:rPr>
        <w:br/>
      </w:r>
      <w:hyperlink r:id="rId39" w:history="1">
        <w:r w:rsidR="00A377A7" w:rsidRPr="00041C9A">
          <w:rPr>
            <w:rStyle w:val="Hyperlink"/>
            <w:rFonts w:cs="Arial"/>
            <w:sz w:val="24"/>
            <w:szCs w:val="24"/>
          </w:rPr>
          <w:t>file:///C:/Users/user/Documents/containers%20and%20multimodal%20materials/combiconbill%202016.pdf</w:t>
        </w:r>
      </w:hyperlink>
      <w:r w:rsidR="00662FDC">
        <w:rPr>
          <w:rFonts w:cs="Arial"/>
          <w:sz w:val="24"/>
          <w:szCs w:val="24"/>
        </w:rPr>
        <w:t>)</w:t>
      </w:r>
      <w:r w:rsidR="00843E2B" w:rsidRPr="009C69FE">
        <w:rPr>
          <w:rFonts w:cs="Arial"/>
          <w:sz w:val="24"/>
          <w:szCs w:val="24"/>
        </w:rPr>
        <w:t xml:space="preserve">.  </w:t>
      </w:r>
      <w:r w:rsidRPr="009C69FE">
        <w:rPr>
          <w:rFonts w:cs="Arial"/>
          <w:sz w:val="24"/>
          <w:szCs w:val="24"/>
        </w:rPr>
        <w:t xml:space="preserve">The ICC Rules for a Combined Transport Document 1973 (amended 1975) </w:t>
      </w:r>
      <w:r w:rsidR="004E650A" w:rsidRPr="009C69FE">
        <w:rPr>
          <w:rFonts w:cs="Arial"/>
          <w:sz w:val="24"/>
          <w:szCs w:val="24"/>
        </w:rPr>
        <w:t xml:space="preserve">based on TCM </w:t>
      </w:r>
      <w:r w:rsidRPr="009C69FE">
        <w:rPr>
          <w:rFonts w:cs="Arial"/>
          <w:sz w:val="24"/>
          <w:szCs w:val="24"/>
        </w:rPr>
        <w:t>was a major development</w:t>
      </w:r>
      <w:r w:rsidR="00843E2B" w:rsidRPr="009C69FE">
        <w:rPr>
          <w:rFonts w:cs="Arial"/>
          <w:sz w:val="24"/>
          <w:szCs w:val="24"/>
        </w:rPr>
        <w:t xml:space="preserve"> and it </w:t>
      </w:r>
      <w:r w:rsidRPr="009C69FE">
        <w:rPr>
          <w:rFonts w:cs="Arial"/>
          <w:sz w:val="24"/>
          <w:szCs w:val="24"/>
        </w:rPr>
        <w:t>became common for the ICC Rules to be adopted by or adapted in combi</w:t>
      </w:r>
      <w:r w:rsidR="009A5EFA" w:rsidRPr="009C69FE">
        <w:rPr>
          <w:rFonts w:cs="Arial"/>
          <w:sz w:val="24"/>
          <w:szCs w:val="24"/>
        </w:rPr>
        <w:t>ned transport bill</w:t>
      </w:r>
      <w:r w:rsidR="00777193">
        <w:rPr>
          <w:rFonts w:cs="Arial"/>
          <w:sz w:val="24"/>
          <w:szCs w:val="24"/>
        </w:rPr>
        <w:t>s</w:t>
      </w:r>
      <w:r w:rsidR="009A5EFA" w:rsidRPr="009C69FE">
        <w:rPr>
          <w:rFonts w:cs="Arial"/>
          <w:sz w:val="24"/>
          <w:szCs w:val="24"/>
        </w:rPr>
        <w:t xml:space="preserve"> of lading.  </w:t>
      </w:r>
      <w:proofErr w:type="spellStart"/>
      <w:r w:rsidR="0076691C" w:rsidRPr="009C69FE">
        <w:rPr>
          <w:rFonts w:cs="Arial"/>
          <w:sz w:val="24"/>
          <w:szCs w:val="24"/>
        </w:rPr>
        <w:t>Bimco</w:t>
      </w:r>
      <w:proofErr w:type="spellEnd"/>
      <w:r w:rsidR="0076691C" w:rsidRPr="009C69FE">
        <w:rPr>
          <w:rFonts w:cs="Arial"/>
          <w:sz w:val="24"/>
          <w:szCs w:val="24"/>
        </w:rPr>
        <w:t xml:space="preserve"> introduced a new form - </w:t>
      </w:r>
      <w:proofErr w:type="spellStart"/>
      <w:r w:rsidR="004A6536" w:rsidRPr="009C69FE">
        <w:rPr>
          <w:rFonts w:cs="Arial"/>
          <w:sz w:val="24"/>
          <w:szCs w:val="24"/>
        </w:rPr>
        <w:t>Combidoc</w:t>
      </w:r>
      <w:proofErr w:type="spellEnd"/>
      <w:r w:rsidR="004A6536" w:rsidRPr="009C69FE">
        <w:rPr>
          <w:rFonts w:cs="Arial"/>
          <w:sz w:val="24"/>
          <w:szCs w:val="24"/>
        </w:rPr>
        <w:t xml:space="preserve"> </w:t>
      </w:r>
      <w:r w:rsidR="004E650A" w:rsidRPr="009C69FE">
        <w:rPr>
          <w:rFonts w:cs="Arial"/>
          <w:sz w:val="24"/>
          <w:szCs w:val="24"/>
        </w:rPr>
        <w:t>as a response</w:t>
      </w:r>
      <w:r w:rsidR="0003728B">
        <w:rPr>
          <w:rFonts w:cs="Arial"/>
          <w:sz w:val="24"/>
          <w:szCs w:val="24"/>
        </w:rPr>
        <w:t xml:space="preserve"> to</w:t>
      </w:r>
      <w:r w:rsidR="004E650A" w:rsidRPr="009C69FE">
        <w:rPr>
          <w:rFonts w:cs="Arial"/>
          <w:sz w:val="24"/>
          <w:szCs w:val="24"/>
        </w:rPr>
        <w:t xml:space="preserve"> the ICC Rules and expressed the form to be subject to them.  As with TCM and the ICC Rules this was a response to the effort to move documentation</w:t>
      </w:r>
      <w:r w:rsidR="00F567FC" w:rsidRPr="009C69FE">
        <w:rPr>
          <w:rFonts w:cs="Arial"/>
          <w:sz w:val="24"/>
          <w:szCs w:val="24"/>
        </w:rPr>
        <w:t xml:space="preserve"> more towards the combined transport concept</w:t>
      </w:r>
      <w:r w:rsidR="00777193">
        <w:rPr>
          <w:rFonts w:cs="Arial"/>
          <w:sz w:val="24"/>
          <w:szCs w:val="24"/>
        </w:rPr>
        <w:t>,</w:t>
      </w:r>
      <w:r w:rsidR="00F567FC" w:rsidRPr="009C69FE">
        <w:rPr>
          <w:rFonts w:cs="Arial"/>
          <w:sz w:val="24"/>
          <w:szCs w:val="24"/>
        </w:rPr>
        <w:t xml:space="preserve"> </w:t>
      </w:r>
      <w:r w:rsidR="004E650A" w:rsidRPr="009C69FE">
        <w:rPr>
          <w:rFonts w:cs="Arial"/>
          <w:sz w:val="24"/>
          <w:szCs w:val="24"/>
        </w:rPr>
        <w:t>but the terms were essentially the same</w:t>
      </w:r>
      <w:r w:rsidR="00F567FC" w:rsidRPr="009C69FE">
        <w:rPr>
          <w:rFonts w:cs="Arial"/>
          <w:sz w:val="24"/>
          <w:szCs w:val="24"/>
        </w:rPr>
        <w:t xml:space="preserve"> as </w:t>
      </w:r>
      <w:proofErr w:type="spellStart"/>
      <w:r w:rsidR="00F567FC" w:rsidRPr="009C69FE">
        <w:rPr>
          <w:rFonts w:cs="Arial"/>
          <w:sz w:val="24"/>
          <w:szCs w:val="24"/>
        </w:rPr>
        <w:t>Combiconbill</w:t>
      </w:r>
      <w:proofErr w:type="spellEnd"/>
      <w:r w:rsidR="00F567FC" w:rsidRPr="009C69FE">
        <w:rPr>
          <w:rFonts w:cs="Arial"/>
          <w:sz w:val="24"/>
          <w:szCs w:val="24"/>
        </w:rPr>
        <w:t xml:space="preserve">. </w:t>
      </w:r>
      <w:r w:rsidR="004E650A" w:rsidRPr="009C69FE">
        <w:rPr>
          <w:rFonts w:cs="Arial"/>
          <w:sz w:val="24"/>
          <w:szCs w:val="24"/>
        </w:rPr>
        <w:t xml:space="preserve"> </w:t>
      </w:r>
      <w:r w:rsidR="00F567FC" w:rsidRPr="009C69FE">
        <w:rPr>
          <w:rFonts w:cs="Arial"/>
          <w:sz w:val="24"/>
          <w:szCs w:val="24"/>
        </w:rPr>
        <w:t xml:space="preserve">Terms based on TCM were not necessarily adopted in every CT document or </w:t>
      </w:r>
      <w:proofErr w:type="gramStart"/>
      <w:r w:rsidR="00F567FC" w:rsidRPr="009C69FE">
        <w:rPr>
          <w:rFonts w:cs="Arial"/>
          <w:sz w:val="24"/>
          <w:szCs w:val="24"/>
        </w:rPr>
        <w:t>bill</w:t>
      </w:r>
      <w:proofErr w:type="gramEnd"/>
      <w:r w:rsidR="00F567FC" w:rsidRPr="009C69FE">
        <w:rPr>
          <w:rFonts w:cs="Arial"/>
          <w:sz w:val="24"/>
          <w:szCs w:val="24"/>
        </w:rPr>
        <w:t xml:space="preserve"> but they were wi</w:t>
      </w:r>
      <w:r w:rsidR="0080455C" w:rsidRPr="009C69FE">
        <w:rPr>
          <w:rFonts w:cs="Arial"/>
          <w:sz w:val="24"/>
          <w:szCs w:val="24"/>
        </w:rPr>
        <w:t>despread as a means of encouraging</w:t>
      </w:r>
      <w:r w:rsidR="00F567FC" w:rsidRPr="009C69FE">
        <w:rPr>
          <w:rFonts w:cs="Arial"/>
          <w:sz w:val="24"/>
          <w:szCs w:val="24"/>
        </w:rPr>
        <w:t xml:space="preserve"> their ‘bankability’ especially if they e</w:t>
      </w:r>
      <w:r w:rsidR="00CF247C" w:rsidRPr="009C69FE">
        <w:rPr>
          <w:rFonts w:cs="Arial"/>
          <w:sz w:val="24"/>
          <w:szCs w:val="24"/>
        </w:rPr>
        <w:t>xpressly stated they were subjec</w:t>
      </w:r>
      <w:r w:rsidR="00F567FC" w:rsidRPr="009C69FE">
        <w:rPr>
          <w:rFonts w:cs="Arial"/>
          <w:sz w:val="24"/>
          <w:szCs w:val="24"/>
        </w:rPr>
        <w:t xml:space="preserve">t to the ICC Rules.  </w:t>
      </w:r>
      <w:r w:rsidR="00CF247C" w:rsidRPr="009C69FE">
        <w:rPr>
          <w:rFonts w:cs="Arial"/>
          <w:sz w:val="24"/>
          <w:szCs w:val="24"/>
        </w:rPr>
        <w:t xml:space="preserve">The acceptability of documents based on combined transport terms was recognised in UCP 400 in 1983 which required parties to specify </w:t>
      </w:r>
      <w:r w:rsidR="0080455C" w:rsidRPr="009C69FE">
        <w:rPr>
          <w:rFonts w:cs="Arial"/>
          <w:sz w:val="24"/>
          <w:szCs w:val="24"/>
        </w:rPr>
        <w:t xml:space="preserve">a ‘marine’ bill if that was </w:t>
      </w:r>
      <w:r w:rsidR="00056A22" w:rsidRPr="009C69FE">
        <w:rPr>
          <w:rFonts w:cs="Arial"/>
          <w:sz w:val="24"/>
          <w:szCs w:val="24"/>
        </w:rPr>
        <w:t xml:space="preserve">thought to be </w:t>
      </w:r>
      <w:r w:rsidR="0080455C" w:rsidRPr="009C69FE">
        <w:rPr>
          <w:rFonts w:cs="Arial"/>
          <w:sz w:val="24"/>
          <w:szCs w:val="24"/>
        </w:rPr>
        <w:t xml:space="preserve">essential to </w:t>
      </w:r>
      <w:r w:rsidR="00CF247C" w:rsidRPr="009C69FE">
        <w:rPr>
          <w:rFonts w:cs="Arial"/>
          <w:sz w:val="24"/>
          <w:szCs w:val="24"/>
        </w:rPr>
        <w:t xml:space="preserve">the credit.  </w:t>
      </w:r>
    </w:p>
    <w:p w14:paraId="15AF435E" w14:textId="476EFCC1" w:rsidR="00AC3C4D" w:rsidRPr="009C69FE" w:rsidRDefault="00CF247C" w:rsidP="004C6064">
      <w:pPr>
        <w:rPr>
          <w:rFonts w:cs="Arial"/>
          <w:sz w:val="24"/>
          <w:szCs w:val="24"/>
        </w:rPr>
      </w:pPr>
      <w:r w:rsidRPr="009C69FE">
        <w:rPr>
          <w:rFonts w:cs="Arial"/>
          <w:sz w:val="24"/>
          <w:szCs w:val="24"/>
        </w:rPr>
        <w:t xml:space="preserve">Later developments have led to replacements for some of these </w:t>
      </w:r>
      <w:proofErr w:type="gramStart"/>
      <w:r w:rsidRPr="009C69FE">
        <w:rPr>
          <w:rFonts w:cs="Arial"/>
          <w:sz w:val="24"/>
          <w:szCs w:val="24"/>
        </w:rPr>
        <w:t>forms</w:t>
      </w:r>
      <w:proofErr w:type="gramEnd"/>
      <w:r w:rsidRPr="009C69FE">
        <w:rPr>
          <w:rFonts w:cs="Arial"/>
          <w:sz w:val="24"/>
          <w:szCs w:val="24"/>
        </w:rPr>
        <w:t xml:space="preserve"> but use of terms based on TCM are still in use.  The current </w:t>
      </w:r>
      <w:proofErr w:type="spellStart"/>
      <w:r w:rsidRPr="009C69FE">
        <w:rPr>
          <w:rFonts w:cs="Arial"/>
          <w:sz w:val="24"/>
          <w:szCs w:val="24"/>
        </w:rPr>
        <w:t>Combiconbill</w:t>
      </w:r>
      <w:proofErr w:type="spellEnd"/>
      <w:r w:rsidRPr="009C69FE">
        <w:rPr>
          <w:rFonts w:cs="Arial"/>
          <w:sz w:val="24"/>
          <w:szCs w:val="24"/>
        </w:rPr>
        <w:t xml:space="preserve"> is still based on them as are the North Sea Freight Conditions of Carriage </w:t>
      </w:r>
      <w:r w:rsidR="00047C7C">
        <w:rPr>
          <w:rFonts w:cs="Arial"/>
          <w:sz w:val="24"/>
          <w:szCs w:val="24"/>
        </w:rPr>
        <w:t xml:space="preserve">2017 </w:t>
      </w:r>
      <w:r w:rsidRPr="009C69FE">
        <w:rPr>
          <w:rFonts w:cs="Arial"/>
          <w:sz w:val="24"/>
          <w:szCs w:val="24"/>
        </w:rPr>
        <w:t xml:space="preserve">(used </w:t>
      </w:r>
      <w:r w:rsidR="002B1B58" w:rsidRPr="009C69FE">
        <w:rPr>
          <w:rFonts w:cs="Arial"/>
          <w:sz w:val="24"/>
          <w:szCs w:val="24"/>
        </w:rPr>
        <w:t>e.g.,</w:t>
      </w:r>
      <w:r w:rsidRPr="009C69FE">
        <w:rPr>
          <w:rFonts w:cs="Arial"/>
          <w:sz w:val="24"/>
          <w:szCs w:val="24"/>
        </w:rPr>
        <w:t xml:space="preserve"> by DFDS</w:t>
      </w:r>
      <w:r w:rsidR="00D74673" w:rsidRPr="009C69FE">
        <w:rPr>
          <w:rFonts w:cs="Arial"/>
          <w:sz w:val="24"/>
          <w:szCs w:val="24"/>
        </w:rPr>
        <w:t xml:space="preserve"> </w:t>
      </w:r>
      <w:hyperlink r:id="rId40" w:history="1">
        <w:r w:rsidR="0080455C" w:rsidRPr="009C69FE">
          <w:rPr>
            <w:rStyle w:val="Hyperlink"/>
            <w:rFonts w:cs="Arial"/>
            <w:sz w:val="24"/>
            <w:szCs w:val="24"/>
          </w:rPr>
          <w:t>https://www.dfds.com/en-gb/legal</w:t>
        </w:r>
      </w:hyperlink>
      <w:r w:rsidRPr="009C69FE">
        <w:rPr>
          <w:rFonts w:cs="Arial"/>
          <w:sz w:val="24"/>
          <w:szCs w:val="24"/>
        </w:rPr>
        <w:t>)</w:t>
      </w:r>
      <w:r w:rsidR="0080455C" w:rsidRPr="009C69FE">
        <w:rPr>
          <w:rFonts w:cs="Arial"/>
          <w:sz w:val="24"/>
          <w:szCs w:val="24"/>
        </w:rPr>
        <w:t xml:space="preserve">. </w:t>
      </w:r>
      <w:r w:rsidRPr="009C69FE">
        <w:rPr>
          <w:rFonts w:cs="Arial"/>
          <w:sz w:val="24"/>
          <w:szCs w:val="24"/>
        </w:rPr>
        <w:t xml:space="preserve">Until recently Maersk was faithful to </w:t>
      </w:r>
      <w:r w:rsidR="00777193" w:rsidRPr="009C69FE">
        <w:rPr>
          <w:rFonts w:cs="Arial"/>
          <w:sz w:val="24"/>
          <w:szCs w:val="24"/>
        </w:rPr>
        <w:t>them,</w:t>
      </w:r>
      <w:r w:rsidRPr="009C69FE">
        <w:rPr>
          <w:rFonts w:cs="Arial"/>
          <w:sz w:val="24"/>
          <w:szCs w:val="24"/>
        </w:rPr>
        <w:t xml:space="preserve"> but </w:t>
      </w:r>
      <w:r w:rsidR="00817AA2">
        <w:rPr>
          <w:rFonts w:cs="Arial"/>
          <w:sz w:val="24"/>
          <w:szCs w:val="24"/>
        </w:rPr>
        <w:t xml:space="preserve">one of </w:t>
      </w:r>
      <w:r w:rsidRPr="009C69FE">
        <w:rPr>
          <w:rFonts w:cs="Arial"/>
          <w:sz w:val="24"/>
          <w:szCs w:val="24"/>
        </w:rPr>
        <w:t xml:space="preserve">their most </w:t>
      </w:r>
      <w:r w:rsidR="00D74673" w:rsidRPr="009C69FE">
        <w:rPr>
          <w:rFonts w:cs="Arial"/>
          <w:sz w:val="24"/>
          <w:szCs w:val="24"/>
        </w:rPr>
        <w:t xml:space="preserve">recent </w:t>
      </w:r>
      <w:r w:rsidRPr="009C69FE">
        <w:rPr>
          <w:rFonts w:cs="Arial"/>
          <w:sz w:val="24"/>
          <w:szCs w:val="24"/>
        </w:rPr>
        <w:t xml:space="preserve">conditions of carriage </w:t>
      </w:r>
      <w:r w:rsidR="00817AA2">
        <w:rPr>
          <w:rFonts w:cs="Arial"/>
          <w:sz w:val="24"/>
          <w:szCs w:val="24"/>
        </w:rPr>
        <w:t xml:space="preserve">governing bills of lading </w:t>
      </w:r>
      <w:r w:rsidRPr="009C69FE">
        <w:rPr>
          <w:rFonts w:cs="Arial"/>
          <w:sz w:val="24"/>
          <w:szCs w:val="24"/>
        </w:rPr>
        <w:t xml:space="preserve">have started to depart from </w:t>
      </w:r>
      <w:r w:rsidRPr="009C69FE">
        <w:rPr>
          <w:rFonts w:cs="Arial"/>
          <w:sz w:val="24"/>
          <w:szCs w:val="24"/>
        </w:rPr>
        <w:lastRenderedPageBreak/>
        <w:t>them.</w:t>
      </w:r>
      <w:r w:rsidR="0017144C" w:rsidRPr="009C69FE">
        <w:rPr>
          <w:rFonts w:cs="Arial"/>
          <w:sz w:val="24"/>
          <w:szCs w:val="24"/>
        </w:rPr>
        <w:t xml:space="preserve"> </w:t>
      </w:r>
      <w:hyperlink r:id="rId41" w:history="1">
        <w:r w:rsidR="0017144C" w:rsidRPr="009C69FE">
          <w:rPr>
            <w:rStyle w:val="Hyperlink"/>
            <w:rFonts w:cs="Arial"/>
            <w:sz w:val="24"/>
            <w:szCs w:val="24"/>
          </w:rPr>
          <w:t>https://terms.maersk.com/carriage</w:t>
        </w:r>
      </w:hyperlink>
      <w:r w:rsidR="00817AA2">
        <w:rPr>
          <w:rFonts w:cs="Arial"/>
          <w:sz w:val="24"/>
          <w:szCs w:val="24"/>
        </w:rPr>
        <w:t>,, cf</w:t>
      </w:r>
      <w:r w:rsidR="004C6064" w:rsidRPr="009C69FE">
        <w:rPr>
          <w:rFonts w:cs="Arial"/>
          <w:sz w:val="24"/>
          <w:szCs w:val="24"/>
        </w:rPr>
        <w:t>.</w:t>
      </w:r>
      <w:r w:rsidR="0080455C" w:rsidRPr="009C69FE">
        <w:rPr>
          <w:rFonts w:cs="Arial"/>
          <w:sz w:val="24"/>
          <w:szCs w:val="24"/>
        </w:rPr>
        <w:t xml:space="preserve"> </w:t>
      </w:r>
      <w:r w:rsidR="006F473B">
        <w:rPr>
          <w:rFonts w:cs="Arial"/>
          <w:sz w:val="24"/>
          <w:szCs w:val="24"/>
        </w:rPr>
        <w:t xml:space="preserve">however their House bill of lading (see below para. </w:t>
      </w:r>
      <w:r w:rsidR="00A463B8">
        <w:rPr>
          <w:rFonts w:cs="Arial"/>
          <w:sz w:val="24"/>
          <w:szCs w:val="24"/>
        </w:rPr>
        <w:t>5.3.1</w:t>
      </w:r>
      <w:r w:rsidR="006F473B">
        <w:rPr>
          <w:rFonts w:cs="Arial"/>
          <w:sz w:val="24"/>
          <w:szCs w:val="24"/>
        </w:rPr>
        <w:t>) which remains more faithful to them</w:t>
      </w:r>
      <w:r w:rsidR="00A463B8">
        <w:rPr>
          <w:rFonts w:cs="Arial"/>
          <w:sz w:val="24"/>
          <w:szCs w:val="24"/>
        </w:rPr>
        <w:t>.</w:t>
      </w:r>
    </w:p>
    <w:p w14:paraId="7FB81F0C" w14:textId="07E36058" w:rsidR="0080455C" w:rsidRPr="009C69FE" w:rsidRDefault="0080455C" w:rsidP="004C6064">
      <w:pPr>
        <w:rPr>
          <w:rFonts w:cs="Arial"/>
          <w:sz w:val="24"/>
          <w:szCs w:val="24"/>
        </w:rPr>
      </w:pPr>
      <w:r w:rsidRPr="009C69FE">
        <w:rPr>
          <w:rFonts w:cs="Arial"/>
          <w:sz w:val="24"/>
          <w:szCs w:val="24"/>
        </w:rPr>
        <w:t xml:space="preserve">Note here the continued use of the bill of lading form </w:t>
      </w:r>
      <w:r w:rsidR="00AC3C4D" w:rsidRPr="009C69FE">
        <w:rPr>
          <w:rFonts w:cs="Arial"/>
          <w:sz w:val="24"/>
          <w:szCs w:val="24"/>
        </w:rPr>
        <w:t>(or waybill form developed as alternatives e.g.</w:t>
      </w:r>
      <w:r w:rsidR="00A463B8">
        <w:rPr>
          <w:rFonts w:cs="Arial"/>
          <w:sz w:val="24"/>
          <w:szCs w:val="24"/>
        </w:rPr>
        <w:t>,</w:t>
      </w:r>
      <w:r w:rsidR="00AC3C4D" w:rsidRPr="009C69FE">
        <w:rPr>
          <w:rFonts w:cs="Arial"/>
          <w:sz w:val="24"/>
          <w:szCs w:val="24"/>
        </w:rPr>
        <w:t xml:space="preserve"> </w:t>
      </w:r>
      <w:proofErr w:type="spellStart"/>
      <w:r w:rsidR="00AC3C4D" w:rsidRPr="009C69FE">
        <w:rPr>
          <w:rFonts w:cs="Arial"/>
          <w:sz w:val="24"/>
          <w:szCs w:val="24"/>
        </w:rPr>
        <w:t>Combiconwaybill</w:t>
      </w:r>
      <w:proofErr w:type="spellEnd"/>
      <w:r w:rsidR="00AC3C4D" w:rsidRPr="009C69FE">
        <w:rPr>
          <w:rFonts w:cs="Arial"/>
          <w:sz w:val="24"/>
          <w:szCs w:val="24"/>
        </w:rPr>
        <w:t xml:space="preserve">) </w:t>
      </w:r>
      <w:r w:rsidRPr="009C69FE">
        <w:rPr>
          <w:rFonts w:cs="Arial"/>
          <w:sz w:val="24"/>
          <w:szCs w:val="24"/>
        </w:rPr>
        <w:t>especially where a movement is built mainly around a substantial period of sea carriage</w:t>
      </w:r>
      <w:r w:rsidR="00AC3C4D" w:rsidRPr="009C69FE">
        <w:rPr>
          <w:rFonts w:cs="Arial"/>
          <w:sz w:val="24"/>
          <w:szCs w:val="24"/>
        </w:rPr>
        <w:t>.  O</w:t>
      </w:r>
      <w:r w:rsidRPr="009C69FE">
        <w:rPr>
          <w:rFonts w:cs="Arial"/>
          <w:sz w:val="24"/>
          <w:szCs w:val="24"/>
        </w:rPr>
        <w:t xml:space="preserve">ften </w:t>
      </w:r>
      <w:r w:rsidR="00AC3C4D" w:rsidRPr="009C69FE">
        <w:rPr>
          <w:rFonts w:cs="Arial"/>
          <w:sz w:val="24"/>
          <w:szCs w:val="24"/>
        </w:rPr>
        <w:t>these are</w:t>
      </w:r>
      <w:r w:rsidRPr="009C69FE">
        <w:rPr>
          <w:rFonts w:cs="Arial"/>
          <w:sz w:val="24"/>
          <w:szCs w:val="24"/>
        </w:rPr>
        <w:t xml:space="preserve"> dual purpose providing either for </w:t>
      </w:r>
      <w:proofErr w:type="gramStart"/>
      <w:r w:rsidRPr="009C69FE">
        <w:rPr>
          <w:rFonts w:cs="Arial"/>
          <w:sz w:val="24"/>
          <w:szCs w:val="24"/>
        </w:rPr>
        <w:t>port to port</w:t>
      </w:r>
      <w:proofErr w:type="gramEnd"/>
      <w:r w:rsidRPr="009C69FE">
        <w:rPr>
          <w:rFonts w:cs="Arial"/>
          <w:sz w:val="24"/>
          <w:szCs w:val="24"/>
        </w:rPr>
        <w:t xml:space="preserve"> movements or combined/multimodal transport, depending upon how the document is filled out.  An indication of a place of receipt or delivery beyond the port of loading or discharge would indicate that multimodal transport was intended.  In </w:t>
      </w:r>
      <w:r w:rsidRPr="009C69FE">
        <w:rPr>
          <w:rFonts w:cs="Arial"/>
          <w:b/>
          <w:sz w:val="24"/>
          <w:szCs w:val="24"/>
        </w:rPr>
        <w:t>East West Corporation v. DKBS</w:t>
      </w:r>
      <w:r w:rsidRPr="009C69FE">
        <w:rPr>
          <w:rFonts w:cs="Arial"/>
          <w:sz w:val="24"/>
          <w:szCs w:val="24"/>
        </w:rPr>
        <w:t xml:space="preserve"> [2003] </w:t>
      </w:r>
      <w:r w:rsidR="00AC3C4D" w:rsidRPr="009C69FE">
        <w:rPr>
          <w:rFonts w:cs="Arial"/>
          <w:sz w:val="24"/>
          <w:szCs w:val="24"/>
        </w:rPr>
        <w:t xml:space="preserve">EWCA </w:t>
      </w:r>
      <w:proofErr w:type="spellStart"/>
      <w:r w:rsidR="00AC3C4D" w:rsidRPr="009C69FE">
        <w:rPr>
          <w:rFonts w:cs="Arial"/>
          <w:sz w:val="24"/>
          <w:szCs w:val="24"/>
        </w:rPr>
        <w:t>Civ</w:t>
      </w:r>
      <w:proofErr w:type="spellEnd"/>
      <w:r w:rsidR="00AC3C4D" w:rsidRPr="009C69FE">
        <w:rPr>
          <w:rFonts w:cs="Arial"/>
          <w:sz w:val="24"/>
          <w:szCs w:val="24"/>
        </w:rPr>
        <w:t xml:space="preserve"> 83, </w:t>
      </w:r>
      <w:r w:rsidR="00AC3C4D" w:rsidRPr="009C69FE">
        <w:rPr>
          <w:color w:val="000000"/>
          <w:sz w:val="24"/>
          <w:szCs w:val="24"/>
          <w:shd w:val="clear" w:color="auto" w:fill="FFFFFF"/>
        </w:rPr>
        <w:t>[2003] Q.B. 1509</w:t>
      </w:r>
      <w:r w:rsidRPr="009C69FE">
        <w:rPr>
          <w:rFonts w:cs="Arial"/>
          <w:sz w:val="24"/>
          <w:szCs w:val="24"/>
        </w:rPr>
        <w:t xml:space="preserve">, the English Court of Appeal held that even though only the ports were indicated in the places of receipt and delivery, the bill of lading was still for combined transport. </w:t>
      </w:r>
    </w:p>
    <w:p w14:paraId="558C0E83" w14:textId="77777777" w:rsidR="004C6064" w:rsidRPr="009C69FE" w:rsidRDefault="004C6064" w:rsidP="004C6064">
      <w:pPr>
        <w:rPr>
          <w:rFonts w:cs="Arial"/>
          <w:sz w:val="24"/>
          <w:szCs w:val="24"/>
        </w:rPr>
      </w:pPr>
      <w:r w:rsidRPr="009C69FE">
        <w:rPr>
          <w:rFonts w:cs="Arial"/>
          <w:sz w:val="24"/>
          <w:szCs w:val="24"/>
        </w:rPr>
        <w:t xml:space="preserve">On the failure of TCM to be </w:t>
      </w:r>
      <w:r w:rsidR="00D74673" w:rsidRPr="009C69FE">
        <w:rPr>
          <w:rFonts w:cs="Arial"/>
          <w:sz w:val="24"/>
          <w:szCs w:val="24"/>
        </w:rPr>
        <w:t xml:space="preserve">officially </w:t>
      </w:r>
      <w:r w:rsidRPr="009C69FE">
        <w:rPr>
          <w:rFonts w:cs="Arial"/>
          <w:sz w:val="24"/>
          <w:szCs w:val="24"/>
        </w:rPr>
        <w:t xml:space="preserve">adopted the initiative passed to UNCTAD.  At that time work had already begun on the changes to The Hague Rules and the development of the Hamburg Rules and these were influential in the process of creating the new rules.  In 1980 the </w:t>
      </w:r>
      <w:bookmarkStart w:id="0" w:name="_Hlk22800267"/>
      <w:r w:rsidRPr="00075599">
        <w:rPr>
          <w:rFonts w:cs="Arial"/>
          <w:b/>
          <w:bCs/>
          <w:sz w:val="24"/>
          <w:szCs w:val="24"/>
        </w:rPr>
        <w:t xml:space="preserve">United Nations Convention on International Multimodal Transport of </w:t>
      </w:r>
      <w:bookmarkEnd w:id="0"/>
      <w:r w:rsidRPr="00075599">
        <w:rPr>
          <w:rFonts w:cs="Arial"/>
          <w:b/>
          <w:bCs/>
          <w:sz w:val="24"/>
          <w:szCs w:val="24"/>
        </w:rPr>
        <w:t>Goods</w:t>
      </w:r>
      <w:r w:rsidRPr="009C69FE">
        <w:rPr>
          <w:rFonts w:cs="Arial"/>
          <w:sz w:val="24"/>
          <w:szCs w:val="24"/>
        </w:rPr>
        <w:t xml:space="preserve"> was adopted</w:t>
      </w:r>
      <w:r w:rsidR="00056A22" w:rsidRPr="009C69FE">
        <w:rPr>
          <w:rFonts w:cs="Arial"/>
          <w:sz w:val="24"/>
          <w:szCs w:val="24"/>
        </w:rPr>
        <w:t xml:space="preserve"> (MMTC)</w:t>
      </w:r>
      <w:r w:rsidRPr="009C69FE">
        <w:rPr>
          <w:rFonts w:cs="Arial"/>
          <w:sz w:val="24"/>
          <w:szCs w:val="24"/>
        </w:rPr>
        <w:t xml:space="preserve">.  This introduced a modified uniform approach.  It was not, however, successful and has not received </w:t>
      </w:r>
      <w:r w:rsidR="00075599" w:rsidRPr="009C69FE">
        <w:rPr>
          <w:rFonts w:cs="Arial"/>
          <w:sz w:val="24"/>
          <w:szCs w:val="24"/>
        </w:rPr>
        <w:t>enough</w:t>
      </w:r>
      <w:r w:rsidRPr="009C69FE">
        <w:rPr>
          <w:rFonts w:cs="Arial"/>
          <w:sz w:val="24"/>
          <w:szCs w:val="24"/>
        </w:rPr>
        <w:t xml:space="preserve"> ratifications to bring it into force.</w:t>
      </w:r>
    </w:p>
    <w:p w14:paraId="79159ADE" w14:textId="737984F9" w:rsidR="004C6064" w:rsidRPr="009C69FE" w:rsidRDefault="004C6064" w:rsidP="004C6064">
      <w:pPr>
        <w:rPr>
          <w:rFonts w:cs="Arial"/>
          <w:sz w:val="24"/>
          <w:szCs w:val="24"/>
        </w:rPr>
      </w:pPr>
      <w:r w:rsidRPr="009C69FE">
        <w:rPr>
          <w:rFonts w:cs="Arial"/>
          <w:sz w:val="24"/>
          <w:szCs w:val="24"/>
        </w:rPr>
        <w:t>A later development did, however, build on the work of the convention.  UNCTAD and the ICC worked together to produce a commercial solution which would seek to answer some of the concerns about the convention which had been expressed by commercial interests.  This work produced the UNCTAD/ICC Rules 1992 which adopts a modification of the convention which reco</w:t>
      </w:r>
      <w:r w:rsidR="0003728B">
        <w:rPr>
          <w:rFonts w:cs="Arial"/>
          <w:sz w:val="24"/>
          <w:szCs w:val="24"/>
        </w:rPr>
        <w:t>nciles it with the Hague Rules.</w:t>
      </w:r>
      <w:r w:rsidRPr="009C69FE">
        <w:rPr>
          <w:rFonts w:cs="Arial"/>
          <w:sz w:val="24"/>
          <w:szCs w:val="24"/>
        </w:rPr>
        <w:t xml:space="preserve">  These rules became the basis for a new FIATA FBL 1992 </w:t>
      </w:r>
      <w:r w:rsidR="008127A7">
        <w:rPr>
          <w:rFonts w:cs="Arial"/>
          <w:sz w:val="24"/>
          <w:szCs w:val="24"/>
        </w:rPr>
        <w:t xml:space="preserve">and waybill </w:t>
      </w:r>
      <w:r w:rsidR="0033448C">
        <w:rPr>
          <w:rFonts w:cs="Arial"/>
          <w:sz w:val="24"/>
          <w:szCs w:val="24"/>
        </w:rPr>
        <w:t>– FWB 1997 (</w:t>
      </w:r>
      <w:hyperlink r:id="rId42" w:history="1">
        <w:r w:rsidR="002C6CC4" w:rsidRPr="002C6CC4">
          <w:rPr>
            <w:color w:val="0000FF"/>
            <w:u w:val="single"/>
          </w:rPr>
          <w:t>671_15_Brosch_Documents.indd (prismic.io)</w:t>
        </w:r>
      </w:hyperlink>
      <w:r w:rsidR="006E6933">
        <w:t>. These can</w:t>
      </w:r>
      <w:r w:rsidR="00905631">
        <w:rPr>
          <w:rFonts w:cs="Arial"/>
          <w:sz w:val="24"/>
          <w:szCs w:val="24"/>
        </w:rPr>
        <w:t xml:space="preserve"> now be provided in an e-version</w:t>
      </w:r>
      <w:r w:rsidR="00836872">
        <w:rPr>
          <w:rFonts w:cs="Arial"/>
          <w:sz w:val="24"/>
          <w:szCs w:val="24"/>
        </w:rPr>
        <w:t xml:space="preserve"> through </w:t>
      </w:r>
      <w:proofErr w:type="spellStart"/>
      <w:r w:rsidR="00836872">
        <w:rPr>
          <w:rFonts w:cs="Arial"/>
          <w:sz w:val="24"/>
          <w:szCs w:val="24"/>
        </w:rPr>
        <w:t>essDocs</w:t>
      </w:r>
      <w:proofErr w:type="spellEnd"/>
      <w:r w:rsidR="00905631">
        <w:rPr>
          <w:rFonts w:cs="Arial"/>
          <w:sz w:val="24"/>
          <w:szCs w:val="24"/>
        </w:rPr>
        <w:t xml:space="preserve"> – see </w:t>
      </w:r>
      <w:hyperlink r:id="rId43" w:history="1">
        <w:r w:rsidR="00836872" w:rsidRPr="00041C9A">
          <w:rPr>
            <w:rStyle w:val="Hyperlink"/>
            <w:rFonts w:cs="Arial"/>
            <w:sz w:val="24"/>
            <w:szCs w:val="24"/>
          </w:rPr>
          <w:t>https://fiata.com/about-fiata/fiata-documents/digital-efbl.html</w:t>
        </w:r>
      </w:hyperlink>
      <w:r w:rsidR="00836872">
        <w:rPr>
          <w:rFonts w:cs="Arial"/>
          <w:sz w:val="24"/>
          <w:szCs w:val="24"/>
        </w:rPr>
        <w:t>)</w:t>
      </w:r>
      <w:r w:rsidR="006E6933">
        <w:rPr>
          <w:rFonts w:cs="Arial"/>
          <w:sz w:val="24"/>
          <w:szCs w:val="24"/>
        </w:rPr>
        <w:t>. B</w:t>
      </w:r>
      <w:r w:rsidRPr="009C69FE">
        <w:rPr>
          <w:rFonts w:cs="Arial"/>
          <w:sz w:val="24"/>
          <w:szCs w:val="24"/>
        </w:rPr>
        <w:t xml:space="preserve">IMCO </w:t>
      </w:r>
      <w:proofErr w:type="spellStart"/>
      <w:r w:rsidRPr="009C69FE">
        <w:rPr>
          <w:rFonts w:cs="Arial"/>
          <w:sz w:val="24"/>
          <w:szCs w:val="24"/>
        </w:rPr>
        <w:t>Multidoc</w:t>
      </w:r>
      <w:proofErr w:type="spellEnd"/>
      <w:r w:rsidRPr="009C69FE">
        <w:rPr>
          <w:rFonts w:cs="Arial"/>
          <w:sz w:val="24"/>
          <w:szCs w:val="24"/>
        </w:rPr>
        <w:t xml:space="preserve"> 1995</w:t>
      </w:r>
      <w:r w:rsidR="00262B56">
        <w:rPr>
          <w:rFonts w:cs="Arial"/>
          <w:sz w:val="24"/>
          <w:szCs w:val="24"/>
        </w:rPr>
        <w:t xml:space="preserve"> (see</w:t>
      </w:r>
      <w:r w:rsidR="007F6EC9">
        <w:rPr>
          <w:rFonts w:cs="Arial"/>
          <w:sz w:val="24"/>
          <w:szCs w:val="24"/>
        </w:rPr>
        <w:t xml:space="preserve"> </w:t>
      </w:r>
      <w:hyperlink r:id="rId44" w:history="1">
        <w:r w:rsidR="00262B56" w:rsidRPr="00262B56">
          <w:rPr>
            <w:color w:val="0000FF"/>
            <w:u w:val="single"/>
          </w:rPr>
          <w:t>MULTIDOC 95 (bimco.org)</w:t>
        </w:r>
      </w:hyperlink>
      <w:r w:rsidR="00262B56">
        <w:t>)</w:t>
      </w:r>
      <w:r w:rsidRPr="009C69FE">
        <w:rPr>
          <w:rFonts w:cs="Arial"/>
          <w:sz w:val="24"/>
          <w:szCs w:val="24"/>
        </w:rPr>
        <w:t xml:space="preserve">.  </w:t>
      </w:r>
    </w:p>
    <w:p w14:paraId="4CE32A56" w14:textId="77777777" w:rsidR="004C6064" w:rsidRPr="009C69FE" w:rsidRDefault="004C6064" w:rsidP="004C6064">
      <w:pPr>
        <w:rPr>
          <w:rFonts w:cs="Arial"/>
          <w:sz w:val="24"/>
          <w:szCs w:val="24"/>
        </w:rPr>
      </w:pPr>
      <w:r w:rsidRPr="009C69FE">
        <w:rPr>
          <w:rFonts w:cs="Arial"/>
          <w:sz w:val="24"/>
          <w:szCs w:val="24"/>
        </w:rPr>
        <w:t xml:space="preserve">The latest development comes with the development of a new convention on carriage </w:t>
      </w:r>
      <w:r w:rsidR="00075599">
        <w:rPr>
          <w:rFonts w:cs="Arial"/>
          <w:sz w:val="24"/>
          <w:szCs w:val="24"/>
        </w:rPr>
        <w:t xml:space="preserve">of goods </w:t>
      </w:r>
      <w:r w:rsidRPr="009C69FE">
        <w:rPr>
          <w:rFonts w:cs="Arial"/>
          <w:sz w:val="24"/>
          <w:szCs w:val="24"/>
        </w:rPr>
        <w:t xml:space="preserve">by sea </w:t>
      </w:r>
      <w:r w:rsidR="00075599">
        <w:rPr>
          <w:rFonts w:cs="Arial"/>
          <w:sz w:val="24"/>
          <w:szCs w:val="24"/>
        </w:rPr>
        <w:t xml:space="preserve">by </w:t>
      </w:r>
      <w:r w:rsidRPr="009C69FE">
        <w:rPr>
          <w:rFonts w:cs="Arial"/>
          <w:sz w:val="24"/>
          <w:szCs w:val="24"/>
        </w:rPr>
        <w:t xml:space="preserve">UNCITRAL.  The </w:t>
      </w:r>
      <w:r w:rsidRPr="00075599">
        <w:rPr>
          <w:rFonts w:cs="Arial"/>
          <w:b/>
          <w:bCs/>
          <w:sz w:val="24"/>
          <w:szCs w:val="24"/>
        </w:rPr>
        <w:t>Convention on contracts for the international carriage of goods wholly or partly by sea</w:t>
      </w:r>
      <w:r w:rsidR="00075599">
        <w:rPr>
          <w:rFonts w:cs="Arial"/>
          <w:b/>
          <w:bCs/>
          <w:sz w:val="24"/>
          <w:szCs w:val="24"/>
        </w:rPr>
        <w:t xml:space="preserve"> </w:t>
      </w:r>
      <w:r w:rsidR="00075599" w:rsidRPr="00075599">
        <w:rPr>
          <w:rFonts w:cs="Arial"/>
          <w:b/>
          <w:bCs/>
          <w:sz w:val="24"/>
          <w:szCs w:val="24"/>
        </w:rPr>
        <w:t>(The Rotterdam Rules 2008)</w:t>
      </w:r>
      <w:r w:rsidRPr="00075599">
        <w:rPr>
          <w:rFonts w:cs="Arial"/>
          <w:sz w:val="24"/>
          <w:szCs w:val="24"/>
        </w:rPr>
        <w:t xml:space="preserve"> </w:t>
      </w:r>
      <w:r w:rsidRPr="009C69FE">
        <w:rPr>
          <w:rFonts w:cs="Arial"/>
          <w:sz w:val="24"/>
          <w:szCs w:val="24"/>
        </w:rPr>
        <w:t xml:space="preserve">will apply </w:t>
      </w:r>
      <w:r w:rsidR="00075599">
        <w:rPr>
          <w:rFonts w:cs="Arial"/>
          <w:sz w:val="24"/>
          <w:szCs w:val="24"/>
        </w:rPr>
        <w:t>(</w:t>
      </w:r>
      <w:proofErr w:type="gramStart"/>
      <w:r w:rsidR="00075599">
        <w:rPr>
          <w:rFonts w:cs="Arial"/>
          <w:sz w:val="24"/>
          <w:szCs w:val="24"/>
        </w:rPr>
        <w:t>if and when</w:t>
      </w:r>
      <w:proofErr w:type="gramEnd"/>
      <w:r w:rsidR="00075599">
        <w:rPr>
          <w:rFonts w:cs="Arial"/>
          <w:sz w:val="24"/>
          <w:szCs w:val="24"/>
        </w:rPr>
        <w:t xml:space="preserve"> it ever comes into force) </w:t>
      </w:r>
      <w:r w:rsidRPr="009C69FE">
        <w:rPr>
          <w:rFonts w:cs="Arial"/>
          <w:sz w:val="24"/>
          <w:szCs w:val="24"/>
        </w:rPr>
        <w:t>whenever there is a period of carriage by sea as part of the transit and the carriage falls within the scope of the rules.  Our interest is that it makes provision for the convention to apply to carriage by other modes connected to the sea transport prior to shipment and after discharge from the ship</w:t>
      </w:r>
      <w:r w:rsidR="00056A22" w:rsidRPr="009C69FE">
        <w:rPr>
          <w:rFonts w:cs="Arial"/>
          <w:sz w:val="24"/>
          <w:szCs w:val="24"/>
        </w:rPr>
        <w:t xml:space="preserve"> and attempts to avoid a direct clash with multimodal rules in other conventions</w:t>
      </w:r>
      <w:r w:rsidRPr="009C69FE">
        <w:rPr>
          <w:rFonts w:cs="Arial"/>
          <w:sz w:val="24"/>
          <w:szCs w:val="24"/>
        </w:rPr>
        <w:t>.  The detailed rules in this respect will be discussed later in th</w:t>
      </w:r>
      <w:r w:rsidR="00056A22" w:rsidRPr="009C69FE">
        <w:rPr>
          <w:rFonts w:cs="Arial"/>
          <w:sz w:val="24"/>
          <w:szCs w:val="24"/>
        </w:rPr>
        <w:t>is handout.  For now</w:t>
      </w:r>
      <w:r w:rsidR="00075599">
        <w:rPr>
          <w:rFonts w:cs="Arial"/>
          <w:sz w:val="24"/>
          <w:szCs w:val="24"/>
        </w:rPr>
        <w:t>,</w:t>
      </w:r>
      <w:r w:rsidR="00056A22" w:rsidRPr="009C69FE">
        <w:rPr>
          <w:rFonts w:cs="Arial"/>
          <w:sz w:val="24"/>
          <w:szCs w:val="24"/>
        </w:rPr>
        <w:t xml:space="preserve"> note that i</w:t>
      </w:r>
      <w:r w:rsidRPr="009C69FE">
        <w:rPr>
          <w:rFonts w:cs="Arial"/>
          <w:sz w:val="24"/>
          <w:szCs w:val="24"/>
        </w:rPr>
        <w:t>n essence it will apply a network approach.  Instead of providing rules covering all modes of transport it will only apply where sea carriage forms part of the movement.  In some ways this is a development which reflects the divide on a global level between combinin</w:t>
      </w:r>
      <w:r w:rsidR="0003728B">
        <w:rPr>
          <w:rFonts w:cs="Arial"/>
          <w:sz w:val="24"/>
          <w:szCs w:val="24"/>
        </w:rPr>
        <w:t>g modes around a sea section or</w:t>
      </w:r>
      <w:r w:rsidRPr="009C69FE">
        <w:rPr>
          <w:rFonts w:cs="Arial"/>
          <w:sz w:val="24"/>
          <w:szCs w:val="24"/>
        </w:rPr>
        <w:t xml:space="preserve"> around an air section.  Since this means that most contracts formed around air transport will fall outside it, it will be more acceptable to bodies concerned with air transport who have long </w:t>
      </w:r>
      <w:r w:rsidR="00075599" w:rsidRPr="009C69FE">
        <w:rPr>
          <w:rFonts w:cs="Arial"/>
          <w:sz w:val="24"/>
          <w:szCs w:val="24"/>
        </w:rPr>
        <w:t>so</w:t>
      </w:r>
      <w:r w:rsidR="00075599">
        <w:rPr>
          <w:rFonts w:cs="Arial"/>
          <w:sz w:val="24"/>
          <w:szCs w:val="24"/>
        </w:rPr>
        <w:t>ugh</w:t>
      </w:r>
      <w:r w:rsidR="00075599" w:rsidRPr="009C69FE">
        <w:rPr>
          <w:rFonts w:cs="Arial"/>
          <w:sz w:val="24"/>
          <w:szCs w:val="24"/>
        </w:rPr>
        <w:t>t</w:t>
      </w:r>
      <w:r w:rsidRPr="009C69FE">
        <w:rPr>
          <w:rFonts w:cs="Arial"/>
          <w:sz w:val="24"/>
          <w:szCs w:val="24"/>
        </w:rPr>
        <w:t xml:space="preserve"> to maintain their own system and have </w:t>
      </w:r>
      <w:r w:rsidR="00075599">
        <w:rPr>
          <w:rFonts w:cs="Arial"/>
          <w:sz w:val="24"/>
          <w:szCs w:val="24"/>
        </w:rPr>
        <w:t>lobbied</w:t>
      </w:r>
      <w:r w:rsidRPr="009C69FE">
        <w:rPr>
          <w:rFonts w:cs="Arial"/>
          <w:sz w:val="24"/>
          <w:szCs w:val="24"/>
        </w:rPr>
        <w:t xml:space="preserve"> to introduce provisions in international rules which exclude air operations at least to some extent e.g. the MMTC excluded the operations of </w:t>
      </w:r>
      <w:r w:rsidR="00836872" w:rsidRPr="009C69FE">
        <w:rPr>
          <w:rFonts w:cs="Arial"/>
          <w:sz w:val="24"/>
          <w:szCs w:val="24"/>
        </w:rPr>
        <w:t>pick</w:t>
      </w:r>
      <w:r w:rsidR="00836872">
        <w:rPr>
          <w:rFonts w:cs="Arial"/>
          <w:sz w:val="24"/>
          <w:szCs w:val="24"/>
        </w:rPr>
        <w:t>up</w:t>
      </w:r>
      <w:r w:rsidRPr="009C69FE">
        <w:rPr>
          <w:rFonts w:cs="Arial"/>
          <w:sz w:val="24"/>
          <w:szCs w:val="24"/>
        </w:rPr>
        <w:t xml:space="preserve"> and delivery in performance of a unimodal transport contract from its provisions.  This was largely to meet objections from the air lobby.</w:t>
      </w:r>
    </w:p>
    <w:p w14:paraId="41DC1077" w14:textId="5BF07818" w:rsidR="004C6064" w:rsidRPr="009C69FE" w:rsidRDefault="004C6064" w:rsidP="004C6064">
      <w:pPr>
        <w:rPr>
          <w:rFonts w:cs="Arial"/>
          <w:sz w:val="24"/>
          <w:szCs w:val="24"/>
        </w:rPr>
      </w:pPr>
      <w:r w:rsidRPr="009C69FE">
        <w:rPr>
          <w:rFonts w:cs="Arial"/>
          <w:sz w:val="24"/>
          <w:szCs w:val="24"/>
        </w:rPr>
        <w:lastRenderedPageBreak/>
        <w:t>Before leaving this section two further points should be noted.  Firstly, there are specific forms of combined carriage which may be covered by dedicated contractual provisions.  A good example is the UIRR (International Union of Combined Rail and Road Transport Companies) conditions 1998 which apply to combined road and rail carriage particularly in respect of piggyback transport.  The UIRR company acts as an intermediary between road carriers and the railway although it currently accepts a carrier liability</w:t>
      </w:r>
      <w:r w:rsidR="005D2C2F">
        <w:rPr>
          <w:rFonts w:cs="Arial"/>
          <w:sz w:val="24"/>
          <w:szCs w:val="24"/>
        </w:rPr>
        <w:t xml:space="preserve"> (</w:t>
      </w:r>
      <w:r w:rsidR="006137E1">
        <w:rPr>
          <w:rFonts w:cs="Arial"/>
          <w:sz w:val="24"/>
          <w:szCs w:val="24"/>
        </w:rPr>
        <w:t xml:space="preserve">see </w:t>
      </w:r>
      <w:hyperlink r:id="rId45" w:history="1">
        <w:r w:rsidR="006137E1" w:rsidRPr="006137E1">
          <w:rPr>
            <w:color w:val="0000FF"/>
            <w:u w:val="single"/>
          </w:rPr>
          <w:t>UIRR - International Union for Road-Rail Combined Transport - Home</w:t>
        </w:r>
      </w:hyperlink>
      <w:r w:rsidR="000D461C">
        <w:t>)</w:t>
      </w:r>
      <w:r w:rsidRPr="009C69FE">
        <w:rPr>
          <w:rFonts w:cs="Arial"/>
          <w:sz w:val="24"/>
          <w:szCs w:val="24"/>
        </w:rPr>
        <w:t xml:space="preserve">.  The second point to note is that there are both national and regional efforts to provide rules on multimodal transports.  Both the Dutch and German commercial codes have specific </w:t>
      </w:r>
      <w:r w:rsidR="0003728B">
        <w:rPr>
          <w:rFonts w:cs="Arial"/>
          <w:sz w:val="24"/>
          <w:szCs w:val="24"/>
        </w:rPr>
        <w:t xml:space="preserve">rules covering such movements. </w:t>
      </w:r>
      <w:r w:rsidRPr="009C69FE">
        <w:rPr>
          <w:rFonts w:cs="Arial"/>
          <w:sz w:val="24"/>
          <w:szCs w:val="24"/>
        </w:rPr>
        <w:t xml:space="preserve"> An example of a regional effort is the Andean Community (Bolivia, Columbia, Ecuador, Peru) decisions 331 (1993) and 393 (1996).</w:t>
      </w:r>
    </w:p>
    <w:p w14:paraId="6CBA56A4" w14:textId="5552F69C" w:rsidR="004C6064" w:rsidRPr="009C69FE" w:rsidRDefault="00E222C5" w:rsidP="004C6064">
      <w:pPr>
        <w:rPr>
          <w:rFonts w:cs="Arial"/>
          <w:sz w:val="24"/>
          <w:szCs w:val="24"/>
        </w:rPr>
      </w:pPr>
      <w:r w:rsidRPr="009C69FE">
        <w:rPr>
          <w:rFonts w:cs="Arial"/>
          <w:b/>
          <w:sz w:val="24"/>
          <w:szCs w:val="24"/>
        </w:rPr>
        <w:t>5</w:t>
      </w:r>
      <w:r w:rsidR="002D50CB" w:rsidRPr="009C69FE">
        <w:rPr>
          <w:rFonts w:cs="Arial"/>
          <w:b/>
          <w:sz w:val="24"/>
          <w:szCs w:val="24"/>
        </w:rPr>
        <w:t>.</w:t>
      </w:r>
      <w:r w:rsidR="0047765A">
        <w:rPr>
          <w:rFonts w:cs="Arial"/>
          <w:b/>
          <w:sz w:val="24"/>
          <w:szCs w:val="24"/>
        </w:rPr>
        <w:t xml:space="preserve">3 </w:t>
      </w:r>
      <w:r w:rsidR="004C6064" w:rsidRPr="009C69FE">
        <w:rPr>
          <w:rFonts w:cs="Arial"/>
          <w:b/>
          <w:sz w:val="24"/>
          <w:szCs w:val="24"/>
        </w:rPr>
        <w:t>Details of different systems</w:t>
      </w:r>
      <w:r w:rsidR="004C6064" w:rsidRPr="009C69FE">
        <w:rPr>
          <w:rFonts w:cs="Arial"/>
          <w:b/>
          <w:sz w:val="24"/>
          <w:szCs w:val="24"/>
        </w:rPr>
        <w:br/>
      </w:r>
      <w:r w:rsidR="004C6064" w:rsidRPr="009C69FE">
        <w:rPr>
          <w:rFonts w:cs="Arial"/>
          <w:b/>
          <w:sz w:val="24"/>
          <w:szCs w:val="24"/>
        </w:rPr>
        <w:br/>
      </w:r>
      <w:r w:rsidR="0047765A">
        <w:rPr>
          <w:rFonts w:cs="Arial"/>
          <w:b/>
          <w:sz w:val="24"/>
          <w:szCs w:val="24"/>
        </w:rPr>
        <w:t>5</w:t>
      </w:r>
      <w:r w:rsidRPr="009C69FE">
        <w:rPr>
          <w:rFonts w:cs="Arial"/>
          <w:b/>
          <w:sz w:val="24"/>
          <w:szCs w:val="24"/>
        </w:rPr>
        <w:t>.</w:t>
      </w:r>
      <w:r w:rsidR="0047765A">
        <w:rPr>
          <w:rFonts w:cs="Arial"/>
          <w:b/>
          <w:sz w:val="24"/>
          <w:szCs w:val="24"/>
        </w:rPr>
        <w:t>3</w:t>
      </w:r>
      <w:r w:rsidR="00974BBC" w:rsidRPr="009C69FE">
        <w:rPr>
          <w:rFonts w:cs="Arial"/>
          <w:b/>
          <w:sz w:val="24"/>
          <w:szCs w:val="24"/>
        </w:rPr>
        <w:t>.1</w:t>
      </w:r>
      <w:r w:rsidR="004C6064" w:rsidRPr="009C69FE">
        <w:rPr>
          <w:rFonts w:cs="Arial"/>
          <w:b/>
          <w:sz w:val="24"/>
          <w:szCs w:val="24"/>
        </w:rPr>
        <w:t xml:space="preserve"> TCM, ICC and Commercial Adaptations</w:t>
      </w:r>
      <w:r w:rsidR="004C6064" w:rsidRPr="009C69FE">
        <w:rPr>
          <w:rFonts w:cs="Arial"/>
          <w:b/>
          <w:sz w:val="24"/>
          <w:szCs w:val="24"/>
        </w:rPr>
        <w:br/>
      </w:r>
      <w:r w:rsidR="004C6064" w:rsidRPr="009C69FE">
        <w:rPr>
          <w:rFonts w:cs="Arial"/>
          <w:sz w:val="24"/>
          <w:szCs w:val="24"/>
        </w:rPr>
        <w:br/>
        <w:t xml:space="preserve">The main TCM solution was a modified network system which was adopted in </w:t>
      </w:r>
      <w:proofErr w:type="spellStart"/>
      <w:r w:rsidR="00766455" w:rsidRPr="009C69FE">
        <w:rPr>
          <w:rFonts w:cs="Arial"/>
          <w:sz w:val="24"/>
          <w:szCs w:val="24"/>
        </w:rPr>
        <w:t>Combiconbill</w:t>
      </w:r>
      <w:proofErr w:type="spellEnd"/>
      <w:r w:rsidR="00766455" w:rsidRPr="009C69FE">
        <w:rPr>
          <w:rFonts w:cs="Arial"/>
          <w:sz w:val="24"/>
          <w:szCs w:val="24"/>
        </w:rPr>
        <w:t xml:space="preserve"> and </w:t>
      </w:r>
      <w:r w:rsidR="004C6064" w:rsidRPr="009C69FE">
        <w:rPr>
          <w:rFonts w:cs="Arial"/>
          <w:sz w:val="24"/>
          <w:szCs w:val="24"/>
        </w:rPr>
        <w:t xml:space="preserve">the ICC Rules </w:t>
      </w:r>
      <w:r w:rsidR="00766455" w:rsidRPr="009C69FE">
        <w:rPr>
          <w:rFonts w:cs="Arial"/>
          <w:sz w:val="24"/>
          <w:szCs w:val="24"/>
        </w:rPr>
        <w:t xml:space="preserve">for a Combined Transport Document (see above) </w:t>
      </w:r>
      <w:r w:rsidR="004C6064" w:rsidRPr="009C69FE">
        <w:rPr>
          <w:rFonts w:cs="Arial"/>
          <w:sz w:val="24"/>
          <w:szCs w:val="24"/>
        </w:rPr>
        <w:t xml:space="preserve">and </w:t>
      </w:r>
      <w:r w:rsidR="00345E54">
        <w:rPr>
          <w:rFonts w:cs="Arial"/>
          <w:sz w:val="24"/>
          <w:szCs w:val="24"/>
        </w:rPr>
        <w:t xml:space="preserve">is still </w:t>
      </w:r>
      <w:r w:rsidR="005E72F4">
        <w:rPr>
          <w:rFonts w:cs="Arial"/>
          <w:sz w:val="24"/>
          <w:szCs w:val="24"/>
        </w:rPr>
        <w:t>currently adapted</w:t>
      </w:r>
      <w:r w:rsidR="004C6064" w:rsidRPr="009C69FE">
        <w:rPr>
          <w:rFonts w:cs="Arial"/>
          <w:sz w:val="24"/>
          <w:szCs w:val="24"/>
        </w:rPr>
        <w:t xml:space="preserve"> </w:t>
      </w:r>
      <w:r w:rsidR="00345E54">
        <w:rPr>
          <w:rFonts w:cs="Arial"/>
          <w:sz w:val="24"/>
          <w:szCs w:val="24"/>
        </w:rPr>
        <w:t xml:space="preserve">for use </w:t>
      </w:r>
      <w:r w:rsidR="004C6064" w:rsidRPr="009C69FE">
        <w:rPr>
          <w:rFonts w:cs="Arial"/>
          <w:sz w:val="24"/>
          <w:szCs w:val="24"/>
        </w:rPr>
        <w:t xml:space="preserve">by </w:t>
      </w:r>
      <w:r w:rsidR="005E72F4">
        <w:rPr>
          <w:rFonts w:cs="Arial"/>
          <w:sz w:val="24"/>
          <w:szCs w:val="24"/>
        </w:rPr>
        <w:t xml:space="preserve">some </w:t>
      </w:r>
      <w:r w:rsidR="004C6064" w:rsidRPr="009C69FE">
        <w:rPr>
          <w:rFonts w:cs="Arial"/>
          <w:sz w:val="24"/>
          <w:szCs w:val="24"/>
        </w:rPr>
        <w:t>commercial operators.  In addition</w:t>
      </w:r>
      <w:r w:rsidR="0006584A">
        <w:rPr>
          <w:rFonts w:cs="Arial"/>
          <w:sz w:val="24"/>
          <w:szCs w:val="24"/>
        </w:rPr>
        <w:t>,</w:t>
      </w:r>
      <w:r w:rsidR="004C6064" w:rsidRPr="009C69FE">
        <w:rPr>
          <w:rFonts w:cs="Arial"/>
          <w:sz w:val="24"/>
          <w:szCs w:val="24"/>
        </w:rPr>
        <w:t xml:space="preserve"> both TCM and ICC use terminology and concepts such as reference to a combined transport operator with a basic responsibility to perform or procure performance.  They also seek to provide for negotiable and non-negotiable combined transport documents.  We will deal with their essential features in respect of the scheme of liability. </w:t>
      </w:r>
    </w:p>
    <w:p w14:paraId="439AD2FB" w14:textId="77777777" w:rsidR="004C6064" w:rsidRPr="009C69FE" w:rsidRDefault="004C6064" w:rsidP="004C6064">
      <w:pPr>
        <w:rPr>
          <w:rFonts w:cs="Arial"/>
          <w:sz w:val="24"/>
          <w:szCs w:val="24"/>
        </w:rPr>
      </w:pPr>
      <w:r w:rsidRPr="009C69FE">
        <w:rPr>
          <w:rFonts w:cs="Arial"/>
          <w:sz w:val="24"/>
          <w:szCs w:val="24"/>
        </w:rPr>
        <w:t>In essence the following features can be identified</w:t>
      </w:r>
      <w:r w:rsidR="00766455" w:rsidRPr="009C69FE">
        <w:rPr>
          <w:rFonts w:cs="Arial"/>
          <w:sz w:val="24"/>
          <w:szCs w:val="24"/>
        </w:rPr>
        <w:t xml:space="preserve"> as taken from the ICC Rules</w:t>
      </w:r>
      <w:r w:rsidRPr="009C69FE">
        <w:rPr>
          <w:rFonts w:cs="Arial"/>
          <w:sz w:val="24"/>
          <w:szCs w:val="24"/>
        </w:rPr>
        <w:t>:</w:t>
      </w:r>
      <w:r w:rsidRPr="009C69FE">
        <w:rPr>
          <w:rFonts w:cs="Arial"/>
          <w:sz w:val="24"/>
          <w:szCs w:val="24"/>
        </w:rPr>
        <w:br/>
      </w:r>
      <w:r w:rsidRPr="009C69FE">
        <w:rPr>
          <w:rFonts w:cs="Arial"/>
          <w:sz w:val="24"/>
          <w:szCs w:val="24"/>
        </w:rPr>
        <w:br/>
        <w:t>The scheme is applied to contracts for combined transport which means the carriage of goods by at least two different modes of transport where the place of taking in charge is in one country and the place designated for delivery is in another.</w:t>
      </w:r>
      <w:r w:rsidRPr="009C69FE">
        <w:rPr>
          <w:rFonts w:cs="Arial"/>
          <w:sz w:val="24"/>
          <w:szCs w:val="24"/>
        </w:rPr>
        <w:br/>
      </w:r>
      <w:r w:rsidRPr="009C69FE">
        <w:rPr>
          <w:rFonts w:cs="Arial"/>
          <w:sz w:val="24"/>
          <w:szCs w:val="24"/>
        </w:rPr>
        <w:br/>
        <w:t>Liability for loss or damage is divided into two parts – one dealing with where the place of the loss or damage is unknown, the other where it is known.</w:t>
      </w:r>
    </w:p>
    <w:p w14:paraId="259CB556" w14:textId="77777777" w:rsidR="004C6064" w:rsidRPr="009C69FE" w:rsidRDefault="0006584A" w:rsidP="004C6064">
      <w:pPr>
        <w:rPr>
          <w:rFonts w:cs="Arial"/>
          <w:sz w:val="24"/>
          <w:szCs w:val="24"/>
        </w:rPr>
      </w:pPr>
      <w:proofErr w:type="spellStart"/>
      <w:r>
        <w:rPr>
          <w:rFonts w:cs="Arial"/>
          <w:sz w:val="24"/>
          <w:szCs w:val="24"/>
        </w:rPr>
        <w:t>i</w:t>
      </w:r>
      <w:proofErr w:type="spellEnd"/>
      <w:r>
        <w:rPr>
          <w:rFonts w:cs="Arial"/>
          <w:sz w:val="24"/>
          <w:szCs w:val="24"/>
        </w:rPr>
        <w:t xml:space="preserve">) </w:t>
      </w:r>
      <w:r w:rsidR="004C6064" w:rsidRPr="009C69FE">
        <w:rPr>
          <w:rFonts w:cs="Arial"/>
          <w:sz w:val="24"/>
          <w:szCs w:val="24"/>
        </w:rPr>
        <w:t>Where the damage is unknown a standard regime is provided whereby the carrier is liable unless he proves that the damage was the result of:</w:t>
      </w:r>
    </w:p>
    <w:p w14:paraId="07E56908" w14:textId="77777777" w:rsidR="004C6064" w:rsidRPr="009C69FE" w:rsidRDefault="004C6064" w:rsidP="004C6064">
      <w:pPr>
        <w:rPr>
          <w:rFonts w:cs="Arial"/>
          <w:sz w:val="24"/>
          <w:szCs w:val="24"/>
        </w:rPr>
      </w:pPr>
      <w:r w:rsidRPr="009C69FE">
        <w:rPr>
          <w:rFonts w:cs="Arial"/>
          <w:sz w:val="24"/>
          <w:szCs w:val="24"/>
        </w:rPr>
        <w:t>a) an act or omission of the consignor or consignee, or person other than the CTO acting on behalf of the consignor or consignee, or from whom the CTO took the goods in charge;</w:t>
      </w:r>
      <w:r w:rsidRPr="009C69FE">
        <w:rPr>
          <w:rFonts w:cs="Arial"/>
          <w:sz w:val="24"/>
          <w:szCs w:val="24"/>
        </w:rPr>
        <w:br/>
        <w:t>b) insufficiency or defective condition of the packing or marks;</w:t>
      </w:r>
      <w:r w:rsidR="002917FD" w:rsidRPr="009C69FE">
        <w:rPr>
          <w:rFonts w:cs="Arial"/>
          <w:sz w:val="24"/>
          <w:szCs w:val="24"/>
        </w:rPr>
        <w:br/>
      </w:r>
      <w:r w:rsidRPr="009C69FE">
        <w:rPr>
          <w:rFonts w:cs="Arial"/>
          <w:sz w:val="24"/>
          <w:szCs w:val="24"/>
        </w:rPr>
        <w:t>c) handling, loading, stowage or unloading of the goods by the consignor or the consignee or any person acting on behalf of the consignor or consignee;</w:t>
      </w:r>
      <w:r w:rsidRPr="009C69FE">
        <w:rPr>
          <w:rFonts w:cs="Arial"/>
          <w:sz w:val="24"/>
          <w:szCs w:val="24"/>
        </w:rPr>
        <w:br/>
        <w:t>d) inherent vice of the goods:</w:t>
      </w:r>
      <w:r w:rsidRPr="009C69FE">
        <w:rPr>
          <w:rFonts w:cs="Arial"/>
          <w:sz w:val="24"/>
          <w:szCs w:val="24"/>
        </w:rPr>
        <w:br/>
        <w:t>e) strike, lockout, stoppage or restraint of labour, the consequences of which the CTO could not avoid by the exercise of reasonable diligence;</w:t>
      </w:r>
      <w:r w:rsidRPr="009C69FE">
        <w:rPr>
          <w:rFonts w:cs="Arial"/>
          <w:sz w:val="24"/>
          <w:szCs w:val="24"/>
        </w:rPr>
        <w:br/>
        <w:t>f) any cause or event which the CTO could not avoid and the consequences of which he could not prevent by the exercise of reasonable diligence;</w:t>
      </w:r>
      <w:r w:rsidR="003A196A" w:rsidRPr="009C69FE">
        <w:rPr>
          <w:rFonts w:cs="Arial"/>
          <w:sz w:val="24"/>
          <w:szCs w:val="24"/>
        </w:rPr>
        <w:br/>
      </w:r>
      <w:r w:rsidRPr="009C69FE">
        <w:rPr>
          <w:rFonts w:cs="Arial"/>
          <w:sz w:val="24"/>
          <w:szCs w:val="24"/>
        </w:rPr>
        <w:t xml:space="preserve">g) a nuclear accident if the operator of a nuclear installation or a person acting for him is liable for this damage under an applicable international Convention or national law </w:t>
      </w:r>
      <w:r w:rsidRPr="009C69FE">
        <w:rPr>
          <w:rFonts w:cs="Arial"/>
          <w:sz w:val="24"/>
          <w:szCs w:val="24"/>
        </w:rPr>
        <w:lastRenderedPageBreak/>
        <w:t>governing liability</w:t>
      </w:r>
      <w:r w:rsidR="00BB3B91" w:rsidRPr="009C69FE">
        <w:rPr>
          <w:rFonts w:cs="Arial"/>
          <w:sz w:val="24"/>
          <w:szCs w:val="24"/>
        </w:rPr>
        <w:t xml:space="preserve"> in respect of nuclear energy.</w:t>
      </w:r>
      <w:r w:rsidR="00BB3B91" w:rsidRPr="009C69FE">
        <w:rPr>
          <w:rFonts w:cs="Arial"/>
          <w:sz w:val="24"/>
          <w:szCs w:val="24"/>
        </w:rPr>
        <w:br/>
      </w:r>
      <w:r w:rsidR="00BB3B91" w:rsidRPr="009C69FE">
        <w:rPr>
          <w:rFonts w:cs="Arial"/>
          <w:sz w:val="24"/>
          <w:szCs w:val="24"/>
        </w:rPr>
        <w:br/>
      </w:r>
      <w:r w:rsidRPr="009C69FE">
        <w:rPr>
          <w:rFonts w:cs="Arial"/>
          <w:sz w:val="24"/>
          <w:szCs w:val="24"/>
        </w:rPr>
        <w:t>As with CMR if the CTO establishes in the circumstances of the case that loss or damage could be attributed to the causes in b) to d) it is presumed that it is so caused and the burden shifts to the claimant.</w:t>
      </w:r>
      <w:r w:rsidR="002917FD" w:rsidRPr="009C69FE">
        <w:rPr>
          <w:rFonts w:cs="Arial"/>
          <w:sz w:val="24"/>
          <w:szCs w:val="24"/>
        </w:rPr>
        <w:t xml:space="preserve"> (</w:t>
      </w:r>
      <w:proofErr w:type="gramStart"/>
      <w:r w:rsidR="002917FD" w:rsidRPr="009C69FE">
        <w:rPr>
          <w:rFonts w:cs="Arial"/>
          <w:sz w:val="24"/>
          <w:szCs w:val="24"/>
        </w:rPr>
        <w:t>see</w:t>
      </w:r>
      <w:proofErr w:type="gramEnd"/>
      <w:r w:rsidR="002917FD" w:rsidRPr="009C69FE">
        <w:rPr>
          <w:rFonts w:cs="Arial"/>
          <w:sz w:val="24"/>
          <w:szCs w:val="24"/>
        </w:rPr>
        <w:t xml:space="preserve"> </w:t>
      </w:r>
      <w:proofErr w:type="spellStart"/>
      <w:r w:rsidR="002917FD" w:rsidRPr="009C69FE">
        <w:rPr>
          <w:rFonts w:cs="Arial"/>
          <w:b/>
          <w:sz w:val="24"/>
          <w:szCs w:val="24"/>
        </w:rPr>
        <w:t>Exportadora</w:t>
      </w:r>
      <w:proofErr w:type="spellEnd"/>
      <w:r w:rsidR="002917FD" w:rsidRPr="009C69FE">
        <w:rPr>
          <w:rFonts w:cs="Arial"/>
          <w:b/>
          <w:sz w:val="24"/>
          <w:szCs w:val="24"/>
        </w:rPr>
        <w:t xml:space="preserve"> </w:t>
      </w:r>
      <w:r w:rsidR="00974BBC" w:rsidRPr="009C69FE">
        <w:rPr>
          <w:rFonts w:cs="Arial"/>
          <w:b/>
          <w:sz w:val="24"/>
          <w:szCs w:val="24"/>
        </w:rPr>
        <w:t xml:space="preserve">Valle de </w:t>
      </w:r>
      <w:proofErr w:type="spellStart"/>
      <w:r w:rsidR="00974BBC" w:rsidRPr="009C69FE">
        <w:rPr>
          <w:rFonts w:cs="Arial"/>
          <w:b/>
          <w:sz w:val="24"/>
          <w:szCs w:val="24"/>
        </w:rPr>
        <w:t>Colina</w:t>
      </w:r>
      <w:proofErr w:type="spellEnd"/>
      <w:r w:rsidR="00974BBC" w:rsidRPr="009C69FE">
        <w:rPr>
          <w:rFonts w:cs="Arial"/>
          <w:b/>
          <w:sz w:val="24"/>
          <w:szCs w:val="24"/>
        </w:rPr>
        <w:t xml:space="preserve"> SA v AP Moller-Maersk AS</w:t>
      </w:r>
      <w:r w:rsidR="00974BBC" w:rsidRPr="009C69FE">
        <w:rPr>
          <w:rFonts w:cs="Arial"/>
          <w:sz w:val="24"/>
          <w:szCs w:val="24"/>
        </w:rPr>
        <w:t xml:space="preserve"> [2010] EWHC 3224 (Comm)).</w:t>
      </w:r>
    </w:p>
    <w:p w14:paraId="2C3E266E" w14:textId="0F6BF0BB" w:rsidR="0048429D" w:rsidRDefault="004C6064" w:rsidP="004C6064">
      <w:pPr>
        <w:rPr>
          <w:rFonts w:cs="Arial"/>
          <w:sz w:val="24"/>
          <w:szCs w:val="24"/>
        </w:rPr>
      </w:pPr>
      <w:r w:rsidRPr="009C69FE">
        <w:rPr>
          <w:rFonts w:cs="Arial"/>
          <w:sz w:val="24"/>
          <w:szCs w:val="24"/>
        </w:rPr>
        <w:t xml:space="preserve">A limit of liability of 30 gold francs per kg was originally indicated subject to declaration of a higher value.  In current bills of lading this has been replaced by a reference to 2 SDR’s per kg – </w:t>
      </w:r>
      <w:proofErr w:type="gramStart"/>
      <w:r w:rsidRPr="009C69FE">
        <w:rPr>
          <w:rFonts w:cs="Arial"/>
          <w:sz w:val="24"/>
          <w:szCs w:val="24"/>
        </w:rPr>
        <w:t>i.e.</w:t>
      </w:r>
      <w:proofErr w:type="gramEnd"/>
      <w:r w:rsidRPr="009C69FE">
        <w:rPr>
          <w:rFonts w:cs="Arial"/>
          <w:sz w:val="24"/>
          <w:szCs w:val="24"/>
        </w:rPr>
        <w:t xml:space="preserve"> the current Hague-Visby Rules weight limit.</w:t>
      </w:r>
      <w:r w:rsidR="00BB3B91" w:rsidRPr="009C69FE">
        <w:rPr>
          <w:rFonts w:cs="Arial"/>
          <w:sz w:val="24"/>
          <w:szCs w:val="24"/>
        </w:rPr>
        <w:t xml:space="preserve">  The value of the goods is determined at the time and place that the goods are delivered or should have been delivered.</w:t>
      </w:r>
      <w:r w:rsidRPr="009C69FE">
        <w:rPr>
          <w:rFonts w:cs="Arial"/>
          <w:sz w:val="24"/>
          <w:szCs w:val="24"/>
        </w:rPr>
        <w:br/>
      </w:r>
      <w:r w:rsidRPr="009C69FE">
        <w:rPr>
          <w:rFonts w:cs="Arial"/>
          <w:sz w:val="24"/>
          <w:szCs w:val="24"/>
        </w:rPr>
        <w:br/>
      </w:r>
      <w:r w:rsidR="0006584A">
        <w:rPr>
          <w:rFonts w:cs="Arial"/>
          <w:sz w:val="24"/>
          <w:szCs w:val="24"/>
        </w:rPr>
        <w:t xml:space="preserve">ii) </w:t>
      </w:r>
      <w:r w:rsidRPr="009C69FE">
        <w:rPr>
          <w:rFonts w:cs="Arial"/>
          <w:sz w:val="24"/>
          <w:szCs w:val="24"/>
        </w:rPr>
        <w:t>Where the loss or damage is known</w:t>
      </w:r>
      <w:r w:rsidR="0006584A">
        <w:rPr>
          <w:rFonts w:cs="Arial"/>
          <w:sz w:val="24"/>
          <w:szCs w:val="24"/>
        </w:rPr>
        <w:t>,</w:t>
      </w:r>
      <w:r w:rsidRPr="009C69FE">
        <w:rPr>
          <w:rFonts w:cs="Arial"/>
          <w:sz w:val="24"/>
          <w:szCs w:val="24"/>
        </w:rPr>
        <w:t xml:space="preserve"> loss or damage is determined:</w:t>
      </w:r>
      <w:r w:rsidRPr="009C69FE">
        <w:rPr>
          <w:rFonts w:cs="Arial"/>
          <w:sz w:val="24"/>
          <w:szCs w:val="24"/>
        </w:rPr>
        <w:br/>
      </w:r>
      <w:r w:rsidR="0026199F">
        <w:rPr>
          <w:rFonts w:cs="Arial"/>
          <w:sz w:val="24"/>
          <w:szCs w:val="24"/>
        </w:rPr>
        <w:br/>
      </w:r>
      <w:r w:rsidRPr="009C69FE">
        <w:rPr>
          <w:rFonts w:cs="Arial"/>
          <w:sz w:val="24"/>
          <w:szCs w:val="24"/>
        </w:rPr>
        <w:t>a) by the provisions contained in any international convention or national law which cannot be departed from to the detriment of the claimant which would have applied if the claimant had made a separate and direct contract with the CTO in respect of the particular stage of transport where the loss or damage occurred and received as evidence any particular document which must be issued in order to make such law applicable</w:t>
      </w:r>
      <w:r w:rsidR="00C93BE1">
        <w:rPr>
          <w:rFonts w:cs="Arial"/>
          <w:sz w:val="24"/>
          <w:szCs w:val="24"/>
        </w:rPr>
        <w:t>.</w:t>
      </w:r>
      <w:r w:rsidR="00C93BE1">
        <w:rPr>
          <w:rFonts w:cs="Arial"/>
          <w:sz w:val="24"/>
          <w:szCs w:val="24"/>
        </w:rPr>
        <w:br/>
      </w:r>
      <w:r w:rsidR="00C93BE1">
        <w:rPr>
          <w:rFonts w:cs="Arial"/>
          <w:sz w:val="24"/>
          <w:szCs w:val="24"/>
        </w:rPr>
        <w:br/>
        <w:t xml:space="preserve">Note that </w:t>
      </w:r>
      <w:r w:rsidR="00E86FDA" w:rsidRPr="009C69FE">
        <w:rPr>
          <w:rFonts w:cs="Arial"/>
          <w:sz w:val="24"/>
          <w:szCs w:val="24"/>
        </w:rPr>
        <w:t>this a</w:t>
      </w:r>
      <w:r w:rsidR="00300B85" w:rsidRPr="009C69FE">
        <w:rPr>
          <w:rFonts w:cs="Arial"/>
          <w:sz w:val="24"/>
          <w:szCs w:val="24"/>
        </w:rPr>
        <w:t xml:space="preserve"> hypothetical contract formula</w:t>
      </w:r>
      <w:r w:rsidR="00E86FDA" w:rsidRPr="009C69FE">
        <w:rPr>
          <w:rFonts w:cs="Arial"/>
          <w:sz w:val="24"/>
          <w:szCs w:val="24"/>
        </w:rPr>
        <w:t xml:space="preserve"> like CMR but </w:t>
      </w:r>
      <w:r w:rsidR="00C93BE1">
        <w:rPr>
          <w:rFonts w:cs="Arial"/>
          <w:sz w:val="24"/>
          <w:szCs w:val="24"/>
        </w:rPr>
        <w:t xml:space="preserve">is </w:t>
      </w:r>
      <w:r w:rsidR="00E86FDA" w:rsidRPr="009C69FE">
        <w:rPr>
          <w:rFonts w:cs="Arial"/>
          <w:sz w:val="24"/>
          <w:szCs w:val="24"/>
        </w:rPr>
        <w:t>differen</w:t>
      </w:r>
      <w:r w:rsidR="00C93BE1">
        <w:rPr>
          <w:rFonts w:cs="Arial"/>
          <w:sz w:val="24"/>
          <w:szCs w:val="24"/>
        </w:rPr>
        <w:t xml:space="preserve">t as to </w:t>
      </w:r>
      <w:r w:rsidR="00E86FDA" w:rsidRPr="009C69FE">
        <w:rPr>
          <w:rFonts w:cs="Arial"/>
          <w:sz w:val="24"/>
          <w:szCs w:val="24"/>
        </w:rPr>
        <w:t>whom the hypothetical contract is with</w:t>
      </w:r>
      <w:r w:rsidR="00766455" w:rsidRPr="009C69FE">
        <w:rPr>
          <w:rFonts w:cs="Arial"/>
          <w:sz w:val="24"/>
          <w:szCs w:val="24"/>
        </w:rPr>
        <w:t xml:space="preserve">. </w:t>
      </w:r>
      <w:r w:rsidR="00226722">
        <w:rPr>
          <w:rFonts w:cs="Arial"/>
          <w:sz w:val="24"/>
          <w:szCs w:val="24"/>
        </w:rPr>
        <w:t xml:space="preserve"> Note also that draft TCM (if it had come into </w:t>
      </w:r>
      <w:proofErr w:type="gramStart"/>
      <w:r w:rsidR="00226722">
        <w:rPr>
          <w:rFonts w:cs="Arial"/>
          <w:sz w:val="24"/>
          <w:szCs w:val="24"/>
        </w:rPr>
        <w:t>force)  would</w:t>
      </w:r>
      <w:proofErr w:type="gramEnd"/>
      <w:r w:rsidR="00226722">
        <w:rPr>
          <w:rFonts w:cs="Arial"/>
          <w:sz w:val="24"/>
          <w:szCs w:val="24"/>
        </w:rPr>
        <w:t xml:space="preserve"> have given </w:t>
      </w:r>
      <w:r w:rsidR="00AF5539">
        <w:rPr>
          <w:rFonts w:cs="Arial"/>
          <w:sz w:val="24"/>
          <w:szCs w:val="24"/>
        </w:rPr>
        <w:t xml:space="preserve">mandatory effect to any contract which adopted the rules. This would presumably mean that a court would </w:t>
      </w:r>
      <w:r w:rsidR="00FC4AF1">
        <w:rPr>
          <w:rFonts w:cs="Arial"/>
          <w:sz w:val="24"/>
          <w:szCs w:val="24"/>
        </w:rPr>
        <w:t xml:space="preserve">apply the law of the forum and not have to worry about conflicts of laws.  Since the contracts which make </w:t>
      </w:r>
      <w:r w:rsidR="003602BB">
        <w:rPr>
          <w:rFonts w:cs="Arial"/>
          <w:sz w:val="24"/>
          <w:szCs w:val="24"/>
        </w:rPr>
        <w:t xml:space="preserve">use of its provisions only have the force of contract then presumably there would be an </w:t>
      </w:r>
      <w:proofErr w:type="gramStart"/>
      <w:r w:rsidR="003602BB">
        <w:rPr>
          <w:rFonts w:cs="Arial"/>
          <w:sz w:val="24"/>
          <w:szCs w:val="24"/>
        </w:rPr>
        <w:t>initial questions</w:t>
      </w:r>
      <w:proofErr w:type="gramEnd"/>
      <w:r w:rsidR="003602BB">
        <w:rPr>
          <w:rFonts w:cs="Arial"/>
          <w:sz w:val="24"/>
          <w:szCs w:val="24"/>
        </w:rPr>
        <w:t xml:space="preserve"> as to what national law governs the contract </w:t>
      </w:r>
      <w:r w:rsidR="00020BB5">
        <w:rPr>
          <w:rFonts w:cs="Arial"/>
          <w:sz w:val="24"/>
          <w:szCs w:val="24"/>
        </w:rPr>
        <w:t xml:space="preserve">(which would also naturally govern the hypothetical contract since </w:t>
      </w:r>
      <w:r w:rsidR="009C2C54">
        <w:rPr>
          <w:rFonts w:cs="Arial"/>
          <w:sz w:val="24"/>
          <w:szCs w:val="24"/>
        </w:rPr>
        <w:t xml:space="preserve">the same parties would have been involved </w:t>
      </w:r>
      <w:r w:rsidR="00DA64CA">
        <w:rPr>
          <w:rFonts w:cs="Arial"/>
          <w:sz w:val="24"/>
          <w:szCs w:val="24"/>
        </w:rPr>
        <w:t>in that contract).</w:t>
      </w:r>
    </w:p>
    <w:p w14:paraId="06FB01A5" w14:textId="6351D7D6" w:rsidR="004C6064" w:rsidRPr="009C69FE" w:rsidRDefault="00766455" w:rsidP="004C6064">
      <w:pPr>
        <w:rPr>
          <w:rFonts w:cs="Arial"/>
          <w:sz w:val="24"/>
          <w:szCs w:val="24"/>
        </w:rPr>
      </w:pPr>
      <w:r w:rsidRPr="009C69FE">
        <w:rPr>
          <w:rFonts w:cs="Arial"/>
          <w:sz w:val="24"/>
          <w:szCs w:val="24"/>
        </w:rPr>
        <w:t xml:space="preserve"> </w:t>
      </w:r>
      <w:r w:rsidR="00F64CAA">
        <w:rPr>
          <w:rFonts w:cs="Arial"/>
          <w:sz w:val="24"/>
          <w:szCs w:val="24"/>
        </w:rPr>
        <w:t xml:space="preserve"> </w:t>
      </w:r>
      <w:r w:rsidR="003A196A" w:rsidRPr="009C69FE">
        <w:rPr>
          <w:rFonts w:cs="Arial"/>
          <w:sz w:val="24"/>
          <w:szCs w:val="24"/>
        </w:rPr>
        <w:br/>
      </w:r>
      <w:r w:rsidR="004C6064" w:rsidRPr="009C69FE">
        <w:rPr>
          <w:rFonts w:cs="Arial"/>
          <w:sz w:val="24"/>
          <w:szCs w:val="24"/>
        </w:rPr>
        <w:t xml:space="preserve">b) If no such compulsory rule is applicable then the provisions of any relevant international convention can be applied provided it is expressly indicated that </w:t>
      </w:r>
      <w:proofErr w:type="gramStart"/>
      <w:r w:rsidR="004C6064" w:rsidRPr="009C69FE">
        <w:rPr>
          <w:rFonts w:cs="Arial"/>
          <w:sz w:val="24"/>
          <w:szCs w:val="24"/>
        </w:rPr>
        <w:t>all of</w:t>
      </w:r>
      <w:proofErr w:type="gramEnd"/>
      <w:r w:rsidR="004C6064" w:rsidRPr="009C69FE">
        <w:rPr>
          <w:rFonts w:cs="Arial"/>
          <w:sz w:val="24"/>
          <w:szCs w:val="24"/>
        </w:rPr>
        <w:t xml:space="preserve"> its provisions apply, and in the case of carriage by sea, applied whether the goods are carried on or below deck.  In the case of inland </w:t>
      </w:r>
      <w:r w:rsidR="0006584A" w:rsidRPr="009C69FE">
        <w:rPr>
          <w:rFonts w:cs="Arial"/>
          <w:sz w:val="24"/>
          <w:szCs w:val="24"/>
        </w:rPr>
        <w:t>waterways,</w:t>
      </w:r>
      <w:r w:rsidR="004C6064" w:rsidRPr="009C69FE">
        <w:rPr>
          <w:rFonts w:cs="Arial"/>
          <w:sz w:val="24"/>
          <w:szCs w:val="24"/>
        </w:rPr>
        <w:t xml:space="preserve"> the CTO is allowed to apply the terms used by its sub-contractor.</w:t>
      </w:r>
      <w:r w:rsidR="00696C45">
        <w:rPr>
          <w:rFonts w:cs="Arial"/>
          <w:sz w:val="24"/>
          <w:szCs w:val="24"/>
        </w:rPr>
        <w:br/>
      </w:r>
      <w:r w:rsidR="00E86FDA" w:rsidRPr="009C69FE">
        <w:rPr>
          <w:rFonts w:cs="Arial"/>
          <w:sz w:val="24"/>
          <w:szCs w:val="24"/>
        </w:rPr>
        <w:br/>
      </w:r>
      <w:r w:rsidR="004C6064" w:rsidRPr="009C69FE">
        <w:rPr>
          <w:rFonts w:cs="Arial"/>
          <w:sz w:val="24"/>
          <w:szCs w:val="24"/>
        </w:rPr>
        <w:t>c) In cases where it is not possible to identify an applicable convention or national law the liability reverts to that applicable where the damage is unknown.</w:t>
      </w:r>
    </w:p>
    <w:p w14:paraId="667AD115" w14:textId="77777777" w:rsidR="00766455" w:rsidRPr="009C69FE" w:rsidRDefault="004C6064" w:rsidP="004C6064">
      <w:pPr>
        <w:rPr>
          <w:rFonts w:cs="Arial"/>
          <w:sz w:val="24"/>
          <w:szCs w:val="24"/>
        </w:rPr>
      </w:pPr>
      <w:r w:rsidRPr="009C69FE">
        <w:rPr>
          <w:rFonts w:cs="Arial"/>
          <w:sz w:val="24"/>
          <w:szCs w:val="24"/>
        </w:rPr>
        <w:t>d) In the case of delay there is only liability if the s</w:t>
      </w:r>
      <w:r w:rsidR="00015459">
        <w:rPr>
          <w:rFonts w:cs="Arial"/>
          <w:sz w:val="24"/>
          <w:szCs w:val="24"/>
        </w:rPr>
        <w:t>tage where the delay occurred is</w:t>
      </w:r>
      <w:r w:rsidRPr="009C69FE">
        <w:rPr>
          <w:rFonts w:cs="Arial"/>
          <w:sz w:val="24"/>
          <w:szCs w:val="24"/>
        </w:rPr>
        <w:t xml:space="preserve"> known and there is liability under an international convention or national law identified as in a).  Even in this case liability is limited to the amount of the freight provided this is not contrary to any applicable international convention or national law.</w:t>
      </w:r>
    </w:p>
    <w:p w14:paraId="10B41109" w14:textId="77777777" w:rsidR="00897925" w:rsidRPr="009C69FE" w:rsidRDefault="004C6064" w:rsidP="004C6064">
      <w:pPr>
        <w:rPr>
          <w:rFonts w:cs="Arial"/>
          <w:sz w:val="24"/>
          <w:szCs w:val="24"/>
        </w:rPr>
      </w:pPr>
      <w:r w:rsidRPr="009C69FE">
        <w:rPr>
          <w:rFonts w:cs="Arial"/>
          <w:sz w:val="24"/>
          <w:szCs w:val="24"/>
        </w:rPr>
        <w:t>Note that this and the other “official” schemes discussed below provide for loss of limits in the case of intentionally or recklessly caused loss or damage.</w:t>
      </w:r>
      <w:r w:rsidRPr="009C69FE">
        <w:rPr>
          <w:rFonts w:cs="Arial"/>
          <w:sz w:val="24"/>
          <w:szCs w:val="24"/>
        </w:rPr>
        <w:br/>
      </w:r>
      <w:r w:rsidRPr="009C69FE">
        <w:rPr>
          <w:rFonts w:cs="Arial"/>
          <w:sz w:val="24"/>
          <w:szCs w:val="24"/>
        </w:rPr>
        <w:br/>
        <w:t xml:space="preserve">The rules also apply a time limit of 9 months for claims against the CTO.   This is designed to </w:t>
      </w:r>
      <w:r w:rsidRPr="009C69FE">
        <w:rPr>
          <w:rFonts w:cs="Arial"/>
          <w:sz w:val="24"/>
          <w:szCs w:val="24"/>
        </w:rPr>
        <w:lastRenderedPageBreak/>
        <w:t>give the CTO time to bring a recourse action agai</w:t>
      </w:r>
      <w:r w:rsidR="00766455" w:rsidRPr="009C69FE">
        <w:rPr>
          <w:rFonts w:cs="Arial"/>
          <w:sz w:val="24"/>
          <w:szCs w:val="24"/>
        </w:rPr>
        <w:t>nst performing sub-contractors.</w:t>
      </w:r>
      <w:r w:rsidR="00766455" w:rsidRPr="009C69FE">
        <w:rPr>
          <w:rFonts w:cs="Arial"/>
          <w:sz w:val="24"/>
          <w:szCs w:val="24"/>
        </w:rPr>
        <w:br/>
      </w:r>
      <w:r w:rsidR="00766455" w:rsidRPr="009C69FE">
        <w:rPr>
          <w:rFonts w:cs="Arial"/>
          <w:sz w:val="24"/>
          <w:szCs w:val="24"/>
        </w:rPr>
        <w:br/>
      </w:r>
      <w:r w:rsidR="00BB3B91" w:rsidRPr="009C69FE">
        <w:rPr>
          <w:rFonts w:cs="Arial"/>
          <w:sz w:val="24"/>
          <w:szCs w:val="24"/>
        </w:rPr>
        <w:t xml:space="preserve">Compare </w:t>
      </w:r>
      <w:proofErr w:type="spellStart"/>
      <w:r w:rsidR="00BB3B91" w:rsidRPr="009C69FE">
        <w:rPr>
          <w:rFonts w:cs="Arial"/>
          <w:sz w:val="24"/>
          <w:szCs w:val="24"/>
        </w:rPr>
        <w:t>Combiconbill</w:t>
      </w:r>
      <w:proofErr w:type="spellEnd"/>
      <w:r w:rsidR="00BB3B91" w:rsidRPr="009C69FE">
        <w:rPr>
          <w:rFonts w:cs="Arial"/>
          <w:sz w:val="24"/>
          <w:szCs w:val="24"/>
        </w:rPr>
        <w:t xml:space="preserve"> clauses 4, 9-12, 14</w:t>
      </w:r>
      <w:r w:rsidR="00897925" w:rsidRPr="009C69FE">
        <w:rPr>
          <w:rFonts w:cs="Arial"/>
          <w:sz w:val="24"/>
          <w:szCs w:val="24"/>
        </w:rPr>
        <w:t>.</w:t>
      </w:r>
    </w:p>
    <w:p w14:paraId="66FE4A27" w14:textId="14B636DD" w:rsidR="00897925" w:rsidRPr="009C69FE" w:rsidRDefault="00897925" w:rsidP="004C6064">
      <w:pPr>
        <w:rPr>
          <w:rFonts w:cs="Arial"/>
          <w:sz w:val="24"/>
          <w:szCs w:val="24"/>
        </w:rPr>
      </w:pPr>
      <w:r w:rsidRPr="009C69FE">
        <w:rPr>
          <w:rFonts w:cs="Arial"/>
          <w:sz w:val="24"/>
          <w:szCs w:val="24"/>
        </w:rPr>
        <w:t xml:space="preserve">Additional clauses must be included in the document to deal with the other aspects of the carriage such as shipper’s responsibilities etc.  Most important is the Himalaya Clause (see </w:t>
      </w:r>
      <w:proofErr w:type="gramStart"/>
      <w:r w:rsidRPr="009C69FE">
        <w:rPr>
          <w:rFonts w:cs="Arial"/>
          <w:sz w:val="24"/>
          <w:szCs w:val="24"/>
        </w:rPr>
        <w:t>e.g.</w:t>
      </w:r>
      <w:proofErr w:type="gramEnd"/>
      <w:r w:rsidRPr="009C69FE">
        <w:rPr>
          <w:rFonts w:cs="Arial"/>
          <w:sz w:val="24"/>
          <w:szCs w:val="24"/>
        </w:rPr>
        <w:t xml:space="preserve"> cl 15 in </w:t>
      </w:r>
      <w:proofErr w:type="spellStart"/>
      <w:r w:rsidRPr="009C69FE">
        <w:rPr>
          <w:rFonts w:cs="Arial"/>
          <w:sz w:val="24"/>
          <w:szCs w:val="24"/>
        </w:rPr>
        <w:t>Combiconbill</w:t>
      </w:r>
      <w:proofErr w:type="spellEnd"/>
      <w:r w:rsidR="00E86FDA" w:rsidRPr="009C69FE">
        <w:rPr>
          <w:rFonts w:cs="Arial"/>
          <w:sz w:val="24"/>
          <w:szCs w:val="24"/>
        </w:rPr>
        <w:t>)</w:t>
      </w:r>
      <w:r w:rsidRPr="009C69FE">
        <w:rPr>
          <w:rFonts w:cs="Arial"/>
          <w:sz w:val="24"/>
          <w:szCs w:val="24"/>
        </w:rPr>
        <w:t xml:space="preserve">.  </w:t>
      </w:r>
      <w:r w:rsidR="00E86FDA" w:rsidRPr="009C69FE">
        <w:rPr>
          <w:rFonts w:cs="Arial"/>
          <w:sz w:val="24"/>
          <w:szCs w:val="24"/>
        </w:rPr>
        <w:t>Note that o</w:t>
      </w:r>
      <w:r w:rsidRPr="009C69FE">
        <w:rPr>
          <w:rFonts w:cs="Arial"/>
          <w:sz w:val="24"/>
          <w:szCs w:val="24"/>
        </w:rPr>
        <w:t>perators</w:t>
      </w:r>
      <w:r w:rsidR="00593965">
        <w:rPr>
          <w:rFonts w:cs="Arial"/>
          <w:sz w:val="24"/>
          <w:szCs w:val="24"/>
        </w:rPr>
        <w:t>’</w:t>
      </w:r>
      <w:r w:rsidRPr="009C69FE">
        <w:rPr>
          <w:rFonts w:cs="Arial"/>
          <w:sz w:val="24"/>
          <w:szCs w:val="24"/>
        </w:rPr>
        <w:t xml:space="preserve"> terms and conditions are also often adjusted to deal with local conditions especially carriage to or from the USA in respect of which it is </w:t>
      </w:r>
      <w:proofErr w:type="gramStart"/>
      <w:r w:rsidRPr="009C69FE">
        <w:rPr>
          <w:rFonts w:cs="Arial"/>
          <w:sz w:val="24"/>
          <w:szCs w:val="24"/>
        </w:rPr>
        <w:t>advisable</w:t>
      </w:r>
      <w:r w:rsidR="00DA64CA">
        <w:rPr>
          <w:rFonts w:cs="Arial"/>
          <w:sz w:val="24"/>
          <w:szCs w:val="24"/>
        </w:rPr>
        <w:t>, if</w:t>
      </w:r>
      <w:proofErr w:type="gramEnd"/>
      <w:r w:rsidR="00DA64CA">
        <w:rPr>
          <w:rFonts w:cs="Arial"/>
          <w:sz w:val="24"/>
          <w:szCs w:val="24"/>
        </w:rPr>
        <w:t xml:space="preserve"> carriage by sea if one of the modes</w:t>
      </w:r>
      <w:r w:rsidR="005B0359">
        <w:rPr>
          <w:rFonts w:cs="Arial"/>
          <w:sz w:val="24"/>
          <w:szCs w:val="24"/>
        </w:rPr>
        <w:t xml:space="preserve">) </w:t>
      </w:r>
      <w:r w:rsidRPr="009C69FE">
        <w:rPr>
          <w:rFonts w:cs="Arial"/>
          <w:sz w:val="24"/>
          <w:szCs w:val="24"/>
        </w:rPr>
        <w:t>to include a US COGSA paramount clause.</w:t>
      </w:r>
    </w:p>
    <w:p w14:paraId="446FA9BC" w14:textId="1C4C8468" w:rsidR="0093323E" w:rsidRPr="009C69FE" w:rsidRDefault="00E86FDA" w:rsidP="004C6064">
      <w:pPr>
        <w:rPr>
          <w:rFonts w:cs="Arial"/>
          <w:sz w:val="24"/>
          <w:szCs w:val="24"/>
        </w:rPr>
      </w:pPr>
      <w:r w:rsidRPr="009C69FE">
        <w:rPr>
          <w:rFonts w:cs="Arial"/>
          <w:sz w:val="24"/>
          <w:szCs w:val="24"/>
        </w:rPr>
        <w:t>If an operator wishes to take the advantage of showing compliance with ICC Rules it must follow them exactly in its terms and conditions which is</w:t>
      </w:r>
      <w:r w:rsidR="007A4D8C" w:rsidRPr="009C69FE">
        <w:rPr>
          <w:rFonts w:cs="Arial"/>
          <w:sz w:val="24"/>
          <w:szCs w:val="24"/>
        </w:rPr>
        <w:t>, in effect,</w:t>
      </w:r>
      <w:r w:rsidRPr="009C69FE">
        <w:rPr>
          <w:rFonts w:cs="Arial"/>
          <w:sz w:val="24"/>
          <w:szCs w:val="24"/>
        </w:rPr>
        <w:t xml:space="preserve"> true of </w:t>
      </w:r>
      <w:proofErr w:type="spellStart"/>
      <w:r w:rsidRPr="009C69FE">
        <w:rPr>
          <w:rFonts w:cs="Arial"/>
          <w:sz w:val="24"/>
          <w:szCs w:val="24"/>
        </w:rPr>
        <w:t>Combiconbill</w:t>
      </w:r>
      <w:proofErr w:type="spellEnd"/>
      <w:r w:rsidR="007A4D8C" w:rsidRPr="009C69FE">
        <w:rPr>
          <w:rFonts w:cs="Arial"/>
          <w:sz w:val="24"/>
          <w:szCs w:val="24"/>
        </w:rPr>
        <w:t xml:space="preserve">.  Some </w:t>
      </w:r>
      <w:r w:rsidR="00A377A7" w:rsidRPr="009C69FE">
        <w:rPr>
          <w:rFonts w:cs="Arial"/>
          <w:sz w:val="24"/>
          <w:szCs w:val="24"/>
        </w:rPr>
        <w:t>operators,</w:t>
      </w:r>
      <w:r w:rsidRPr="009C69FE">
        <w:rPr>
          <w:rFonts w:cs="Arial"/>
          <w:sz w:val="24"/>
          <w:szCs w:val="24"/>
        </w:rPr>
        <w:t xml:space="preserve"> however, use the terms simply as a basis for their own terms.  </w:t>
      </w:r>
      <w:r w:rsidR="00A377A7" w:rsidRPr="009C69FE">
        <w:rPr>
          <w:rFonts w:cs="Arial"/>
          <w:sz w:val="24"/>
          <w:szCs w:val="24"/>
        </w:rPr>
        <w:t>Thus,</w:t>
      </w:r>
      <w:r w:rsidRPr="009C69FE">
        <w:rPr>
          <w:rFonts w:cs="Arial"/>
          <w:sz w:val="24"/>
          <w:szCs w:val="24"/>
        </w:rPr>
        <w:t xml:space="preserve"> some operators apply the Hag</w:t>
      </w:r>
      <w:r w:rsidR="00B4097D" w:rsidRPr="009C69FE">
        <w:rPr>
          <w:rFonts w:cs="Arial"/>
          <w:sz w:val="24"/>
          <w:szCs w:val="24"/>
        </w:rPr>
        <w:t xml:space="preserve">ue Rules only in part and put a </w:t>
      </w:r>
      <w:r w:rsidRPr="009C69FE">
        <w:rPr>
          <w:rFonts w:cs="Arial"/>
          <w:sz w:val="24"/>
          <w:szCs w:val="24"/>
        </w:rPr>
        <w:t>package or uni</w:t>
      </w:r>
      <w:r w:rsidR="00616ED2">
        <w:rPr>
          <w:rFonts w:cs="Arial"/>
          <w:sz w:val="24"/>
          <w:szCs w:val="24"/>
        </w:rPr>
        <w:t>t limit of</w:t>
      </w:r>
      <w:r w:rsidR="00380D5F">
        <w:rPr>
          <w:rFonts w:cs="Arial"/>
          <w:sz w:val="24"/>
          <w:szCs w:val="24"/>
        </w:rPr>
        <w:t xml:space="preserve"> e.g.</w:t>
      </w:r>
      <w:r w:rsidR="00765169">
        <w:rPr>
          <w:rFonts w:cs="Arial"/>
          <w:sz w:val="24"/>
          <w:szCs w:val="24"/>
        </w:rPr>
        <w:t xml:space="preserve"> 2 SDR’s </w:t>
      </w:r>
      <w:proofErr w:type="gramStart"/>
      <w:r w:rsidR="00765169">
        <w:rPr>
          <w:rFonts w:cs="Arial"/>
          <w:sz w:val="24"/>
          <w:szCs w:val="24"/>
        </w:rPr>
        <w:t>-  See</w:t>
      </w:r>
      <w:proofErr w:type="gramEnd"/>
      <w:r w:rsidR="009B1D32">
        <w:rPr>
          <w:rFonts w:cs="Arial"/>
          <w:sz w:val="24"/>
          <w:szCs w:val="24"/>
        </w:rPr>
        <w:t>, e.g., clause 8.</w:t>
      </w:r>
      <w:r w:rsidR="00214BA7">
        <w:rPr>
          <w:rFonts w:cs="Arial"/>
          <w:sz w:val="24"/>
          <w:szCs w:val="24"/>
        </w:rPr>
        <w:t>2 c</w:t>
      </w:r>
      <w:r w:rsidR="00765169">
        <w:rPr>
          <w:rFonts w:cs="Arial"/>
          <w:sz w:val="24"/>
          <w:szCs w:val="24"/>
        </w:rPr>
        <w:t xml:space="preserve"> </w:t>
      </w:r>
      <w:r w:rsidR="00214BA7">
        <w:rPr>
          <w:rFonts w:cs="Arial"/>
          <w:sz w:val="24"/>
          <w:szCs w:val="24"/>
        </w:rPr>
        <w:t xml:space="preserve">of </w:t>
      </w:r>
      <w:r w:rsidR="00765169">
        <w:rPr>
          <w:rFonts w:cs="Arial"/>
          <w:sz w:val="24"/>
          <w:szCs w:val="24"/>
        </w:rPr>
        <w:t xml:space="preserve">the </w:t>
      </w:r>
      <w:r w:rsidR="009B1D32">
        <w:rPr>
          <w:rFonts w:cs="Arial"/>
          <w:sz w:val="24"/>
          <w:szCs w:val="24"/>
        </w:rPr>
        <w:t>Maersk</w:t>
      </w:r>
      <w:r w:rsidR="00B4097D" w:rsidRPr="009C69FE">
        <w:rPr>
          <w:rFonts w:cs="Arial"/>
          <w:sz w:val="24"/>
          <w:szCs w:val="24"/>
        </w:rPr>
        <w:t xml:space="preserve"> </w:t>
      </w:r>
      <w:r w:rsidR="00671784">
        <w:rPr>
          <w:rFonts w:cs="Arial"/>
          <w:sz w:val="24"/>
          <w:szCs w:val="24"/>
        </w:rPr>
        <w:t xml:space="preserve">House </w:t>
      </w:r>
      <w:r w:rsidR="007A4D8C" w:rsidRPr="009C69FE">
        <w:rPr>
          <w:rFonts w:cs="Arial"/>
          <w:sz w:val="24"/>
          <w:szCs w:val="24"/>
        </w:rPr>
        <w:t xml:space="preserve">bill of lading </w:t>
      </w:r>
      <w:r w:rsidR="005B6C3C">
        <w:rPr>
          <w:rFonts w:cs="Arial"/>
          <w:sz w:val="24"/>
          <w:szCs w:val="24"/>
        </w:rPr>
        <w:t>(</w:t>
      </w:r>
      <w:hyperlink r:id="rId46" w:history="1">
        <w:r w:rsidR="00A22FE4" w:rsidRPr="006261FA">
          <w:rPr>
            <w:rStyle w:val="Hyperlink"/>
            <w:rFonts w:cs="Arial"/>
            <w:sz w:val="24"/>
            <w:szCs w:val="24"/>
          </w:rPr>
          <w:t>https://terms.maersk.com/HBL</w:t>
        </w:r>
      </w:hyperlink>
      <w:r w:rsidR="00A22FE4">
        <w:rPr>
          <w:rFonts w:cs="Arial"/>
          <w:sz w:val="24"/>
          <w:szCs w:val="24"/>
        </w:rPr>
        <w:t xml:space="preserve">). </w:t>
      </w:r>
    </w:p>
    <w:p w14:paraId="0ACF7CE6" w14:textId="287206C6" w:rsidR="007A4D8C" w:rsidRPr="009C69FE" w:rsidRDefault="007A4D8C" w:rsidP="004C6064">
      <w:pPr>
        <w:rPr>
          <w:rFonts w:cs="Arial"/>
          <w:sz w:val="24"/>
          <w:szCs w:val="24"/>
        </w:rPr>
      </w:pPr>
      <w:r w:rsidRPr="009C69FE">
        <w:rPr>
          <w:rFonts w:cs="Arial"/>
          <w:sz w:val="24"/>
          <w:szCs w:val="24"/>
        </w:rPr>
        <w:t xml:space="preserve">Some terms may depart radically from the scheme or keep less closely to it.  </w:t>
      </w:r>
      <w:proofErr w:type="gramStart"/>
      <w:r w:rsidRPr="009C69FE">
        <w:rPr>
          <w:rFonts w:cs="Arial"/>
          <w:sz w:val="24"/>
          <w:szCs w:val="24"/>
        </w:rPr>
        <w:t>E.g.</w:t>
      </w:r>
      <w:proofErr w:type="gramEnd"/>
      <w:r w:rsidRPr="009C69FE">
        <w:rPr>
          <w:rFonts w:cs="Arial"/>
          <w:sz w:val="24"/>
          <w:szCs w:val="24"/>
        </w:rPr>
        <w:t xml:space="preserve"> </w:t>
      </w:r>
      <w:r w:rsidR="008E74C6" w:rsidRPr="009C69FE">
        <w:rPr>
          <w:rFonts w:cs="Arial"/>
          <w:sz w:val="24"/>
          <w:szCs w:val="24"/>
        </w:rPr>
        <w:t>Hapag-Lloyd applies</w:t>
      </w:r>
      <w:r w:rsidR="0093323E" w:rsidRPr="009C69FE">
        <w:rPr>
          <w:rFonts w:cs="Arial"/>
          <w:sz w:val="24"/>
          <w:szCs w:val="24"/>
        </w:rPr>
        <w:t xml:space="preserve"> (</w:t>
      </w:r>
      <w:r w:rsidRPr="009C69FE">
        <w:rPr>
          <w:rFonts w:cs="Arial"/>
          <w:sz w:val="24"/>
          <w:szCs w:val="24"/>
        </w:rPr>
        <w:t xml:space="preserve">in essence), where the loss or damage is known: the Hague Rules to sea carriage, CMR to road carriage in Europe, CIM to rail carriage in Europe and any law applicable to the particular leg subject to a limit of liability of 2 SDR’s if the law is not compulsory.  If </w:t>
      </w:r>
      <w:r w:rsidR="00E6452A">
        <w:rPr>
          <w:rFonts w:cs="Arial"/>
          <w:sz w:val="24"/>
          <w:szCs w:val="24"/>
        </w:rPr>
        <w:t xml:space="preserve">the place of loss or damage is </w:t>
      </w:r>
      <w:r w:rsidRPr="009C69FE">
        <w:rPr>
          <w:rFonts w:cs="Arial"/>
          <w:sz w:val="24"/>
          <w:szCs w:val="24"/>
        </w:rPr>
        <w:t xml:space="preserve">not known there is a simple limit of 2 SDR’s and a 1 year time limit (Maersk </w:t>
      </w:r>
      <w:r w:rsidR="00D265A3">
        <w:rPr>
          <w:rFonts w:cs="Arial"/>
          <w:sz w:val="24"/>
          <w:szCs w:val="24"/>
        </w:rPr>
        <w:t xml:space="preserve">in its bill of lading conditions (see </w:t>
      </w:r>
      <w:hyperlink r:id="rId47" w:history="1">
        <w:r w:rsidR="00D265A3" w:rsidRPr="00D265A3">
          <w:rPr>
            <w:color w:val="0000FF"/>
            <w:u w:val="single"/>
          </w:rPr>
          <w:t>Terms for Carriage | Maersk Terms</w:t>
        </w:r>
      </w:hyperlink>
      <w:r w:rsidR="00D265A3">
        <w:t xml:space="preserve"> </w:t>
      </w:r>
      <w:r w:rsidR="00D265A3" w:rsidRPr="00671784">
        <w:rPr>
          <w:sz w:val="24"/>
          <w:szCs w:val="24"/>
        </w:rPr>
        <w:t xml:space="preserve">– </w:t>
      </w:r>
      <w:proofErr w:type="spellStart"/>
      <w:r w:rsidR="00D265A3" w:rsidRPr="00671784">
        <w:rPr>
          <w:sz w:val="24"/>
          <w:szCs w:val="24"/>
        </w:rPr>
        <w:t>cf</w:t>
      </w:r>
      <w:proofErr w:type="spellEnd"/>
      <w:r w:rsidR="00D265A3" w:rsidRPr="00671784">
        <w:rPr>
          <w:sz w:val="24"/>
          <w:szCs w:val="24"/>
        </w:rPr>
        <w:t xml:space="preserve"> the House </w:t>
      </w:r>
      <w:r w:rsidR="002369BD" w:rsidRPr="00671784">
        <w:rPr>
          <w:sz w:val="24"/>
          <w:szCs w:val="24"/>
        </w:rPr>
        <w:t xml:space="preserve">bill pf lading terms </w:t>
      </w:r>
      <w:r w:rsidR="00671784" w:rsidRPr="00671784">
        <w:rPr>
          <w:sz w:val="24"/>
          <w:szCs w:val="24"/>
        </w:rPr>
        <w:t xml:space="preserve">(see above) </w:t>
      </w:r>
      <w:r w:rsidR="002369BD" w:rsidRPr="00671784">
        <w:rPr>
          <w:sz w:val="24"/>
          <w:szCs w:val="24"/>
        </w:rPr>
        <w:t xml:space="preserve">which are more in line </w:t>
      </w:r>
      <w:r w:rsidR="00671784" w:rsidRPr="00671784">
        <w:rPr>
          <w:sz w:val="24"/>
          <w:szCs w:val="24"/>
        </w:rPr>
        <w:t>with the draft TCM scheme</w:t>
      </w:r>
      <w:r w:rsidRPr="00671784">
        <w:rPr>
          <w:rFonts w:cs="Arial"/>
          <w:sz w:val="24"/>
          <w:szCs w:val="24"/>
        </w:rPr>
        <w:t>)</w:t>
      </w:r>
      <w:r w:rsidRPr="009C69FE">
        <w:rPr>
          <w:rFonts w:cs="Arial"/>
          <w:sz w:val="24"/>
          <w:szCs w:val="24"/>
        </w:rPr>
        <w:t xml:space="preserve"> also has a 1 year limit </w:t>
      </w:r>
      <w:r w:rsidR="00F917A3" w:rsidRPr="009C69FE">
        <w:rPr>
          <w:rFonts w:cs="Arial"/>
          <w:sz w:val="24"/>
          <w:szCs w:val="24"/>
        </w:rPr>
        <w:t xml:space="preserve">in </w:t>
      </w:r>
      <w:r w:rsidRPr="009C69FE">
        <w:rPr>
          <w:rFonts w:cs="Arial"/>
          <w:sz w:val="24"/>
          <w:szCs w:val="24"/>
        </w:rPr>
        <w:t xml:space="preserve">cl </w:t>
      </w:r>
      <w:r w:rsidR="00F917A3" w:rsidRPr="009C69FE">
        <w:rPr>
          <w:rFonts w:cs="Arial"/>
          <w:sz w:val="24"/>
          <w:szCs w:val="24"/>
        </w:rPr>
        <w:t xml:space="preserve">9 </w:t>
      </w:r>
      <w:r w:rsidRPr="009C69FE">
        <w:rPr>
          <w:rFonts w:cs="Arial"/>
          <w:sz w:val="24"/>
          <w:szCs w:val="24"/>
        </w:rPr>
        <w:t>and has abandoned the hypotheti</w:t>
      </w:r>
      <w:r w:rsidR="0093323E" w:rsidRPr="009C69FE">
        <w:rPr>
          <w:rFonts w:cs="Arial"/>
          <w:sz w:val="24"/>
          <w:szCs w:val="24"/>
        </w:rPr>
        <w:t>cal contract formula</w:t>
      </w:r>
      <w:r w:rsidR="00F917A3" w:rsidRPr="009C69FE">
        <w:rPr>
          <w:rFonts w:cs="Arial"/>
          <w:sz w:val="24"/>
          <w:szCs w:val="24"/>
        </w:rPr>
        <w:t xml:space="preserve">, see cl.6 </w:t>
      </w:r>
      <w:r w:rsidRPr="009C69FE">
        <w:rPr>
          <w:rFonts w:cs="Arial"/>
          <w:sz w:val="24"/>
          <w:szCs w:val="24"/>
        </w:rPr>
        <w:t>).</w:t>
      </w:r>
    </w:p>
    <w:p w14:paraId="54F730BC" w14:textId="260BC006" w:rsidR="00C85B93" w:rsidRPr="009C69FE" w:rsidRDefault="007A4D8C" w:rsidP="004C6064">
      <w:pPr>
        <w:rPr>
          <w:rFonts w:cs="Arial"/>
          <w:sz w:val="24"/>
          <w:szCs w:val="24"/>
        </w:rPr>
      </w:pPr>
      <w:r w:rsidRPr="009C69FE">
        <w:rPr>
          <w:rFonts w:cs="Arial"/>
          <w:sz w:val="24"/>
          <w:szCs w:val="24"/>
        </w:rPr>
        <w:t xml:space="preserve">Note some of the difficulties of applying the rules especially the hypothetical contract formula.  </w:t>
      </w:r>
      <w:r w:rsidR="0038762B">
        <w:rPr>
          <w:rFonts w:cs="Arial"/>
          <w:sz w:val="24"/>
          <w:szCs w:val="24"/>
        </w:rPr>
        <w:t xml:space="preserve">We have already noted that it is likely that the law of the contract would be applied </w:t>
      </w:r>
      <w:r w:rsidR="00CF1008">
        <w:rPr>
          <w:rFonts w:cs="Arial"/>
          <w:sz w:val="24"/>
          <w:szCs w:val="24"/>
        </w:rPr>
        <w:t xml:space="preserve">here (see above) </w:t>
      </w:r>
      <w:r w:rsidR="00D70770">
        <w:rPr>
          <w:rFonts w:cs="Arial"/>
          <w:sz w:val="24"/>
          <w:szCs w:val="24"/>
        </w:rPr>
        <w:t xml:space="preserve">but further questions are: </w:t>
      </w:r>
      <w:r w:rsidR="00F03D69" w:rsidRPr="009C69FE">
        <w:rPr>
          <w:rFonts w:cs="Arial"/>
          <w:sz w:val="24"/>
          <w:szCs w:val="24"/>
        </w:rPr>
        <w:t>What facts are relevant to determine what contract would have been made</w:t>
      </w:r>
      <w:r w:rsidR="00C85B93" w:rsidRPr="009C69FE">
        <w:rPr>
          <w:rFonts w:cs="Arial"/>
          <w:sz w:val="24"/>
          <w:szCs w:val="24"/>
        </w:rPr>
        <w:t xml:space="preserve">, i.e. </w:t>
      </w:r>
      <w:r w:rsidR="00F03D69" w:rsidRPr="009C69FE">
        <w:rPr>
          <w:rFonts w:cs="Arial"/>
          <w:sz w:val="24"/>
          <w:szCs w:val="24"/>
        </w:rPr>
        <w:t>how hypothetical is it</w:t>
      </w:r>
      <w:r w:rsidR="004333B9" w:rsidRPr="009C69FE">
        <w:rPr>
          <w:rFonts w:cs="Arial"/>
          <w:sz w:val="24"/>
          <w:szCs w:val="24"/>
        </w:rPr>
        <w:t>? -</w:t>
      </w:r>
      <w:r w:rsidR="00F03D69" w:rsidRPr="009C69FE">
        <w:rPr>
          <w:rFonts w:cs="Arial"/>
          <w:sz w:val="24"/>
          <w:szCs w:val="24"/>
        </w:rPr>
        <w:t xml:space="preserve"> </w:t>
      </w:r>
      <w:r w:rsidR="004333B9" w:rsidRPr="009C69FE">
        <w:rPr>
          <w:rFonts w:cs="Arial"/>
          <w:sz w:val="24"/>
          <w:szCs w:val="24"/>
        </w:rPr>
        <w:t>e</w:t>
      </w:r>
      <w:r w:rsidR="00F03D69" w:rsidRPr="009C69FE">
        <w:rPr>
          <w:rFonts w:cs="Arial"/>
          <w:sz w:val="24"/>
          <w:szCs w:val="24"/>
        </w:rPr>
        <w:t xml:space="preserve">.g. </w:t>
      </w:r>
      <w:r w:rsidR="00C85B93" w:rsidRPr="009C69FE">
        <w:rPr>
          <w:rFonts w:cs="Arial"/>
          <w:sz w:val="24"/>
          <w:szCs w:val="24"/>
        </w:rPr>
        <w:t xml:space="preserve">is it a reference to what would have been made in fact with the contracting carrier and involved the actual receipt of the relevant document or is </w:t>
      </w:r>
      <w:r w:rsidR="00015459">
        <w:rPr>
          <w:rFonts w:cs="Arial"/>
          <w:sz w:val="24"/>
          <w:szCs w:val="24"/>
        </w:rPr>
        <w:t xml:space="preserve">it </w:t>
      </w:r>
      <w:r w:rsidR="004333B9" w:rsidRPr="009C69FE">
        <w:rPr>
          <w:rFonts w:cs="Arial"/>
          <w:sz w:val="24"/>
          <w:szCs w:val="24"/>
        </w:rPr>
        <w:t>based on the idea that such facts</w:t>
      </w:r>
      <w:r w:rsidR="00C85B93" w:rsidRPr="009C69FE">
        <w:rPr>
          <w:rFonts w:cs="Arial"/>
          <w:sz w:val="24"/>
          <w:szCs w:val="24"/>
        </w:rPr>
        <w:t xml:space="preserve"> are to be assumed so that a contract in the terms of a convention which generally applies to that mode is applied</w:t>
      </w:r>
      <w:r w:rsidR="002E133A">
        <w:rPr>
          <w:rFonts w:cs="Arial"/>
          <w:sz w:val="24"/>
          <w:szCs w:val="24"/>
        </w:rPr>
        <w:t xml:space="preserve"> or </w:t>
      </w:r>
      <w:r w:rsidR="00D645BB">
        <w:rPr>
          <w:rFonts w:cs="Arial"/>
          <w:sz w:val="24"/>
          <w:szCs w:val="24"/>
        </w:rPr>
        <w:t xml:space="preserve">at </w:t>
      </w:r>
      <w:r w:rsidR="002E133A">
        <w:rPr>
          <w:rFonts w:cs="Arial"/>
          <w:sz w:val="24"/>
          <w:szCs w:val="24"/>
        </w:rPr>
        <w:t>least what would have applied on the actual route</w:t>
      </w:r>
      <w:r w:rsidR="009F578F">
        <w:rPr>
          <w:rFonts w:cs="Arial"/>
          <w:sz w:val="24"/>
          <w:szCs w:val="24"/>
        </w:rPr>
        <w:t>;</w:t>
      </w:r>
      <w:r w:rsidR="00C85B93" w:rsidRPr="009C69FE">
        <w:rPr>
          <w:rFonts w:cs="Arial"/>
          <w:sz w:val="24"/>
          <w:szCs w:val="24"/>
        </w:rPr>
        <w:t xml:space="preserve"> What is meant by a stage of transport?  Is this a reference simply to the </w:t>
      </w:r>
      <w:r w:rsidR="004333B9" w:rsidRPr="009C69FE">
        <w:rPr>
          <w:rFonts w:cs="Arial"/>
          <w:sz w:val="24"/>
          <w:szCs w:val="24"/>
        </w:rPr>
        <w:t xml:space="preserve">actual </w:t>
      </w:r>
      <w:r w:rsidR="00C85B93" w:rsidRPr="009C69FE">
        <w:rPr>
          <w:rFonts w:cs="Arial"/>
          <w:sz w:val="24"/>
          <w:szCs w:val="24"/>
        </w:rPr>
        <w:t xml:space="preserve">modes </w:t>
      </w:r>
      <w:r w:rsidR="004333B9" w:rsidRPr="009C69FE">
        <w:rPr>
          <w:rFonts w:cs="Arial"/>
          <w:sz w:val="24"/>
          <w:szCs w:val="24"/>
        </w:rPr>
        <w:t xml:space="preserve">employed </w:t>
      </w:r>
      <w:r w:rsidR="00C85B93" w:rsidRPr="009C69FE">
        <w:rPr>
          <w:rFonts w:cs="Arial"/>
          <w:sz w:val="24"/>
          <w:szCs w:val="24"/>
        </w:rPr>
        <w:t>(in which case how does this apply to ro-ro or piggyback transport?) or can the underlying contracts be considered (</w:t>
      </w:r>
      <w:r w:rsidR="00D645BB" w:rsidRPr="009C69FE">
        <w:rPr>
          <w:rFonts w:cs="Arial"/>
          <w:sz w:val="24"/>
          <w:szCs w:val="24"/>
        </w:rPr>
        <w:t>e.g.,</w:t>
      </w:r>
      <w:r w:rsidR="00C85B93" w:rsidRPr="009C69FE">
        <w:rPr>
          <w:rFonts w:cs="Arial"/>
          <w:sz w:val="24"/>
          <w:szCs w:val="24"/>
        </w:rPr>
        <w:t xml:space="preserve"> where the </w:t>
      </w:r>
      <w:r w:rsidR="002E133A">
        <w:rPr>
          <w:rFonts w:cs="Arial"/>
          <w:sz w:val="24"/>
          <w:szCs w:val="24"/>
        </w:rPr>
        <w:t xml:space="preserve">contracting </w:t>
      </w:r>
      <w:r w:rsidR="00C85B93" w:rsidRPr="009C69FE">
        <w:rPr>
          <w:rFonts w:cs="Arial"/>
          <w:sz w:val="24"/>
          <w:szCs w:val="24"/>
        </w:rPr>
        <w:t xml:space="preserve">carrier makes two connecting road carriage </w:t>
      </w:r>
      <w:r w:rsidR="002E133A">
        <w:rPr>
          <w:rFonts w:cs="Arial"/>
          <w:sz w:val="24"/>
          <w:szCs w:val="24"/>
        </w:rPr>
        <w:t>sub</w:t>
      </w:r>
      <w:r w:rsidR="00C85B93" w:rsidRPr="009C69FE">
        <w:rPr>
          <w:rFonts w:cs="Arial"/>
          <w:sz w:val="24"/>
          <w:szCs w:val="24"/>
        </w:rPr>
        <w:t>contracts – one purely national and one international within CMR – do both sections count within CMR or only one?).</w:t>
      </w:r>
    </w:p>
    <w:p w14:paraId="2A158A71" w14:textId="77777777" w:rsidR="0076691C" w:rsidRPr="009C69FE" w:rsidRDefault="00C85B93" w:rsidP="004C6064">
      <w:pPr>
        <w:rPr>
          <w:rFonts w:cs="Arial"/>
          <w:sz w:val="24"/>
          <w:szCs w:val="24"/>
        </w:rPr>
      </w:pPr>
      <w:r w:rsidRPr="009C69FE">
        <w:rPr>
          <w:rFonts w:cs="Arial"/>
          <w:sz w:val="24"/>
          <w:szCs w:val="24"/>
        </w:rPr>
        <w:t>It</w:t>
      </w:r>
      <w:r w:rsidR="004C6064" w:rsidRPr="009C69FE">
        <w:rPr>
          <w:rFonts w:cs="Arial"/>
          <w:sz w:val="24"/>
          <w:szCs w:val="24"/>
        </w:rPr>
        <w:t xml:space="preserve"> must be remembered that these rules are designed to be incorporated into contracts and have contractual status only.  They will be ineffective if found to be contrary to</w:t>
      </w:r>
      <w:r w:rsidR="004333B9" w:rsidRPr="009C69FE">
        <w:rPr>
          <w:rFonts w:cs="Arial"/>
          <w:sz w:val="24"/>
          <w:szCs w:val="24"/>
        </w:rPr>
        <w:t xml:space="preserve"> </w:t>
      </w:r>
      <w:r w:rsidR="004C6064" w:rsidRPr="009C69FE">
        <w:rPr>
          <w:rFonts w:cs="Arial"/>
          <w:sz w:val="24"/>
          <w:szCs w:val="24"/>
        </w:rPr>
        <w:t xml:space="preserve">applicable mandatory rules.  </w:t>
      </w:r>
      <w:proofErr w:type="gramStart"/>
      <w:r w:rsidR="004C6064" w:rsidRPr="009C69FE">
        <w:rPr>
          <w:rFonts w:cs="Arial"/>
          <w:sz w:val="24"/>
          <w:szCs w:val="24"/>
        </w:rPr>
        <w:t>Thus</w:t>
      </w:r>
      <w:proofErr w:type="gramEnd"/>
      <w:r w:rsidR="004C6064" w:rsidRPr="009C69FE">
        <w:rPr>
          <w:rFonts w:cs="Arial"/>
          <w:sz w:val="24"/>
          <w:szCs w:val="24"/>
        </w:rPr>
        <w:t xml:space="preserve"> in a Belgian decision (</w:t>
      </w:r>
      <w:r w:rsidR="004C6064" w:rsidRPr="009C69FE">
        <w:rPr>
          <w:rFonts w:cs="Arial"/>
          <w:b/>
          <w:sz w:val="24"/>
          <w:szCs w:val="24"/>
        </w:rPr>
        <w:t>District Court, Antwerp</w:t>
      </w:r>
      <w:r w:rsidR="004C6064" w:rsidRPr="009C69FE">
        <w:rPr>
          <w:rFonts w:cs="Arial"/>
          <w:sz w:val="24"/>
          <w:szCs w:val="24"/>
        </w:rPr>
        <w:t xml:space="preserve">, 23.9.75 (1976) 11 European Transport Law 279) the court struck down the </w:t>
      </w:r>
      <w:r w:rsidR="004333B9" w:rsidRPr="009C69FE">
        <w:rPr>
          <w:rFonts w:cs="Arial"/>
          <w:sz w:val="24"/>
          <w:szCs w:val="24"/>
        </w:rPr>
        <w:t xml:space="preserve">9 month </w:t>
      </w:r>
      <w:r w:rsidR="004C6064" w:rsidRPr="009C69FE">
        <w:rPr>
          <w:rFonts w:cs="Arial"/>
          <w:sz w:val="24"/>
          <w:szCs w:val="24"/>
        </w:rPr>
        <w:t xml:space="preserve">time limit in respect of a combined sea/road movement where the court found the road movement to be subject to CMR and the loss occurred </w:t>
      </w:r>
      <w:r w:rsidR="00E6452A">
        <w:rPr>
          <w:rFonts w:cs="Arial"/>
          <w:sz w:val="24"/>
          <w:szCs w:val="24"/>
        </w:rPr>
        <w:t>during it.</w:t>
      </w:r>
    </w:p>
    <w:p w14:paraId="176CEB58" w14:textId="58FB730D" w:rsidR="004C6064" w:rsidRPr="009C69FE" w:rsidRDefault="00E222C5" w:rsidP="004C6064">
      <w:pPr>
        <w:rPr>
          <w:rFonts w:cs="Arial"/>
          <w:sz w:val="24"/>
          <w:szCs w:val="24"/>
        </w:rPr>
      </w:pPr>
      <w:r w:rsidRPr="009C69FE">
        <w:rPr>
          <w:rFonts w:cs="Arial"/>
          <w:b/>
          <w:sz w:val="24"/>
          <w:szCs w:val="24"/>
        </w:rPr>
        <w:lastRenderedPageBreak/>
        <w:t>5</w:t>
      </w:r>
      <w:r w:rsidR="00B466D9" w:rsidRPr="009C69FE">
        <w:rPr>
          <w:rFonts w:cs="Arial"/>
          <w:b/>
          <w:sz w:val="24"/>
          <w:szCs w:val="24"/>
        </w:rPr>
        <w:t>.</w:t>
      </w:r>
      <w:r w:rsidR="007A77C9">
        <w:rPr>
          <w:rFonts w:cs="Arial"/>
          <w:b/>
          <w:sz w:val="24"/>
          <w:szCs w:val="24"/>
        </w:rPr>
        <w:t>4</w:t>
      </w:r>
      <w:r w:rsidR="004C6064" w:rsidRPr="009C69FE">
        <w:rPr>
          <w:rFonts w:cs="Arial"/>
          <w:b/>
          <w:sz w:val="24"/>
          <w:szCs w:val="24"/>
        </w:rPr>
        <w:t xml:space="preserve"> MMTC and UNCTAD/ICC Rules</w:t>
      </w:r>
      <w:r w:rsidR="00897925" w:rsidRPr="009C69FE">
        <w:rPr>
          <w:rFonts w:cs="Arial"/>
          <w:sz w:val="24"/>
          <w:szCs w:val="24"/>
        </w:rPr>
        <w:br/>
      </w:r>
      <w:r w:rsidR="00897925" w:rsidRPr="009C69FE">
        <w:rPr>
          <w:rFonts w:cs="Arial"/>
          <w:sz w:val="24"/>
          <w:szCs w:val="24"/>
        </w:rPr>
        <w:br/>
        <w:t xml:space="preserve">The </w:t>
      </w:r>
      <w:r w:rsidR="006A3BED" w:rsidRPr="00075599">
        <w:rPr>
          <w:rFonts w:cs="Arial"/>
          <w:b/>
          <w:bCs/>
          <w:sz w:val="24"/>
          <w:szCs w:val="24"/>
        </w:rPr>
        <w:t xml:space="preserve">United Nations Convention on International Multimodal Transport </w:t>
      </w:r>
      <w:r w:rsidR="006A3BED">
        <w:rPr>
          <w:rFonts w:cs="Arial"/>
          <w:b/>
          <w:bCs/>
          <w:sz w:val="24"/>
          <w:szCs w:val="24"/>
        </w:rPr>
        <w:t>(MMTC) 1980</w:t>
      </w:r>
      <w:r w:rsidR="004C6064" w:rsidRPr="009C69FE">
        <w:rPr>
          <w:rFonts w:cs="Arial"/>
          <w:sz w:val="24"/>
          <w:szCs w:val="24"/>
        </w:rPr>
        <w:t xml:space="preserve"> </w:t>
      </w:r>
      <w:r w:rsidR="002E133A">
        <w:rPr>
          <w:rFonts w:cs="Arial"/>
          <w:sz w:val="24"/>
          <w:szCs w:val="24"/>
        </w:rPr>
        <w:t>(</w:t>
      </w:r>
      <w:hyperlink r:id="rId48" w:history="1">
        <w:r w:rsidR="002E133A" w:rsidRPr="007B78F1">
          <w:rPr>
            <w:rStyle w:val="Hyperlink"/>
            <w:rFonts w:cs="Arial"/>
            <w:sz w:val="24"/>
            <w:szCs w:val="24"/>
          </w:rPr>
          <w:t>https://unctad.org/en/PublicationsLibrary/tdmtconf17_en.pdf</w:t>
        </w:r>
      </w:hyperlink>
      <w:r w:rsidR="002E133A">
        <w:rPr>
          <w:rFonts w:cs="Arial"/>
          <w:sz w:val="24"/>
          <w:szCs w:val="24"/>
        </w:rPr>
        <w:t xml:space="preserve">) </w:t>
      </w:r>
      <w:r w:rsidR="004C6064" w:rsidRPr="009C69FE">
        <w:rPr>
          <w:rFonts w:cs="Arial"/>
          <w:sz w:val="24"/>
          <w:szCs w:val="24"/>
        </w:rPr>
        <w:t>sought to introduce a radical change to the previous network system in order to provide a more simplified and predictable regime.</w:t>
      </w:r>
      <w:r w:rsidR="004C6064" w:rsidRPr="009C69FE">
        <w:rPr>
          <w:rFonts w:cs="Arial"/>
          <w:sz w:val="24"/>
          <w:szCs w:val="24"/>
        </w:rPr>
        <w:br/>
      </w:r>
      <w:r w:rsidR="004C6064" w:rsidRPr="009C69FE">
        <w:rPr>
          <w:rFonts w:cs="Arial"/>
          <w:sz w:val="24"/>
          <w:szCs w:val="24"/>
        </w:rPr>
        <w:br/>
        <w:t>If it had been adopted it would have applied to carriage of goods by at least two modes of transport on the basis of a multimodal transport contract where either the place of taking over (in one country) or the place provided for delivery (in another country) are located in a contracting state (arts. 1 &amp; 2).</w:t>
      </w:r>
      <w:r w:rsidR="004C6064" w:rsidRPr="009C69FE">
        <w:rPr>
          <w:rFonts w:cs="Arial"/>
          <w:sz w:val="24"/>
          <w:szCs w:val="24"/>
        </w:rPr>
        <w:br/>
      </w:r>
      <w:r w:rsidR="004C6064" w:rsidRPr="009C69FE">
        <w:rPr>
          <w:rFonts w:cs="Arial"/>
          <w:sz w:val="24"/>
          <w:szCs w:val="24"/>
        </w:rPr>
        <w:br/>
        <w:t>It creates a modified uniform system whereby the MTO is liable for loss, damage or delay, if the occurrence which caused the loss, damage or delay took place while the goods were in his charge unless he proves the he, his servants or agents or any other person of whose services he makes use for the performance of the contract, took all measures that could reasonably be required to avoid the occurrence and its consequences (art.16)</w:t>
      </w:r>
      <w:r w:rsidR="004C6064" w:rsidRPr="009C69FE">
        <w:rPr>
          <w:rFonts w:cs="Arial"/>
          <w:sz w:val="24"/>
          <w:szCs w:val="24"/>
        </w:rPr>
        <w:br/>
      </w:r>
      <w:r w:rsidR="004C6064" w:rsidRPr="009C69FE">
        <w:rPr>
          <w:rFonts w:cs="Arial"/>
          <w:sz w:val="24"/>
          <w:szCs w:val="24"/>
        </w:rPr>
        <w:br/>
        <w:t xml:space="preserve">The limit of liability for loss or damage is 920 SDR’s per package or other shipping unit or 2.75 SDR’s per kg (whichever is the higher) </w:t>
      </w:r>
      <w:r w:rsidR="004C6064" w:rsidRPr="009C69FE">
        <w:rPr>
          <w:rFonts w:cs="Arial"/>
          <w:b/>
          <w:sz w:val="24"/>
          <w:szCs w:val="24"/>
        </w:rPr>
        <w:t>OR</w:t>
      </w:r>
      <w:r w:rsidR="004C6064" w:rsidRPr="009C69FE">
        <w:rPr>
          <w:rFonts w:cs="Arial"/>
          <w:sz w:val="24"/>
          <w:szCs w:val="24"/>
        </w:rPr>
        <w:t xml:space="preserve"> 8.33 SDR’s per kg where the transport does not, according to the contract, include carriage by sea or inland waterways (art.18).</w:t>
      </w:r>
      <w:r w:rsidR="004C6064" w:rsidRPr="009C69FE">
        <w:rPr>
          <w:rFonts w:cs="Arial"/>
          <w:sz w:val="24"/>
          <w:szCs w:val="24"/>
        </w:rPr>
        <w:br/>
      </w:r>
      <w:r w:rsidR="004C6064" w:rsidRPr="009C69FE">
        <w:rPr>
          <w:rFonts w:cs="Arial"/>
          <w:sz w:val="24"/>
          <w:szCs w:val="24"/>
        </w:rPr>
        <w:br/>
        <w:t>The limit of liability for delay is 2½ times the freight for the go</w:t>
      </w:r>
      <w:r w:rsidR="002E133A">
        <w:rPr>
          <w:rFonts w:cs="Arial"/>
          <w:sz w:val="24"/>
          <w:szCs w:val="24"/>
        </w:rPr>
        <w:t>o</w:t>
      </w:r>
      <w:r w:rsidR="004C6064" w:rsidRPr="009C69FE">
        <w:rPr>
          <w:rFonts w:cs="Arial"/>
          <w:sz w:val="24"/>
          <w:szCs w:val="24"/>
        </w:rPr>
        <w:t>ds delayed not exceeding the total freight payable under the contract (art.18(4)).</w:t>
      </w:r>
      <w:r w:rsidR="004C6064" w:rsidRPr="009C69FE">
        <w:rPr>
          <w:rFonts w:cs="Arial"/>
          <w:sz w:val="24"/>
          <w:szCs w:val="24"/>
        </w:rPr>
        <w:br/>
      </w:r>
      <w:r w:rsidR="004C6064" w:rsidRPr="009C69FE">
        <w:rPr>
          <w:rFonts w:cs="Arial"/>
          <w:sz w:val="24"/>
          <w:szCs w:val="24"/>
        </w:rPr>
        <w:br/>
        <w:t>There is a limited network provision whereby if the loss or damage occurred during one particular stage to which an applicable international convention or mandatory national law provides a higher limit of liability then that limit is applicable (art.19).</w:t>
      </w:r>
      <w:r w:rsidR="004C6064" w:rsidRPr="009C69FE">
        <w:rPr>
          <w:rFonts w:cs="Arial"/>
          <w:sz w:val="24"/>
          <w:szCs w:val="24"/>
        </w:rPr>
        <w:br/>
      </w:r>
      <w:r w:rsidR="004C6064" w:rsidRPr="009C69FE">
        <w:rPr>
          <w:rFonts w:cs="Arial"/>
          <w:sz w:val="24"/>
          <w:szCs w:val="24"/>
        </w:rPr>
        <w:br/>
        <w:t>This last provision ensures that the claimant is not unduly prejudiced by application of the convention limits</w:t>
      </w:r>
      <w:r w:rsidR="00A07001" w:rsidRPr="009C69FE">
        <w:rPr>
          <w:rFonts w:cs="Arial"/>
          <w:sz w:val="24"/>
          <w:szCs w:val="24"/>
        </w:rPr>
        <w:t xml:space="preserve"> </w:t>
      </w:r>
      <w:r w:rsidR="00361B2E" w:rsidRPr="009C69FE">
        <w:rPr>
          <w:rFonts w:cs="Arial"/>
          <w:b/>
          <w:sz w:val="24"/>
          <w:szCs w:val="24"/>
        </w:rPr>
        <w:t>but</w:t>
      </w:r>
      <w:r w:rsidR="00A07001" w:rsidRPr="009C69FE">
        <w:rPr>
          <w:rFonts w:cs="Arial"/>
          <w:sz w:val="24"/>
          <w:szCs w:val="24"/>
        </w:rPr>
        <w:t xml:space="preserve"> by which law is the applicability to be determined?</w:t>
      </w:r>
      <w:r w:rsidR="001A1C64">
        <w:rPr>
          <w:rFonts w:cs="Arial"/>
          <w:sz w:val="24"/>
          <w:szCs w:val="24"/>
        </w:rPr>
        <w:t xml:space="preserve"> </w:t>
      </w:r>
      <w:r w:rsidR="000A1DBD">
        <w:rPr>
          <w:rFonts w:cs="Arial"/>
          <w:sz w:val="24"/>
          <w:szCs w:val="24"/>
        </w:rPr>
        <w:t xml:space="preserve">Presumably if the Convention were in </w:t>
      </w:r>
      <w:r w:rsidR="003652CE">
        <w:rPr>
          <w:rFonts w:cs="Arial"/>
          <w:sz w:val="24"/>
          <w:szCs w:val="24"/>
        </w:rPr>
        <w:t>force,</w:t>
      </w:r>
      <w:r w:rsidR="000A1DBD">
        <w:rPr>
          <w:rFonts w:cs="Arial"/>
          <w:sz w:val="24"/>
          <w:szCs w:val="24"/>
        </w:rPr>
        <w:t xml:space="preserve"> then the law of the forum would apply</w:t>
      </w:r>
      <w:r w:rsidR="00740785">
        <w:rPr>
          <w:rFonts w:cs="Arial"/>
          <w:sz w:val="24"/>
          <w:szCs w:val="24"/>
        </w:rPr>
        <w:t xml:space="preserve">. However there would also be an issue </w:t>
      </w:r>
      <w:r w:rsidR="00A90F8A">
        <w:rPr>
          <w:rFonts w:cs="Arial"/>
          <w:sz w:val="24"/>
          <w:szCs w:val="24"/>
        </w:rPr>
        <w:t xml:space="preserve">as to which contract must the modal rule be applicable </w:t>
      </w:r>
      <w:r w:rsidR="00C62FCE">
        <w:rPr>
          <w:rFonts w:cs="Arial"/>
          <w:sz w:val="24"/>
          <w:szCs w:val="24"/>
        </w:rPr>
        <w:t>–</w:t>
      </w:r>
      <w:r w:rsidR="00A90F8A">
        <w:rPr>
          <w:rFonts w:cs="Arial"/>
          <w:sz w:val="24"/>
          <w:szCs w:val="24"/>
        </w:rPr>
        <w:t xml:space="preserve"> </w:t>
      </w:r>
      <w:r w:rsidR="00C62FCE">
        <w:rPr>
          <w:rFonts w:cs="Arial"/>
          <w:sz w:val="24"/>
          <w:szCs w:val="24"/>
        </w:rPr>
        <w:t xml:space="preserve">the contract between the MTO and the sender or the contract between the MTO and the carrier performing by the </w:t>
      </w:r>
      <w:r w:rsidR="003652CE">
        <w:rPr>
          <w:rFonts w:cs="Arial"/>
          <w:sz w:val="24"/>
          <w:szCs w:val="24"/>
        </w:rPr>
        <w:t>relevant mode?</w:t>
      </w:r>
      <w:r w:rsidR="004C6064" w:rsidRPr="009C69FE">
        <w:rPr>
          <w:rFonts w:cs="Arial"/>
          <w:sz w:val="24"/>
          <w:szCs w:val="24"/>
        </w:rPr>
        <w:br/>
      </w:r>
      <w:r w:rsidR="004C6064" w:rsidRPr="009C69FE">
        <w:rPr>
          <w:rFonts w:cs="Arial"/>
          <w:sz w:val="24"/>
          <w:szCs w:val="24"/>
        </w:rPr>
        <w:br/>
        <w:t>There is a two year time limit (applicable to all claims) and a time bar imposed if notification of the claim is not given within 6 months of delivery or time when the goods should have been delivered (art.25(1)).</w:t>
      </w:r>
      <w:r w:rsidR="004C6064" w:rsidRPr="009C69FE">
        <w:rPr>
          <w:rFonts w:cs="Arial"/>
          <w:sz w:val="24"/>
          <w:szCs w:val="24"/>
        </w:rPr>
        <w:br/>
      </w:r>
      <w:r w:rsidR="004C6064" w:rsidRPr="009C69FE">
        <w:rPr>
          <w:rFonts w:cs="Arial"/>
          <w:sz w:val="24"/>
          <w:szCs w:val="24"/>
        </w:rPr>
        <w:br/>
        <w:t xml:space="preserve">The convention also contains anti-conflict </w:t>
      </w:r>
      <w:r w:rsidR="0021332C">
        <w:rPr>
          <w:rFonts w:cs="Arial"/>
          <w:sz w:val="24"/>
          <w:szCs w:val="24"/>
        </w:rPr>
        <w:t xml:space="preserve">of convention </w:t>
      </w:r>
      <w:r w:rsidR="004C6064" w:rsidRPr="009C69FE">
        <w:rPr>
          <w:rFonts w:cs="Arial"/>
          <w:sz w:val="24"/>
          <w:szCs w:val="24"/>
        </w:rPr>
        <w:t xml:space="preserve">provisions to reduce the potential clash that might arise with other transport conventions.  </w:t>
      </w:r>
      <w:proofErr w:type="gramStart"/>
      <w:r w:rsidR="004C6064" w:rsidRPr="009C69FE">
        <w:rPr>
          <w:rFonts w:cs="Arial"/>
          <w:sz w:val="24"/>
          <w:szCs w:val="24"/>
        </w:rPr>
        <w:t>E.g.</w:t>
      </w:r>
      <w:proofErr w:type="gramEnd"/>
      <w:r w:rsidR="004C6064" w:rsidRPr="009C69FE">
        <w:rPr>
          <w:rFonts w:cs="Arial"/>
          <w:sz w:val="24"/>
          <w:szCs w:val="24"/>
        </w:rPr>
        <w:t xml:space="preserve"> carriage within art 2 of CMR is specifically excluded (art.30(4)).  There is also a general somewhat unsatisfactory provision (art.38) which states that if proceeding </w:t>
      </w:r>
      <w:proofErr w:type="gramStart"/>
      <w:r w:rsidR="004C6064" w:rsidRPr="009C69FE">
        <w:rPr>
          <w:rFonts w:cs="Arial"/>
          <w:sz w:val="24"/>
          <w:szCs w:val="24"/>
        </w:rPr>
        <w:t>are</w:t>
      </w:r>
      <w:proofErr w:type="gramEnd"/>
      <w:r w:rsidR="004C6064" w:rsidRPr="009C69FE">
        <w:rPr>
          <w:rFonts w:cs="Arial"/>
          <w:sz w:val="24"/>
          <w:szCs w:val="24"/>
        </w:rPr>
        <w:t xml:space="preserve"> brought in a contracting state in a case relating to transport subject to the convention between two states and only one is a contracting state, and if both states are bound by another convention, the court can give effect to that convention. </w:t>
      </w:r>
      <w:r w:rsidR="004C6064" w:rsidRPr="009C69FE">
        <w:rPr>
          <w:rFonts w:cs="Arial"/>
          <w:sz w:val="24"/>
          <w:szCs w:val="24"/>
        </w:rPr>
        <w:br/>
      </w:r>
      <w:r w:rsidR="004C6064" w:rsidRPr="009C69FE">
        <w:rPr>
          <w:rFonts w:cs="Arial"/>
          <w:sz w:val="24"/>
          <w:szCs w:val="24"/>
        </w:rPr>
        <w:lastRenderedPageBreak/>
        <w:br/>
        <w:t xml:space="preserve">As noted above, the Convention has not received sufficient ratifications and concern about this led to a joint effort of UNCTAD and the ICC to produce a more commercially acceptable scheme.  The UNCTAD/ICC Rules 1992 </w:t>
      </w:r>
      <w:r w:rsidR="002E133A">
        <w:rPr>
          <w:rFonts w:cs="Arial"/>
          <w:sz w:val="24"/>
          <w:szCs w:val="24"/>
        </w:rPr>
        <w:t>(</w:t>
      </w:r>
      <w:hyperlink r:id="rId49" w:history="1">
        <w:r w:rsidR="002E133A" w:rsidRPr="007B78F1">
          <w:rPr>
            <w:rStyle w:val="Hyperlink"/>
            <w:rFonts w:cs="Arial"/>
            <w:sz w:val="24"/>
            <w:szCs w:val="24"/>
          </w:rPr>
          <w:t>https://unctad.org/en/PublicationsLibrary/tradewp4inf.117_corr.1_en.pdf</w:t>
        </w:r>
      </w:hyperlink>
      <w:r w:rsidR="002E133A">
        <w:rPr>
          <w:rFonts w:cs="Arial"/>
          <w:sz w:val="24"/>
          <w:szCs w:val="24"/>
        </w:rPr>
        <w:t xml:space="preserve">) </w:t>
      </w:r>
      <w:r w:rsidR="004C6064" w:rsidRPr="009C69FE">
        <w:rPr>
          <w:rFonts w:cs="Arial"/>
          <w:sz w:val="24"/>
          <w:szCs w:val="24"/>
        </w:rPr>
        <w:t>keep the same basic liability rule as the convention (Rule 5.1) but include extra special defences for carriage by sea and inland waterways: act, neglect or default of the master, mariner, pilot or the servants of the carrier in the navigation or management of the ship and fire, unless caused by actual fault or privity of the carrier (Rule 5.4).  Both defences are not applicable if loss or damage resulted from unseaworthiness unless the MTO can prove due diligence has been exercised to make the ship seaworthy at the commencement of the voyage.</w:t>
      </w:r>
      <w:r w:rsidR="004C6064" w:rsidRPr="009C69FE">
        <w:rPr>
          <w:rFonts w:cs="Arial"/>
          <w:sz w:val="24"/>
          <w:szCs w:val="24"/>
        </w:rPr>
        <w:br/>
      </w:r>
      <w:r w:rsidR="004C6064" w:rsidRPr="009C69FE">
        <w:rPr>
          <w:rFonts w:cs="Arial"/>
          <w:sz w:val="24"/>
          <w:szCs w:val="24"/>
        </w:rPr>
        <w:br/>
        <w:t>The limit of liability for loss or damage is th</w:t>
      </w:r>
      <w:r w:rsidR="002E133A">
        <w:rPr>
          <w:rFonts w:cs="Arial"/>
          <w:sz w:val="24"/>
          <w:szCs w:val="24"/>
        </w:rPr>
        <w:t>e Hague-Visby Rules limit (Rule</w:t>
      </w:r>
      <w:r w:rsidR="004C6064" w:rsidRPr="009C69FE">
        <w:rPr>
          <w:rFonts w:cs="Arial"/>
          <w:sz w:val="24"/>
          <w:szCs w:val="24"/>
        </w:rPr>
        <w:t xml:space="preserve"> 6.1: 666.67 SDR’s per package or unit, 2 SDR’s per kg) or 8.33 SDR’s if the transport does not, according to the contract, include carriage by sea or inland waterways (Rule 6.3).</w:t>
      </w:r>
    </w:p>
    <w:p w14:paraId="488D3DB9" w14:textId="36004F78" w:rsidR="004C6064" w:rsidRPr="009C69FE" w:rsidRDefault="004C6064" w:rsidP="004C6064">
      <w:pPr>
        <w:rPr>
          <w:rFonts w:cs="Arial"/>
          <w:sz w:val="24"/>
          <w:szCs w:val="24"/>
        </w:rPr>
      </w:pPr>
      <w:r w:rsidRPr="009C69FE">
        <w:rPr>
          <w:rFonts w:cs="Arial"/>
          <w:sz w:val="24"/>
          <w:szCs w:val="24"/>
        </w:rPr>
        <w:t xml:space="preserve">When the loss or damage occurred during one particular stage of the transport, in respect of which an applicable international convention or mandatory national law would have provided another limit of liability if a separate contract had been made for that particular </w:t>
      </w:r>
      <w:proofErr w:type="gramStart"/>
      <w:r w:rsidRPr="009C69FE">
        <w:rPr>
          <w:rFonts w:cs="Arial"/>
          <w:sz w:val="24"/>
          <w:szCs w:val="24"/>
        </w:rPr>
        <w:t>stage</w:t>
      </w:r>
      <w:proofErr w:type="gramEnd"/>
      <w:r w:rsidRPr="009C69FE">
        <w:rPr>
          <w:rFonts w:cs="Arial"/>
          <w:sz w:val="24"/>
          <w:szCs w:val="24"/>
        </w:rPr>
        <w:t xml:space="preserve"> then that limit applies (Ru</w:t>
      </w:r>
      <w:r w:rsidR="00361B2E" w:rsidRPr="009C69FE">
        <w:rPr>
          <w:rFonts w:cs="Arial"/>
          <w:sz w:val="24"/>
          <w:szCs w:val="24"/>
        </w:rPr>
        <w:t>le 6.4)</w:t>
      </w:r>
      <w:r w:rsidR="0021332C">
        <w:rPr>
          <w:rFonts w:cs="Arial"/>
          <w:sz w:val="24"/>
          <w:szCs w:val="24"/>
        </w:rPr>
        <w:t xml:space="preserve">.  </w:t>
      </w:r>
      <w:r w:rsidR="00205CB8">
        <w:rPr>
          <w:rFonts w:cs="Arial"/>
          <w:sz w:val="24"/>
          <w:szCs w:val="24"/>
        </w:rPr>
        <w:t xml:space="preserve">Note that since these terms apply as a matter of contract then the law of the contract must determine </w:t>
      </w:r>
      <w:r w:rsidR="003404A7">
        <w:rPr>
          <w:rFonts w:cs="Arial"/>
          <w:sz w:val="24"/>
          <w:szCs w:val="24"/>
        </w:rPr>
        <w:t>the application of the modal rule. However</w:t>
      </w:r>
      <w:r w:rsidR="00B65580">
        <w:rPr>
          <w:rFonts w:cs="Arial"/>
          <w:sz w:val="24"/>
          <w:szCs w:val="24"/>
        </w:rPr>
        <w:t>, as n</w:t>
      </w:r>
      <w:r w:rsidR="00361B2E" w:rsidRPr="009C69FE">
        <w:rPr>
          <w:rFonts w:cs="Arial"/>
          <w:sz w:val="24"/>
          <w:szCs w:val="24"/>
        </w:rPr>
        <w:t xml:space="preserve">oted above </w:t>
      </w:r>
      <w:r w:rsidR="00B65580">
        <w:rPr>
          <w:rFonts w:cs="Arial"/>
          <w:sz w:val="24"/>
          <w:szCs w:val="24"/>
        </w:rPr>
        <w:t xml:space="preserve">with MMTC the rules </w:t>
      </w:r>
      <w:r w:rsidR="00AA45FA">
        <w:rPr>
          <w:rFonts w:cs="Arial"/>
          <w:sz w:val="24"/>
          <w:szCs w:val="24"/>
        </w:rPr>
        <w:t xml:space="preserve">are </w:t>
      </w:r>
      <w:r w:rsidR="00B65580">
        <w:rPr>
          <w:rFonts w:cs="Arial"/>
          <w:sz w:val="24"/>
          <w:szCs w:val="24"/>
        </w:rPr>
        <w:t xml:space="preserve">not clear as to which contract the modal rules </w:t>
      </w:r>
      <w:r w:rsidR="001D16FF">
        <w:rPr>
          <w:rFonts w:cs="Arial"/>
          <w:sz w:val="24"/>
          <w:szCs w:val="24"/>
        </w:rPr>
        <w:t xml:space="preserve">must apply – the one between the MTO and the sender or the one between </w:t>
      </w:r>
      <w:r w:rsidR="00AB5CC7">
        <w:rPr>
          <w:rFonts w:cs="Arial"/>
          <w:sz w:val="24"/>
          <w:szCs w:val="24"/>
        </w:rPr>
        <w:t>the MTO and the carrier performing the relevant mode.</w:t>
      </w:r>
      <w:r w:rsidR="005A7A92">
        <w:rPr>
          <w:rFonts w:cs="Arial"/>
          <w:sz w:val="24"/>
          <w:szCs w:val="24"/>
        </w:rPr>
        <w:t xml:space="preserve"> If the relevant </w:t>
      </w:r>
      <w:r w:rsidR="00A0657F">
        <w:rPr>
          <w:rFonts w:cs="Arial"/>
          <w:sz w:val="24"/>
          <w:szCs w:val="24"/>
        </w:rPr>
        <w:t xml:space="preserve">law took the view that modal rules do not apply to multimodal </w:t>
      </w:r>
      <w:proofErr w:type="gramStart"/>
      <w:r w:rsidR="00A0657F">
        <w:rPr>
          <w:rFonts w:cs="Arial"/>
          <w:sz w:val="24"/>
          <w:szCs w:val="24"/>
        </w:rPr>
        <w:t>contracts</w:t>
      </w:r>
      <w:proofErr w:type="gramEnd"/>
      <w:r w:rsidR="00A0657F">
        <w:rPr>
          <w:rFonts w:cs="Arial"/>
          <w:sz w:val="24"/>
          <w:szCs w:val="24"/>
        </w:rPr>
        <w:t xml:space="preserve"> then </w:t>
      </w:r>
      <w:r w:rsidR="00053104">
        <w:rPr>
          <w:rFonts w:cs="Arial"/>
          <w:sz w:val="24"/>
          <w:szCs w:val="24"/>
        </w:rPr>
        <w:t>such rules do not apply and cannot be used to alter the limit.</w:t>
      </w:r>
    </w:p>
    <w:p w14:paraId="6D85C93B" w14:textId="77777777" w:rsidR="004C6064" w:rsidRPr="009C69FE" w:rsidRDefault="004C6064" w:rsidP="004C6064">
      <w:pPr>
        <w:rPr>
          <w:rFonts w:cs="Arial"/>
          <w:sz w:val="24"/>
          <w:szCs w:val="24"/>
        </w:rPr>
      </w:pPr>
      <w:r w:rsidRPr="009C69FE">
        <w:rPr>
          <w:rFonts w:cs="Arial"/>
          <w:sz w:val="24"/>
          <w:szCs w:val="24"/>
        </w:rPr>
        <w:t>For delay the limit is the equivalent of the freight under the contract (Rules 6.5).</w:t>
      </w:r>
    </w:p>
    <w:p w14:paraId="4085D345" w14:textId="77777777" w:rsidR="004C6064" w:rsidRPr="009C69FE" w:rsidRDefault="004C6064" w:rsidP="004C6064">
      <w:pPr>
        <w:rPr>
          <w:rFonts w:cs="Arial"/>
          <w:sz w:val="24"/>
          <w:szCs w:val="24"/>
        </w:rPr>
      </w:pPr>
      <w:r w:rsidRPr="009C69FE">
        <w:rPr>
          <w:rFonts w:cs="Arial"/>
          <w:sz w:val="24"/>
          <w:szCs w:val="24"/>
        </w:rPr>
        <w:t>The rules provide for a time limit of 9 months from the time the goods were or should have been delivered (Rule 10).</w:t>
      </w:r>
    </w:p>
    <w:p w14:paraId="6906DB33" w14:textId="77777777" w:rsidR="00144F56" w:rsidRPr="009C69FE" w:rsidRDefault="0076691C" w:rsidP="004C6064">
      <w:pPr>
        <w:rPr>
          <w:rFonts w:cs="Arial"/>
          <w:sz w:val="24"/>
          <w:szCs w:val="24"/>
        </w:rPr>
      </w:pPr>
      <w:r w:rsidRPr="009C69FE">
        <w:rPr>
          <w:rFonts w:cs="Arial"/>
          <w:sz w:val="24"/>
          <w:szCs w:val="24"/>
        </w:rPr>
        <w:t xml:space="preserve">BIMCO </w:t>
      </w:r>
      <w:proofErr w:type="spellStart"/>
      <w:r w:rsidRPr="009C69FE">
        <w:rPr>
          <w:rFonts w:cs="Arial"/>
          <w:sz w:val="24"/>
          <w:szCs w:val="24"/>
        </w:rPr>
        <w:t>Multi</w:t>
      </w:r>
      <w:r w:rsidR="00144F56" w:rsidRPr="009C69FE">
        <w:rPr>
          <w:rFonts w:cs="Arial"/>
          <w:sz w:val="24"/>
          <w:szCs w:val="24"/>
        </w:rPr>
        <w:t>doc</w:t>
      </w:r>
      <w:proofErr w:type="spellEnd"/>
      <w:r w:rsidR="00144F56" w:rsidRPr="009C69FE">
        <w:rPr>
          <w:rFonts w:cs="Arial"/>
          <w:sz w:val="24"/>
          <w:szCs w:val="24"/>
        </w:rPr>
        <w:t xml:space="preserve"> 2016 and</w:t>
      </w:r>
      <w:r w:rsidRPr="009C69FE">
        <w:rPr>
          <w:rFonts w:cs="Arial"/>
          <w:sz w:val="24"/>
          <w:szCs w:val="24"/>
        </w:rPr>
        <w:t xml:space="preserve"> </w:t>
      </w:r>
      <w:r w:rsidR="00A07001" w:rsidRPr="009C69FE">
        <w:rPr>
          <w:rFonts w:cs="Arial"/>
          <w:sz w:val="24"/>
          <w:szCs w:val="24"/>
        </w:rPr>
        <w:t xml:space="preserve">The FIATA FBL and FWB </w:t>
      </w:r>
      <w:r w:rsidR="004C6064" w:rsidRPr="009C69FE">
        <w:rPr>
          <w:rFonts w:cs="Arial"/>
          <w:sz w:val="24"/>
          <w:szCs w:val="24"/>
        </w:rPr>
        <w:t>are issued subject to these rules</w:t>
      </w:r>
      <w:r w:rsidR="00144F56" w:rsidRPr="009C69FE">
        <w:rPr>
          <w:rFonts w:cs="Arial"/>
          <w:sz w:val="24"/>
          <w:szCs w:val="24"/>
        </w:rPr>
        <w:t xml:space="preserve">.  </w:t>
      </w:r>
    </w:p>
    <w:p w14:paraId="47142B43" w14:textId="1999809B" w:rsidR="004C6064" w:rsidRPr="009C69FE" w:rsidRDefault="003D2CE4" w:rsidP="004C6064">
      <w:pPr>
        <w:rPr>
          <w:rFonts w:cs="Arial"/>
          <w:sz w:val="24"/>
          <w:szCs w:val="24"/>
        </w:rPr>
      </w:pPr>
      <w:r>
        <w:rPr>
          <w:rFonts w:cs="Arial"/>
          <w:b/>
          <w:sz w:val="24"/>
          <w:szCs w:val="24"/>
        </w:rPr>
        <w:t>5</w:t>
      </w:r>
      <w:r w:rsidR="00B466D9" w:rsidRPr="009C69FE">
        <w:rPr>
          <w:rFonts w:cs="Arial"/>
          <w:b/>
          <w:sz w:val="24"/>
          <w:szCs w:val="24"/>
        </w:rPr>
        <w:t>.</w:t>
      </w:r>
      <w:r w:rsidR="00E222C5" w:rsidRPr="009C69FE">
        <w:rPr>
          <w:rFonts w:cs="Arial"/>
          <w:b/>
          <w:sz w:val="24"/>
          <w:szCs w:val="24"/>
        </w:rPr>
        <w:t>5</w:t>
      </w:r>
      <w:r w:rsidR="004C6064" w:rsidRPr="009C69FE">
        <w:rPr>
          <w:rFonts w:cs="Arial"/>
          <w:b/>
          <w:sz w:val="24"/>
          <w:szCs w:val="24"/>
        </w:rPr>
        <w:t xml:space="preserve"> The UN Convention on contracts for the international carriage of goods wholly or partly by sea (the Rotterdam Rules)</w:t>
      </w:r>
      <w:r w:rsidR="00144F56" w:rsidRPr="009C69FE">
        <w:rPr>
          <w:rFonts w:cs="Arial"/>
          <w:b/>
          <w:sz w:val="24"/>
          <w:szCs w:val="24"/>
        </w:rPr>
        <w:t xml:space="preserve"> 2008</w:t>
      </w:r>
      <w:r w:rsidR="004C6064" w:rsidRPr="009C69FE">
        <w:rPr>
          <w:rFonts w:cs="Arial"/>
          <w:b/>
          <w:sz w:val="24"/>
          <w:szCs w:val="24"/>
        </w:rPr>
        <w:t>.</w:t>
      </w:r>
      <w:r w:rsidR="00974BBC" w:rsidRPr="009C69FE">
        <w:rPr>
          <w:rFonts w:cs="Arial"/>
          <w:sz w:val="24"/>
          <w:szCs w:val="24"/>
        </w:rPr>
        <w:br/>
      </w:r>
      <w:r w:rsidR="00974BBC" w:rsidRPr="009C69FE">
        <w:rPr>
          <w:rFonts w:cs="Arial"/>
          <w:sz w:val="24"/>
          <w:szCs w:val="24"/>
        </w:rPr>
        <w:br/>
        <w:t>This</w:t>
      </w:r>
      <w:r w:rsidR="004C6064" w:rsidRPr="009C69FE">
        <w:rPr>
          <w:rFonts w:cs="Arial"/>
          <w:sz w:val="24"/>
          <w:szCs w:val="24"/>
        </w:rPr>
        <w:t xml:space="preserve"> Convention </w:t>
      </w:r>
      <w:r w:rsidR="00974BBC" w:rsidRPr="009C69FE">
        <w:rPr>
          <w:rFonts w:cs="Arial"/>
          <w:sz w:val="24"/>
          <w:szCs w:val="24"/>
        </w:rPr>
        <w:t xml:space="preserve">if it ever comes into force </w:t>
      </w:r>
      <w:r w:rsidR="004C6064" w:rsidRPr="009C69FE">
        <w:rPr>
          <w:rFonts w:cs="Arial"/>
          <w:sz w:val="24"/>
          <w:szCs w:val="24"/>
        </w:rPr>
        <w:t xml:space="preserve">will make its rules applicable to carriage preceding loading onto a ship and </w:t>
      </w:r>
      <w:proofErr w:type="gramStart"/>
      <w:r w:rsidR="004C6064" w:rsidRPr="009C69FE">
        <w:rPr>
          <w:rFonts w:cs="Arial"/>
          <w:sz w:val="24"/>
          <w:szCs w:val="24"/>
        </w:rPr>
        <w:t>subsequent to</w:t>
      </w:r>
      <w:proofErr w:type="gramEnd"/>
      <w:r w:rsidR="004C6064" w:rsidRPr="009C69FE">
        <w:rPr>
          <w:rFonts w:cs="Arial"/>
          <w:sz w:val="24"/>
          <w:szCs w:val="24"/>
        </w:rPr>
        <w:t xml:space="preserve"> discharge.  It will thus cover multimodal transport </w:t>
      </w:r>
      <w:r w:rsidR="00053104">
        <w:rPr>
          <w:rFonts w:cs="Arial"/>
          <w:sz w:val="24"/>
          <w:szCs w:val="24"/>
        </w:rPr>
        <w:t xml:space="preserve">which includes a sea stage </w:t>
      </w:r>
      <w:r w:rsidR="004C6064" w:rsidRPr="009C69FE">
        <w:rPr>
          <w:rFonts w:cs="Arial"/>
          <w:sz w:val="24"/>
          <w:szCs w:val="24"/>
        </w:rPr>
        <w:t>and will f</w:t>
      </w:r>
      <w:r w:rsidR="00974BBC" w:rsidRPr="009C69FE">
        <w:rPr>
          <w:rFonts w:cs="Arial"/>
          <w:sz w:val="24"/>
          <w:szCs w:val="24"/>
        </w:rPr>
        <w:t xml:space="preserve">it particularly with the </w:t>
      </w:r>
      <w:r w:rsidR="004C6064" w:rsidRPr="009C69FE">
        <w:rPr>
          <w:rFonts w:cs="Arial"/>
          <w:sz w:val="24"/>
          <w:szCs w:val="24"/>
        </w:rPr>
        <w:t>frequency with which containers are carried door to door by ship operators or NVOCC.</w:t>
      </w:r>
    </w:p>
    <w:p w14:paraId="6BCC8D38" w14:textId="77777777" w:rsidR="004C6064" w:rsidRPr="009C69FE" w:rsidRDefault="004C6064" w:rsidP="004C6064">
      <w:pPr>
        <w:rPr>
          <w:rFonts w:cs="Arial"/>
          <w:sz w:val="24"/>
          <w:szCs w:val="24"/>
        </w:rPr>
      </w:pPr>
      <w:r w:rsidRPr="009C69FE">
        <w:rPr>
          <w:rFonts w:cs="Arial"/>
          <w:sz w:val="24"/>
          <w:szCs w:val="24"/>
        </w:rPr>
        <w:t xml:space="preserve">These rules will apply unless the exception in Article 26 applies.  This exception provides that where the loss, damage or delay occurs solely prior to loading onto or after discharge from a ship the provisions of the convention do not prevail over those provisions of another international instrument which pursuant to its provisions would have applied to the carrier’s activities if the shipper had made a separate and direct contract with the carrier in respect of the particular stage of carriage where the loss, damage or delay occurred; which specifically provide for the carrier’s liability, limitation of liability or time for suit and which </w:t>
      </w:r>
      <w:r w:rsidRPr="009C69FE">
        <w:rPr>
          <w:rFonts w:cs="Arial"/>
          <w:sz w:val="24"/>
          <w:szCs w:val="24"/>
        </w:rPr>
        <w:lastRenderedPageBreak/>
        <w:t>cannot be departed from by contract either at all or to the detriment of the shipper under that instrument.</w:t>
      </w:r>
    </w:p>
    <w:p w14:paraId="21527C0E" w14:textId="77777777" w:rsidR="004C6064" w:rsidRPr="009C69FE" w:rsidRDefault="004C6064" w:rsidP="004C6064">
      <w:pPr>
        <w:rPr>
          <w:rFonts w:cs="Arial"/>
          <w:sz w:val="24"/>
          <w:szCs w:val="24"/>
        </w:rPr>
      </w:pPr>
      <w:r w:rsidRPr="009C69FE">
        <w:rPr>
          <w:rFonts w:cs="Arial"/>
          <w:sz w:val="24"/>
          <w:szCs w:val="24"/>
        </w:rPr>
        <w:t xml:space="preserve">This formula </w:t>
      </w:r>
      <w:r w:rsidR="00300B85" w:rsidRPr="009C69FE">
        <w:rPr>
          <w:rFonts w:cs="Arial"/>
          <w:sz w:val="24"/>
          <w:szCs w:val="24"/>
        </w:rPr>
        <w:t xml:space="preserve">(a return to a hypothetical contract formula) </w:t>
      </w:r>
      <w:r w:rsidRPr="009C69FE">
        <w:rPr>
          <w:rFonts w:cs="Arial"/>
          <w:sz w:val="24"/>
          <w:szCs w:val="24"/>
        </w:rPr>
        <w:t xml:space="preserve">will enable the provisions of another international convention to apply </w:t>
      </w:r>
      <w:r w:rsidR="00361B2E" w:rsidRPr="009C69FE">
        <w:rPr>
          <w:rFonts w:cs="Arial"/>
          <w:sz w:val="24"/>
          <w:szCs w:val="24"/>
        </w:rPr>
        <w:t>regardless of the applicable law (</w:t>
      </w:r>
      <w:proofErr w:type="gramStart"/>
      <w:r w:rsidR="006A3BED">
        <w:rPr>
          <w:rFonts w:cs="Arial"/>
          <w:sz w:val="24"/>
          <w:szCs w:val="24"/>
        </w:rPr>
        <w:t>i.e.</w:t>
      </w:r>
      <w:proofErr w:type="gramEnd"/>
      <w:r w:rsidR="00361B2E" w:rsidRPr="009C69FE">
        <w:rPr>
          <w:rFonts w:cs="Arial"/>
          <w:sz w:val="24"/>
          <w:szCs w:val="24"/>
        </w:rPr>
        <w:t xml:space="preserve"> “pursuant to its provisions”) and </w:t>
      </w:r>
      <w:r w:rsidRPr="009C69FE">
        <w:rPr>
          <w:rFonts w:cs="Arial"/>
          <w:sz w:val="24"/>
          <w:szCs w:val="24"/>
        </w:rPr>
        <w:t xml:space="preserve">whether </w:t>
      </w:r>
      <w:r w:rsidR="00361B2E" w:rsidRPr="009C69FE">
        <w:rPr>
          <w:rFonts w:cs="Arial"/>
          <w:sz w:val="24"/>
          <w:szCs w:val="24"/>
        </w:rPr>
        <w:t xml:space="preserve">or not </w:t>
      </w:r>
      <w:r w:rsidRPr="009C69FE">
        <w:rPr>
          <w:rFonts w:cs="Arial"/>
          <w:sz w:val="24"/>
          <w:szCs w:val="24"/>
        </w:rPr>
        <w:t xml:space="preserve">a court would consider them to be capable of applying to the actual carriage or not and so will enable them to be applied even if the view is taken that conventions such as CMR do not apply to multimodal transport.  Note that it is limited to applying only the provisions relating to liability and limitation of liability and action – it does not cover other rules in such conventions </w:t>
      </w:r>
      <w:proofErr w:type="gramStart"/>
      <w:r w:rsidRPr="009C69FE">
        <w:rPr>
          <w:rFonts w:cs="Arial"/>
          <w:sz w:val="24"/>
          <w:szCs w:val="24"/>
        </w:rPr>
        <w:t>e.g.</w:t>
      </w:r>
      <w:proofErr w:type="gramEnd"/>
      <w:r w:rsidRPr="009C69FE">
        <w:rPr>
          <w:rFonts w:cs="Arial"/>
          <w:sz w:val="24"/>
          <w:szCs w:val="24"/>
        </w:rPr>
        <w:t xml:space="preserve"> relating to documentation.  </w:t>
      </w:r>
    </w:p>
    <w:p w14:paraId="746DEF56" w14:textId="77777777" w:rsidR="004C6064" w:rsidRPr="009C69FE" w:rsidRDefault="004C6064" w:rsidP="004C6064">
      <w:pPr>
        <w:rPr>
          <w:rFonts w:cs="Arial"/>
          <w:sz w:val="24"/>
          <w:szCs w:val="24"/>
        </w:rPr>
      </w:pPr>
      <w:r w:rsidRPr="009C69FE">
        <w:rPr>
          <w:rFonts w:cs="Arial"/>
          <w:sz w:val="24"/>
          <w:szCs w:val="24"/>
        </w:rPr>
        <w:t xml:space="preserve">Unlike earlier drafts the final version does not contain a rule dealing with limitation of liability where the place of loss, damage or delay is unknown.  Presumably it is up to whoever would benefit from a limit different from the limit in the Convention to prove that it applies under Article 26.  </w:t>
      </w:r>
    </w:p>
    <w:p w14:paraId="3883B6AC" w14:textId="77777777" w:rsidR="004C6064" w:rsidRPr="009C69FE" w:rsidRDefault="004C6064" w:rsidP="004C6064">
      <w:pPr>
        <w:rPr>
          <w:rFonts w:cs="Arial"/>
          <w:sz w:val="24"/>
          <w:szCs w:val="24"/>
        </w:rPr>
      </w:pPr>
      <w:r w:rsidRPr="009C69FE">
        <w:rPr>
          <w:rFonts w:cs="Arial"/>
          <w:sz w:val="24"/>
          <w:szCs w:val="24"/>
        </w:rPr>
        <w:t>The Convention also contains a further provision</w:t>
      </w:r>
      <w:r w:rsidR="00361B2E" w:rsidRPr="009C69FE">
        <w:rPr>
          <w:rFonts w:cs="Arial"/>
          <w:sz w:val="24"/>
          <w:szCs w:val="24"/>
        </w:rPr>
        <w:t xml:space="preserve"> designed to deal with potential conflict</w:t>
      </w:r>
      <w:r w:rsidRPr="009C69FE">
        <w:rPr>
          <w:rFonts w:cs="Arial"/>
          <w:sz w:val="24"/>
          <w:szCs w:val="24"/>
        </w:rPr>
        <w:t xml:space="preserve"> of convention</w:t>
      </w:r>
      <w:r w:rsidR="00361B2E" w:rsidRPr="009C69FE">
        <w:rPr>
          <w:rFonts w:cs="Arial"/>
          <w:sz w:val="24"/>
          <w:szCs w:val="24"/>
        </w:rPr>
        <w:t>s</w:t>
      </w:r>
      <w:r w:rsidRPr="009C69FE">
        <w:rPr>
          <w:rFonts w:cs="Arial"/>
          <w:sz w:val="24"/>
          <w:szCs w:val="24"/>
        </w:rPr>
        <w:t xml:space="preserve">.  By Article 82, nothing affects the application of a convention in force at the time when the Convention comes into force including any future amendment regulating the liability of the carrier for loss or damage to the goods </w:t>
      </w:r>
      <w:proofErr w:type="gramStart"/>
      <w:r w:rsidRPr="009C69FE">
        <w:rPr>
          <w:rFonts w:cs="Arial"/>
          <w:sz w:val="24"/>
          <w:szCs w:val="24"/>
        </w:rPr>
        <w:t>which</w:t>
      </w:r>
      <w:proofErr w:type="gramEnd"/>
      <w:r w:rsidRPr="009C69FE">
        <w:rPr>
          <w:rFonts w:cs="Arial"/>
          <w:sz w:val="24"/>
          <w:szCs w:val="24"/>
        </w:rPr>
        <w:t xml:space="preserve"> </w:t>
      </w:r>
    </w:p>
    <w:p w14:paraId="3003A4D9" w14:textId="77777777" w:rsidR="004C6064" w:rsidRPr="009C69FE" w:rsidRDefault="004C6064" w:rsidP="004C6064">
      <w:pPr>
        <w:rPr>
          <w:rFonts w:cs="Arial"/>
          <w:sz w:val="24"/>
          <w:szCs w:val="24"/>
        </w:rPr>
      </w:pPr>
      <w:r w:rsidRPr="009C69FE">
        <w:rPr>
          <w:rFonts w:cs="Arial"/>
          <w:sz w:val="24"/>
          <w:szCs w:val="24"/>
        </w:rPr>
        <w:t xml:space="preserve">a) governs carriage of goods by air to the extent that such convention according to its provisions applies to any part of the of the contract of </w:t>
      </w:r>
      <w:proofErr w:type="gramStart"/>
      <w:r w:rsidRPr="009C69FE">
        <w:rPr>
          <w:rFonts w:cs="Arial"/>
          <w:sz w:val="24"/>
          <w:szCs w:val="24"/>
        </w:rPr>
        <w:t>carriage;</w:t>
      </w:r>
      <w:proofErr w:type="gramEnd"/>
    </w:p>
    <w:p w14:paraId="16D7F3CC" w14:textId="7FF8091B" w:rsidR="004C6064" w:rsidRPr="009C69FE" w:rsidRDefault="004C6064" w:rsidP="004C6064">
      <w:pPr>
        <w:rPr>
          <w:rFonts w:cs="Arial"/>
          <w:sz w:val="24"/>
          <w:szCs w:val="24"/>
        </w:rPr>
      </w:pPr>
      <w:r w:rsidRPr="009C69FE">
        <w:rPr>
          <w:rFonts w:cs="Arial"/>
          <w:sz w:val="24"/>
          <w:szCs w:val="24"/>
        </w:rPr>
        <w:t xml:space="preserve">b) governs carriage of goods by road to the extent that such convention according to its provisions applies to the carriage of goods that remain loaded on a road cargo vehicle carried on board a ship (i.e. within Article 2 of </w:t>
      </w:r>
      <w:proofErr w:type="gramStart"/>
      <w:r w:rsidRPr="009C69FE">
        <w:rPr>
          <w:rFonts w:cs="Arial"/>
          <w:sz w:val="24"/>
          <w:szCs w:val="24"/>
        </w:rPr>
        <w:t>CMR ?</w:t>
      </w:r>
      <w:proofErr w:type="gramEnd"/>
      <w:r w:rsidR="002C17B8">
        <w:rPr>
          <w:rFonts w:cs="Arial"/>
          <w:sz w:val="24"/>
          <w:szCs w:val="24"/>
        </w:rPr>
        <w:t xml:space="preserve"> – this seems to be the intention although the wording is problematic</w:t>
      </w:r>
      <w:r w:rsidRPr="009C69FE">
        <w:rPr>
          <w:rFonts w:cs="Arial"/>
          <w:sz w:val="24"/>
          <w:szCs w:val="24"/>
        </w:rPr>
        <w:t>);</w:t>
      </w:r>
    </w:p>
    <w:p w14:paraId="75B0A037" w14:textId="77777777" w:rsidR="004C6064" w:rsidRPr="009C69FE" w:rsidRDefault="004C6064" w:rsidP="004C6064">
      <w:pPr>
        <w:rPr>
          <w:rFonts w:cs="Arial"/>
          <w:sz w:val="24"/>
          <w:szCs w:val="24"/>
        </w:rPr>
      </w:pPr>
      <w:r w:rsidRPr="009C69FE">
        <w:rPr>
          <w:rFonts w:cs="Arial"/>
          <w:sz w:val="24"/>
          <w:szCs w:val="24"/>
        </w:rPr>
        <w:t xml:space="preserve">c) governs carriage of goods by rail to the extent that such convention according to its provisions applies to the carriage of goods by sea as a supplement to the carriage by rail; or </w:t>
      </w:r>
    </w:p>
    <w:p w14:paraId="13FF4649" w14:textId="77777777" w:rsidR="004C6064" w:rsidRPr="009C69FE" w:rsidRDefault="004C6064" w:rsidP="004C6064">
      <w:pPr>
        <w:rPr>
          <w:rFonts w:cs="Arial"/>
          <w:sz w:val="24"/>
          <w:szCs w:val="24"/>
        </w:rPr>
      </w:pPr>
      <w:r w:rsidRPr="009C69FE">
        <w:rPr>
          <w:rFonts w:cs="Arial"/>
          <w:sz w:val="24"/>
          <w:szCs w:val="24"/>
        </w:rPr>
        <w:t>d) governs carriage by inland waterways to the extent that such convention according to its provisions applies to a carriage of goods without trans-shipment both by inland waterways and sea.</w:t>
      </w:r>
    </w:p>
    <w:p w14:paraId="43380C00" w14:textId="77777777" w:rsidR="004C6064" w:rsidRPr="009C69FE" w:rsidRDefault="004C6064" w:rsidP="004C6064">
      <w:pPr>
        <w:rPr>
          <w:rFonts w:cs="Arial"/>
          <w:sz w:val="24"/>
          <w:szCs w:val="24"/>
        </w:rPr>
      </w:pPr>
      <w:r w:rsidRPr="009C69FE">
        <w:rPr>
          <w:rFonts w:cs="Arial"/>
          <w:sz w:val="24"/>
          <w:szCs w:val="24"/>
        </w:rPr>
        <w:t xml:space="preserve">If only the Convention rules </w:t>
      </w:r>
      <w:r w:rsidR="002634FA" w:rsidRPr="009C69FE">
        <w:rPr>
          <w:rFonts w:cs="Arial"/>
          <w:sz w:val="24"/>
          <w:szCs w:val="24"/>
        </w:rPr>
        <w:t>apply,</w:t>
      </w:r>
      <w:r w:rsidRPr="009C69FE">
        <w:rPr>
          <w:rFonts w:cs="Arial"/>
          <w:sz w:val="24"/>
          <w:szCs w:val="24"/>
        </w:rPr>
        <w:t xml:space="preserve"> then the same rules applicable to carriage by sea will apply to govern the liability of the carrier in respect of the other modes of transport used for a door-to-door carriage.  This will mean that the carrier will have a liability for fault including liability for failure to exercise due diligence to make and keep the ship seaworthy which also includes exercising such diligence to make any containers supplied by the carrier fit and safe for the reception, </w:t>
      </w:r>
      <w:proofErr w:type="gramStart"/>
      <w:r w:rsidRPr="009C69FE">
        <w:rPr>
          <w:rFonts w:cs="Arial"/>
          <w:sz w:val="24"/>
          <w:szCs w:val="24"/>
        </w:rPr>
        <w:t>carriage</w:t>
      </w:r>
      <w:proofErr w:type="gramEnd"/>
      <w:r w:rsidRPr="009C69FE">
        <w:rPr>
          <w:rFonts w:cs="Arial"/>
          <w:sz w:val="24"/>
          <w:szCs w:val="24"/>
        </w:rPr>
        <w:t xml:space="preserve"> and preservation of the goods (see, in particular, Article 14(c)).</w:t>
      </w:r>
    </w:p>
    <w:p w14:paraId="58313FA7" w14:textId="5CEBACAC" w:rsidR="004C6064" w:rsidRPr="009C69FE" w:rsidRDefault="004C6064" w:rsidP="00FF67DA">
      <w:pPr>
        <w:rPr>
          <w:rFonts w:cs="Arial"/>
          <w:sz w:val="24"/>
          <w:szCs w:val="24"/>
        </w:rPr>
      </w:pPr>
      <w:r w:rsidRPr="009C69FE">
        <w:rPr>
          <w:rFonts w:cs="Arial"/>
          <w:sz w:val="24"/>
          <w:szCs w:val="24"/>
        </w:rPr>
        <w:t>The limits of liability will be 875 SDR’s per package or other shipping unit or 3 SDR’s per kilogramme of gross weight, whichever is the higher (Article 59(1)). The container clause (Article 59(2)) will apply the package limit to the packages enumerated in the contract particulars as being within the container or to the container itself i</w:t>
      </w:r>
      <w:r w:rsidR="00E02E10">
        <w:rPr>
          <w:rFonts w:cs="Arial"/>
          <w:sz w:val="24"/>
          <w:szCs w:val="24"/>
        </w:rPr>
        <w:t>f</w:t>
      </w:r>
      <w:r w:rsidRPr="009C69FE">
        <w:rPr>
          <w:rFonts w:cs="Arial"/>
          <w:sz w:val="24"/>
          <w:szCs w:val="24"/>
        </w:rPr>
        <w:t xml:space="preserve"> there is no enumeration.  Liability for delay is limited to 2 and a half times the freight payable on the goods delayed (Article 60).  There is provision for loss of the limit if harm to the goods is caused </w:t>
      </w:r>
      <w:r w:rsidRPr="009C69FE">
        <w:rPr>
          <w:rFonts w:cs="Arial"/>
          <w:sz w:val="24"/>
          <w:szCs w:val="24"/>
        </w:rPr>
        <w:lastRenderedPageBreak/>
        <w:t>intentionally or recklessly, with knowledge that damage would probably result, by the person claiming to rely on the limit (Article 61).</w:t>
      </w:r>
    </w:p>
    <w:p w14:paraId="7463D9D5" w14:textId="193F6E5D" w:rsidR="007B47B3" w:rsidRPr="009C69FE" w:rsidRDefault="003D2CE4" w:rsidP="00FF67DA">
      <w:pPr>
        <w:rPr>
          <w:rFonts w:cs="Arial"/>
          <w:sz w:val="24"/>
          <w:szCs w:val="24"/>
        </w:rPr>
      </w:pPr>
      <w:r w:rsidRPr="00114C85">
        <w:rPr>
          <w:rFonts w:cs="Arial"/>
          <w:b/>
          <w:sz w:val="28"/>
          <w:szCs w:val="28"/>
        </w:rPr>
        <w:t>6</w:t>
      </w:r>
      <w:r w:rsidR="00F82E1D" w:rsidRPr="00114C85">
        <w:rPr>
          <w:rFonts w:cs="Arial"/>
          <w:b/>
          <w:sz w:val="28"/>
          <w:szCs w:val="28"/>
        </w:rPr>
        <w:t xml:space="preserve"> </w:t>
      </w:r>
      <w:r w:rsidR="004A733C" w:rsidRPr="00114C85">
        <w:rPr>
          <w:rFonts w:cs="Arial"/>
          <w:b/>
          <w:sz w:val="28"/>
          <w:szCs w:val="28"/>
        </w:rPr>
        <w:t>Conclusion</w:t>
      </w:r>
      <w:r w:rsidR="004A733C" w:rsidRPr="009C69FE">
        <w:rPr>
          <w:rFonts w:cs="Arial"/>
          <w:sz w:val="24"/>
          <w:szCs w:val="24"/>
        </w:rPr>
        <w:br/>
      </w:r>
      <w:r w:rsidR="004A733C" w:rsidRPr="009C69FE">
        <w:rPr>
          <w:rFonts w:cs="Arial"/>
          <w:sz w:val="24"/>
          <w:szCs w:val="24"/>
        </w:rPr>
        <w:br/>
        <w:t>Ther</w:t>
      </w:r>
      <w:r w:rsidR="00F82E1D" w:rsidRPr="009C69FE">
        <w:rPr>
          <w:rFonts w:cs="Arial"/>
          <w:sz w:val="24"/>
          <w:szCs w:val="24"/>
        </w:rPr>
        <w:t xml:space="preserve">e is clearly </w:t>
      </w:r>
      <w:r w:rsidR="004A733C" w:rsidRPr="009C69FE">
        <w:rPr>
          <w:rFonts w:cs="Arial"/>
          <w:sz w:val="24"/>
          <w:szCs w:val="24"/>
        </w:rPr>
        <w:t>no prospect today of the MMTC being brought into force and things are also beginning to look doubtful for the Rotterdam Rules</w:t>
      </w:r>
      <w:r w:rsidR="0076691C" w:rsidRPr="009C69FE">
        <w:rPr>
          <w:rFonts w:cs="Arial"/>
          <w:sz w:val="24"/>
          <w:szCs w:val="24"/>
        </w:rPr>
        <w:t>:</w:t>
      </w:r>
      <w:r w:rsidR="004A733C" w:rsidRPr="009C69FE">
        <w:rPr>
          <w:rFonts w:cs="Arial"/>
          <w:sz w:val="24"/>
          <w:szCs w:val="24"/>
        </w:rPr>
        <w:t xml:space="preserve"> (</w:t>
      </w:r>
      <w:hyperlink r:id="rId50" w:history="1">
        <w:r w:rsidR="00F82E1D" w:rsidRPr="009C69FE">
          <w:rPr>
            <w:rStyle w:val="Hyperlink"/>
            <w:rFonts w:cs="Arial"/>
            <w:sz w:val="24"/>
            <w:szCs w:val="24"/>
          </w:rPr>
          <w:t>https://svw.no/en/news/news/2018/march/the-rotterdam-rules--yet-another-failed-attempt-of-replacing-the-hague-visby-rules/</w:t>
        </w:r>
      </w:hyperlink>
      <w:r w:rsidR="00F82E1D" w:rsidRPr="009C69FE">
        <w:rPr>
          <w:rFonts w:cs="Arial"/>
          <w:sz w:val="24"/>
          <w:szCs w:val="24"/>
        </w:rPr>
        <w:t>).  The ultimate solution to the problem of multimodal transport would be to harmonise all the current transport conventions to produce a single int</w:t>
      </w:r>
      <w:r w:rsidR="00E222C5" w:rsidRPr="009C69FE">
        <w:rPr>
          <w:rFonts w:cs="Arial"/>
          <w:sz w:val="24"/>
          <w:szCs w:val="24"/>
        </w:rPr>
        <w:t>ernational regime but this is</w:t>
      </w:r>
      <w:r w:rsidR="00F82E1D" w:rsidRPr="009C69FE">
        <w:rPr>
          <w:rFonts w:cs="Arial"/>
          <w:sz w:val="24"/>
          <w:szCs w:val="24"/>
        </w:rPr>
        <w:t xml:space="preserve"> too great a task, is not on the horizon and cannot be until the future of the Rotterdam Rules is resolved.  </w:t>
      </w:r>
      <w:r w:rsidR="008F31E7" w:rsidRPr="009C69FE">
        <w:rPr>
          <w:rFonts w:cs="Arial"/>
          <w:sz w:val="24"/>
          <w:szCs w:val="24"/>
        </w:rPr>
        <w:t>Regional developments are a way forward</w:t>
      </w:r>
      <w:r w:rsidR="002634FA">
        <w:rPr>
          <w:rFonts w:cs="Arial"/>
          <w:sz w:val="24"/>
          <w:szCs w:val="24"/>
        </w:rPr>
        <w:t>,</w:t>
      </w:r>
      <w:r w:rsidR="008F31E7" w:rsidRPr="009C69FE">
        <w:rPr>
          <w:rFonts w:cs="Arial"/>
          <w:sz w:val="24"/>
          <w:szCs w:val="24"/>
        </w:rPr>
        <w:t xml:space="preserve"> but more globally relevant initiatives are needed.  </w:t>
      </w:r>
      <w:r w:rsidR="00F82E1D" w:rsidRPr="009C69FE">
        <w:rPr>
          <w:rFonts w:cs="Arial"/>
          <w:sz w:val="24"/>
          <w:szCs w:val="24"/>
        </w:rPr>
        <w:t xml:space="preserve">Perhaps the most positive development </w:t>
      </w:r>
      <w:r w:rsidR="008F31E7" w:rsidRPr="009C69FE">
        <w:rPr>
          <w:rFonts w:cs="Arial"/>
          <w:sz w:val="24"/>
          <w:szCs w:val="24"/>
        </w:rPr>
        <w:t xml:space="preserve">so far </w:t>
      </w:r>
      <w:r w:rsidR="00F82E1D" w:rsidRPr="009C69FE">
        <w:rPr>
          <w:rFonts w:cs="Arial"/>
          <w:sz w:val="24"/>
          <w:szCs w:val="24"/>
        </w:rPr>
        <w:t>is the gradual uniformity being produced th</w:t>
      </w:r>
      <w:r w:rsidR="008F31E7" w:rsidRPr="009C69FE">
        <w:rPr>
          <w:rFonts w:cs="Arial"/>
          <w:sz w:val="24"/>
          <w:szCs w:val="24"/>
        </w:rPr>
        <w:t>r</w:t>
      </w:r>
      <w:r w:rsidR="00F82E1D" w:rsidRPr="009C69FE">
        <w:rPr>
          <w:rFonts w:cs="Arial"/>
          <w:sz w:val="24"/>
          <w:szCs w:val="24"/>
        </w:rPr>
        <w:t>ough the CIM/SMGS project</w:t>
      </w:r>
      <w:r w:rsidR="00E222C5" w:rsidRPr="009C69FE">
        <w:rPr>
          <w:rFonts w:cs="Arial"/>
          <w:sz w:val="24"/>
          <w:szCs w:val="24"/>
        </w:rPr>
        <w:t xml:space="preserve"> which could</w:t>
      </w:r>
      <w:r w:rsidR="008F31E7" w:rsidRPr="009C69FE">
        <w:rPr>
          <w:rFonts w:cs="Arial"/>
          <w:sz w:val="24"/>
          <w:szCs w:val="24"/>
        </w:rPr>
        <w:t xml:space="preserve"> be the basis for considerable development of multimodal movements built around rail.  Furthermore bodies such as the UNECE, OTIF, CIT</w:t>
      </w:r>
      <w:r w:rsidR="00F82E1D" w:rsidRPr="009C69FE">
        <w:rPr>
          <w:rFonts w:cs="Arial"/>
          <w:sz w:val="24"/>
          <w:szCs w:val="24"/>
        </w:rPr>
        <w:t xml:space="preserve"> and </w:t>
      </w:r>
      <w:r w:rsidR="008F31E7" w:rsidRPr="009C69FE">
        <w:rPr>
          <w:rFonts w:cs="Arial"/>
          <w:sz w:val="24"/>
          <w:szCs w:val="24"/>
        </w:rPr>
        <w:t xml:space="preserve">IRU continuously collaborate and work towards harmonisation of the law with the prospect perhaps of bringing CMR and inland waterways into a single regime with rail (see e.g. CIT-Info 4 2018 p. 8 </w:t>
      </w:r>
      <w:hyperlink r:id="rId51" w:history="1">
        <w:r w:rsidR="008F31E7" w:rsidRPr="009C69FE">
          <w:rPr>
            <w:rStyle w:val="Hyperlink"/>
            <w:rFonts w:cs="Arial"/>
            <w:sz w:val="24"/>
            <w:szCs w:val="24"/>
          </w:rPr>
          <w:t>https://www.cit-rail.org/media/files/public/cit-info/2018/cit-info_2018-4/cit_info_4_2018_en_b1Igbed.pdf</w:t>
        </w:r>
      </w:hyperlink>
      <w:r w:rsidR="008F31E7" w:rsidRPr="009C69FE">
        <w:rPr>
          <w:rFonts w:cs="Arial"/>
          <w:sz w:val="24"/>
          <w:szCs w:val="24"/>
        </w:rPr>
        <w:t>)</w:t>
      </w:r>
      <w:r w:rsidR="00F82E1D" w:rsidRPr="009C69FE">
        <w:rPr>
          <w:rFonts w:cs="Arial"/>
          <w:sz w:val="24"/>
          <w:szCs w:val="24"/>
        </w:rPr>
        <w:t>.</w:t>
      </w:r>
    </w:p>
    <w:p w14:paraId="35A8BD5C" w14:textId="77777777" w:rsidR="008F31E7" w:rsidRPr="009C69FE" w:rsidRDefault="008F31E7" w:rsidP="00FF67DA">
      <w:pPr>
        <w:rPr>
          <w:rFonts w:cs="Arial"/>
          <w:b/>
          <w:sz w:val="24"/>
          <w:szCs w:val="24"/>
        </w:rPr>
      </w:pPr>
    </w:p>
    <w:p w14:paraId="25754B5D" w14:textId="77777777" w:rsidR="007B47B3" w:rsidRPr="009C69FE" w:rsidRDefault="0062075F" w:rsidP="00FF67DA">
      <w:pPr>
        <w:rPr>
          <w:rFonts w:cs="Arial"/>
          <w:b/>
          <w:sz w:val="24"/>
          <w:szCs w:val="24"/>
        </w:rPr>
      </w:pPr>
      <w:r w:rsidRPr="009C69FE">
        <w:rPr>
          <w:rFonts w:cs="Arial"/>
          <w:b/>
          <w:sz w:val="24"/>
          <w:szCs w:val="24"/>
        </w:rPr>
        <w:t xml:space="preserve">Selected </w:t>
      </w:r>
      <w:r w:rsidR="009C69FE" w:rsidRPr="009C69FE">
        <w:rPr>
          <w:rFonts w:cs="Arial"/>
          <w:b/>
          <w:sz w:val="24"/>
          <w:szCs w:val="24"/>
        </w:rPr>
        <w:t>references for further research</w:t>
      </w:r>
    </w:p>
    <w:p w14:paraId="1FD8F991" w14:textId="6A337AE3" w:rsidR="007B47B3" w:rsidRPr="009C69FE" w:rsidRDefault="007B47B3" w:rsidP="00FF67DA">
      <w:pPr>
        <w:rPr>
          <w:rFonts w:cs="Arial"/>
          <w:sz w:val="24"/>
          <w:szCs w:val="24"/>
        </w:rPr>
      </w:pPr>
      <w:r w:rsidRPr="009C69FE">
        <w:rPr>
          <w:rFonts w:cs="Arial"/>
          <w:b/>
          <w:sz w:val="24"/>
          <w:szCs w:val="24"/>
        </w:rPr>
        <w:t>General Texts</w:t>
      </w:r>
      <w:r w:rsidRPr="009C69FE">
        <w:rPr>
          <w:rFonts w:cs="Arial"/>
          <w:sz w:val="24"/>
          <w:szCs w:val="24"/>
        </w:rPr>
        <w:br/>
      </w:r>
      <w:r w:rsidR="00E222C5" w:rsidRPr="009C69FE">
        <w:rPr>
          <w:rFonts w:cs="Arial"/>
          <w:sz w:val="24"/>
          <w:szCs w:val="24"/>
        </w:rPr>
        <w:t xml:space="preserve">P </w:t>
      </w:r>
      <w:proofErr w:type="spellStart"/>
      <w:r w:rsidR="00E222C5" w:rsidRPr="009C69FE">
        <w:rPr>
          <w:rFonts w:cs="Arial"/>
          <w:sz w:val="24"/>
          <w:szCs w:val="24"/>
        </w:rPr>
        <w:t>Budgen</w:t>
      </w:r>
      <w:proofErr w:type="spellEnd"/>
      <w:r w:rsidR="00E222C5" w:rsidRPr="009C69FE">
        <w:rPr>
          <w:rFonts w:cs="Arial"/>
          <w:sz w:val="24"/>
          <w:szCs w:val="24"/>
        </w:rPr>
        <w:t xml:space="preserve"> and S Lamont-Black, Goods in Transit 4</w:t>
      </w:r>
      <w:r w:rsidR="00E222C5" w:rsidRPr="009C69FE">
        <w:rPr>
          <w:rFonts w:cs="Arial"/>
          <w:sz w:val="24"/>
          <w:szCs w:val="24"/>
          <w:vertAlign w:val="superscript"/>
        </w:rPr>
        <w:t>th</w:t>
      </w:r>
      <w:r w:rsidR="00E222C5" w:rsidRPr="009C69FE">
        <w:rPr>
          <w:rFonts w:cs="Arial"/>
          <w:sz w:val="24"/>
          <w:szCs w:val="24"/>
        </w:rPr>
        <w:t xml:space="preserve"> ed. 2018</w:t>
      </w:r>
      <w:r w:rsidR="00E222C5" w:rsidRPr="009C69FE">
        <w:rPr>
          <w:rFonts w:cs="Arial"/>
          <w:sz w:val="24"/>
          <w:szCs w:val="24"/>
        </w:rPr>
        <w:br/>
      </w:r>
      <w:r w:rsidRPr="009C69FE">
        <w:rPr>
          <w:rFonts w:cs="Arial"/>
          <w:sz w:val="24"/>
          <w:szCs w:val="24"/>
        </w:rPr>
        <w:t>B Harris: Ridley’s Law of the Carriage of Goods by Land, Sea and Air 8</w:t>
      </w:r>
      <w:r w:rsidRPr="009C69FE">
        <w:rPr>
          <w:rFonts w:cs="Arial"/>
          <w:sz w:val="24"/>
          <w:szCs w:val="24"/>
          <w:vertAlign w:val="superscript"/>
        </w:rPr>
        <w:t>th</w:t>
      </w:r>
      <w:r w:rsidRPr="009C69FE">
        <w:rPr>
          <w:rFonts w:cs="Arial"/>
          <w:sz w:val="24"/>
          <w:szCs w:val="24"/>
        </w:rPr>
        <w:t xml:space="preserve"> ed. 2010</w:t>
      </w:r>
      <w:r w:rsidRPr="009C69FE">
        <w:rPr>
          <w:rFonts w:cs="Arial"/>
          <w:sz w:val="24"/>
          <w:szCs w:val="24"/>
        </w:rPr>
        <w:br/>
      </w:r>
      <w:r w:rsidR="00E222C5" w:rsidRPr="009C69FE">
        <w:rPr>
          <w:rFonts w:cs="Arial"/>
          <w:sz w:val="24"/>
          <w:szCs w:val="24"/>
        </w:rPr>
        <w:t>N Palmer, Palmer on Bailment 3</w:t>
      </w:r>
      <w:r w:rsidR="00E222C5" w:rsidRPr="009C69FE">
        <w:rPr>
          <w:rFonts w:cs="Arial"/>
          <w:sz w:val="24"/>
          <w:szCs w:val="24"/>
          <w:vertAlign w:val="superscript"/>
        </w:rPr>
        <w:t>rd</w:t>
      </w:r>
      <w:r w:rsidR="00E222C5" w:rsidRPr="009C69FE">
        <w:rPr>
          <w:rFonts w:cs="Arial"/>
          <w:sz w:val="24"/>
          <w:szCs w:val="24"/>
        </w:rPr>
        <w:t xml:space="preserve"> ed 2009</w:t>
      </w:r>
      <w:r w:rsidR="006722C9">
        <w:rPr>
          <w:rFonts w:cs="Arial"/>
          <w:sz w:val="24"/>
          <w:szCs w:val="24"/>
        </w:rPr>
        <w:br/>
      </w:r>
      <w:r w:rsidR="0062075F" w:rsidRPr="009C69FE">
        <w:rPr>
          <w:rFonts w:cs="Arial"/>
          <w:sz w:val="24"/>
          <w:szCs w:val="24"/>
        </w:rPr>
        <w:br/>
      </w:r>
      <w:r w:rsidR="0062075F" w:rsidRPr="009C69FE">
        <w:rPr>
          <w:rFonts w:cs="Arial"/>
          <w:sz w:val="24"/>
          <w:szCs w:val="24"/>
        </w:rPr>
        <w:br/>
      </w:r>
      <w:r w:rsidRPr="009C69FE">
        <w:rPr>
          <w:rFonts w:cs="Arial"/>
          <w:b/>
          <w:sz w:val="24"/>
          <w:szCs w:val="24"/>
        </w:rPr>
        <w:t>On CMR and CIM</w:t>
      </w:r>
      <w:r w:rsidRPr="009C69FE">
        <w:rPr>
          <w:rFonts w:cs="Arial"/>
          <w:sz w:val="24"/>
          <w:szCs w:val="24"/>
        </w:rPr>
        <w:br/>
        <w:t>M Clarke, International Carriage of Goods by Road: CMR 6</w:t>
      </w:r>
      <w:r w:rsidRPr="009C69FE">
        <w:rPr>
          <w:rFonts w:cs="Arial"/>
          <w:sz w:val="24"/>
          <w:szCs w:val="24"/>
          <w:vertAlign w:val="superscript"/>
        </w:rPr>
        <w:t>th</w:t>
      </w:r>
      <w:r w:rsidRPr="009C69FE">
        <w:rPr>
          <w:rFonts w:cs="Arial"/>
          <w:sz w:val="24"/>
          <w:szCs w:val="24"/>
        </w:rPr>
        <w:t xml:space="preserve"> ed </w:t>
      </w:r>
      <w:r w:rsidR="008936D6" w:rsidRPr="009C69FE">
        <w:rPr>
          <w:rFonts w:cs="Arial"/>
          <w:sz w:val="24"/>
          <w:szCs w:val="24"/>
        </w:rPr>
        <w:t>2014</w:t>
      </w:r>
      <w:r w:rsidR="008936D6" w:rsidRPr="009C69FE">
        <w:rPr>
          <w:rFonts w:cs="Arial"/>
          <w:sz w:val="24"/>
          <w:szCs w:val="24"/>
        </w:rPr>
        <w:br/>
        <w:t>M Clarke and D Yates, Contracts of Carriage by Land and Air 2</w:t>
      </w:r>
      <w:r w:rsidR="008936D6" w:rsidRPr="009C69FE">
        <w:rPr>
          <w:rFonts w:cs="Arial"/>
          <w:sz w:val="24"/>
          <w:szCs w:val="24"/>
          <w:vertAlign w:val="superscript"/>
        </w:rPr>
        <w:t>nd</w:t>
      </w:r>
      <w:r w:rsidR="008936D6" w:rsidRPr="009C69FE">
        <w:rPr>
          <w:rFonts w:cs="Arial"/>
          <w:sz w:val="24"/>
          <w:szCs w:val="24"/>
        </w:rPr>
        <w:t xml:space="preserve"> ed 2008</w:t>
      </w:r>
      <w:r w:rsidR="008936D6" w:rsidRPr="009C69FE">
        <w:rPr>
          <w:rFonts w:cs="Arial"/>
          <w:sz w:val="24"/>
          <w:szCs w:val="24"/>
        </w:rPr>
        <w:br/>
        <w:t xml:space="preserve">A </w:t>
      </w:r>
      <w:proofErr w:type="spellStart"/>
      <w:r w:rsidR="008936D6" w:rsidRPr="009C69FE">
        <w:rPr>
          <w:rFonts w:cs="Arial"/>
          <w:sz w:val="24"/>
          <w:szCs w:val="24"/>
        </w:rPr>
        <w:t>Messent</w:t>
      </w:r>
      <w:proofErr w:type="spellEnd"/>
      <w:r w:rsidR="008936D6" w:rsidRPr="009C69FE">
        <w:rPr>
          <w:rFonts w:cs="Arial"/>
          <w:sz w:val="24"/>
          <w:szCs w:val="24"/>
        </w:rPr>
        <w:t xml:space="preserve"> and D A Glass, CMR: Contracts for the International Carriage of Goods by Road, 4</w:t>
      </w:r>
      <w:r w:rsidR="008936D6" w:rsidRPr="009C69FE">
        <w:rPr>
          <w:rFonts w:cs="Arial"/>
          <w:sz w:val="24"/>
          <w:szCs w:val="24"/>
          <w:vertAlign w:val="superscript"/>
        </w:rPr>
        <w:t>th</w:t>
      </w:r>
      <w:r w:rsidR="008936D6" w:rsidRPr="009C69FE">
        <w:rPr>
          <w:rFonts w:cs="Arial"/>
          <w:sz w:val="24"/>
          <w:szCs w:val="24"/>
        </w:rPr>
        <w:t xml:space="preserve"> ed 2018</w:t>
      </w:r>
      <w:r w:rsidR="008936D6" w:rsidRPr="009C69FE">
        <w:rPr>
          <w:rFonts w:cs="Arial"/>
          <w:sz w:val="24"/>
          <w:szCs w:val="24"/>
        </w:rPr>
        <w:br/>
        <w:t xml:space="preserve">W </w:t>
      </w:r>
      <w:proofErr w:type="spellStart"/>
      <w:r w:rsidR="008936D6" w:rsidRPr="009C69FE">
        <w:rPr>
          <w:rFonts w:cs="Arial"/>
          <w:sz w:val="24"/>
          <w:szCs w:val="24"/>
        </w:rPr>
        <w:t>Verheyen</w:t>
      </w:r>
      <w:proofErr w:type="spellEnd"/>
      <w:r w:rsidR="008936D6" w:rsidRPr="009C69FE">
        <w:rPr>
          <w:rFonts w:cs="Arial"/>
          <w:sz w:val="24"/>
          <w:szCs w:val="24"/>
        </w:rPr>
        <w:t xml:space="preserve">, CMR 60 </w:t>
      </w:r>
      <w:proofErr w:type="spellStart"/>
      <w:r w:rsidR="008936D6" w:rsidRPr="009C69FE">
        <w:rPr>
          <w:rFonts w:cs="Arial"/>
          <w:sz w:val="24"/>
          <w:szCs w:val="24"/>
        </w:rPr>
        <w:t>years Time</w:t>
      </w:r>
      <w:proofErr w:type="spellEnd"/>
      <w:r w:rsidR="008936D6" w:rsidRPr="009C69FE">
        <w:rPr>
          <w:rFonts w:cs="Arial"/>
          <w:sz w:val="24"/>
          <w:szCs w:val="24"/>
        </w:rPr>
        <w:t xml:space="preserve"> for retirement or future proof 2017</w:t>
      </w:r>
      <w:r w:rsidR="008936D6" w:rsidRPr="009C69FE">
        <w:rPr>
          <w:rFonts w:cs="Arial"/>
          <w:sz w:val="24"/>
          <w:szCs w:val="24"/>
        </w:rPr>
        <w:br/>
      </w:r>
      <w:r w:rsidR="008936D6" w:rsidRPr="009C69FE">
        <w:rPr>
          <w:rFonts w:cs="Arial"/>
          <w:sz w:val="24"/>
          <w:szCs w:val="24"/>
        </w:rPr>
        <w:br/>
      </w:r>
      <w:r w:rsidR="008936D6" w:rsidRPr="009C69FE">
        <w:rPr>
          <w:rFonts w:cs="Arial"/>
          <w:b/>
          <w:sz w:val="24"/>
          <w:szCs w:val="24"/>
        </w:rPr>
        <w:t>On CMR art 2:</w:t>
      </w:r>
      <w:r w:rsidR="008936D6" w:rsidRPr="009C69FE">
        <w:rPr>
          <w:rFonts w:cs="Arial"/>
          <w:sz w:val="24"/>
          <w:szCs w:val="24"/>
        </w:rPr>
        <w:t xml:space="preserve"> D A Glass, Article 2 of the CMR Convention- A Reappraisal (2000) JBL 562</w:t>
      </w:r>
      <w:r w:rsidR="008936D6" w:rsidRPr="009C69FE">
        <w:rPr>
          <w:rFonts w:cs="Arial"/>
          <w:sz w:val="24"/>
          <w:szCs w:val="24"/>
        </w:rPr>
        <w:br/>
      </w:r>
      <w:r w:rsidR="008936D6" w:rsidRPr="009C69FE">
        <w:rPr>
          <w:rFonts w:cs="Arial"/>
          <w:b/>
          <w:sz w:val="24"/>
          <w:szCs w:val="24"/>
        </w:rPr>
        <w:t>On successive carriage:</w:t>
      </w:r>
      <w:r w:rsidR="008936D6" w:rsidRPr="009C69FE">
        <w:rPr>
          <w:rFonts w:cs="Arial"/>
          <w:sz w:val="24"/>
          <w:szCs w:val="24"/>
        </w:rPr>
        <w:t xml:space="preserve"> S Lamont-Black, Evaluation of the rules on successive carriage(1) The Concept of the Successive CMR Carrier on Trial – </w:t>
      </w:r>
      <w:proofErr w:type="spellStart"/>
      <w:r w:rsidR="008936D6" w:rsidRPr="009C69FE">
        <w:rPr>
          <w:rFonts w:cs="Arial"/>
          <w:sz w:val="24"/>
          <w:szCs w:val="24"/>
        </w:rPr>
        <w:t>ch</w:t>
      </w:r>
      <w:proofErr w:type="spellEnd"/>
      <w:r w:rsidR="008936D6" w:rsidRPr="009C69FE">
        <w:rPr>
          <w:rFonts w:cs="Arial"/>
          <w:sz w:val="24"/>
          <w:szCs w:val="24"/>
        </w:rPr>
        <w:t xml:space="preserve"> 9 in </w:t>
      </w:r>
      <w:proofErr w:type="spellStart"/>
      <w:r w:rsidR="008936D6" w:rsidRPr="009C69FE">
        <w:rPr>
          <w:rFonts w:cs="Arial"/>
          <w:sz w:val="24"/>
          <w:szCs w:val="24"/>
        </w:rPr>
        <w:t>Verheyen</w:t>
      </w:r>
      <w:proofErr w:type="spellEnd"/>
    </w:p>
    <w:p w14:paraId="61EAEDCA" w14:textId="5592890C" w:rsidR="008936D6" w:rsidRPr="009C69FE" w:rsidRDefault="008936D6" w:rsidP="00FF67DA">
      <w:pPr>
        <w:rPr>
          <w:rFonts w:cs="Arial"/>
          <w:sz w:val="24"/>
          <w:szCs w:val="24"/>
        </w:rPr>
      </w:pPr>
      <w:r w:rsidRPr="009C69FE">
        <w:rPr>
          <w:rFonts w:cs="Arial"/>
          <w:b/>
          <w:sz w:val="24"/>
          <w:szCs w:val="24"/>
        </w:rPr>
        <w:t>On Multimodal Transport</w:t>
      </w:r>
      <w:r w:rsidR="0062075F" w:rsidRPr="009C69FE">
        <w:rPr>
          <w:rFonts w:cs="Arial"/>
          <w:sz w:val="24"/>
          <w:szCs w:val="24"/>
        </w:rPr>
        <w:br/>
        <w:t>D A Glass, Freight Forwarding and Multimodal Contracts 2</w:t>
      </w:r>
      <w:r w:rsidR="0062075F" w:rsidRPr="009C69FE">
        <w:rPr>
          <w:rFonts w:cs="Arial"/>
          <w:sz w:val="24"/>
          <w:szCs w:val="24"/>
          <w:vertAlign w:val="superscript"/>
        </w:rPr>
        <w:t>nd</w:t>
      </w:r>
      <w:r w:rsidR="0062075F" w:rsidRPr="009C69FE">
        <w:rPr>
          <w:rFonts w:cs="Arial"/>
          <w:sz w:val="24"/>
          <w:szCs w:val="24"/>
        </w:rPr>
        <w:t xml:space="preserve"> ed 2012</w:t>
      </w:r>
      <w:r w:rsidR="0062075F" w:rsidRPr="009C69FE">
        <w:rPr>
          <w:rFonts w:cs="Arial"/>
          <w:sz w:val="24"/>
          <w:szCs w:val="24"/>
        </w:rPr>
        <w:br/>
        <w:t xml:space="preserve">M </w:t>
      </w:r>
      <w:proofErr w:type="spellStart"/>
      <w:r w:rsidR="0062075F" w:rsidRPr="009C69FE">
        <w:rPr>
          <w:rFonts w:cs="Arial"/>
          <w:sz w:val="24"/>
          <w:szCs w:val="24"/>
        </w:rPr>
        <w:t>Hoeks</w:t>
      </w:r>
      <w:proofErr w:type="spellEnd"/>
      <w:r w:rsidR="0062075F" w:rsidRPr="009C69FE">
        <w:rPr>
          <w:rFonts w:cs="Arial"/>
          <w:sz w:val="24"/>
          <w:szCs w:val="24"/>
        </w:rPr>
        <w:t>, Multimodal Transport Law 2010</w:t>
      </w:r>
      <w:r w:rsidR="004A733C" w:rsidRPr="009C69FE">
        <w:rPr>
          <w:rFonts w:cs="Arial"/>
          <w:sz w:val="24"/>
          <w:szCs w:val="24"/>
        </w:rPr>
        <w:br/>
        <w:t xml:space="preserve">S </w:t>
      </w:r>
      <w:r w:rsidR="00E222C5" w:rsidRPr="009C69FE">
        <w:rPr>
          <w:rFonts w:cs="Arial"/>
          <w:sz w:val="24"/>
          <w:szCs w:val="24"/>
        </w:rPr>
        <w:t xml:space="preserve">Lamont-Black, Claiming Damages </w:t>
      </w:r>
      <w:r w:rsidR="004A733C" w:rsidRPr="009C69FE">
        <w:rPr>
          <w:rFonts w:cs="Arial"/>
          <w:sz w:val="24"/>
          <w:szCs w:val="24"/>
        </w:rPr>
        <w:t xml:space="preserve">in Multimodal Transport: A need for harmonisation (2012) </w:t>
      </w:r>
      <w:proofErr w:type="spellStart"/>
      <w:r w:rsidR="004A733C" w:rsidRPr="009C69FE">
        <w:rPr>
          <w:rFonts w:cs="Arial"/>
          <w:sz w:val="24"/>
          <w:szCs w:val="24"/>
        </w:rPr>
        <w:t>Tul</w:t>
      </w:r>
      <w:proofErr w:type="spellEnd"/>
      <w:r w:rsidR="004A733C" w:rsidRPr="009C69FE">
        <w:rPr>
          <w:rFonts w:cs="Arial"/>
          <w:sz w:val="24"/>
          <w:szCs w:val="24"/>
        </w:rPr>
        <w:t>. Mar L. J.707</w:t>
      </w:r>
      <w:r w:rsidRPr="009C69FE">
        <w:rPr>
          <w:rFonts w:cs="Arial"/>
          <w:sz w:val="24"/>
          <w:szCs w:val="24"/>
        </w:rPr>
        <w:br/>
      </w:r>
      <w:r w:rsidR="0062075F" w:rsidRPr="009C69FE">
        <w:rPr>
          <w:rFonts w:cs="Arial"/>
          <w:sz w:val="24"/>
          <w:szCs w:val="24"/>
        </w:rPr>
        <w:t xml:space="preserve">R Thomas and S Lamont-Black, Current issues in freight </w:t>
      </w:r>
      <w:proofErr w:type="gramStart"/>
      <w:r w:rsidR="0062075F" w:rsidRPr="009C69FE">
        <w:rPr>
          <w:rFonts w:cs="Arial"/>
          <w:sz w:val="24"/>
          <w:szCs w:val="24"/>
        </w:rPr>
        <w:t>forwarding:</w:t>
      </w:r>
      <w:proofErr w:type="gramEnd"/>
      <w:r w:rsidR="0062075F" w:rsidRPr="009C69FE">
        <w:rPr>
          <w:rFonts w:cs="Arial"/>
          <w:sz w:val="24"/>
          <w:szCs w:val="24"/>
        </w:rPr>
        <w:t xml:space="preserve"> law and logistics 2017</w:t>
      </w:r>
      <w:r w:rsidR="0021023C">
        <w:rPr>
          <w:rFonts w:cs="Arial"/>
          <w:sz w:val="24"/>
          <w:szCs w:val="24"/>
        </w:rPr>
        <w:br/>
        <w:t xml:space="preserve">P </w:t>
      </w:r>
      <w:proofErr w:type="spellStart"/>
      <w:r w:rsidR="0021023C">
        <w:rPr>
          <w:rFonts w:cs="Arial"/>
          <w:sz w:val="24"/>
          <w:szCs w:val="24"/>
        </w:rPr>
        <w:t>Backden</w:t>
      </w:r>
      <w:proofErr w:type="spellEnd"/>
      <w:r w:rsidR="0021023C">
        <w:rPr>
          <w:rFonts w:cs="Arial"/>
          <w:sz w:val="24"/>
          <w:szCs w:val="24"/>
        </w:rPr>
        <w:t xml:space="preserve">, The Contract of Carriage, </w:t>
      </w:r>
      <w:r w:rsidR="00CC7AC3">
        <w:rPr>
          <w:rFonts w:cs="Arial"/>
          <w:sz w:val="24"/>
          <w:szCs w:val="24"/>
        </w:rPr>
        <w:t xml:space="preserve">Multimodal Transport and </w:t>
      </w:r>
      <w:r w:rsidR="00665E8E">
        <w:rPr>
          <w:rFonts w:cs="Arial"/>
          <w:sz w:val="24"/>
          <w:szCs w:val="24"/>
        </w:rPr>
        <w:t xml:space="preserve">Unimodal Regulation, </w:t>
      </w:r>
      <w:r w:rsidR="002F5E6C">
        <w:rPr>
          <w:rFonts w:cs="Arial"/>
          <w:sz w:val="24"/>
          <w:szCs w:val="24"/>
        </w:rPr>
        <w:t>2019</w:t>
      </w:r>
      <w:r w:rsidR="009A66C8">
        <w:rPr>
          <w:rFonts w:cs="Arial"/>
          <w:sz w:val="24"/>
          <w:szCs w:val="24"/>
        </w:rPr>
        <w:br/>
      </w:r>
      <w:r w:rsidR="009A66C8">
        <w:rPr>
          <w:rFonts w:cs="Arial"/>
          <w:sz w:val="24"/>
          <w:szCs w:val="24"/>
        </w:rPr>
        <w:lastRenderedPageBreak/>
        <w:t xml:space="preserve">M </w:t>
      </w:r>
      <w:proofErr w:type="spellStart"/>
      <w:r w:rsidR="009A66C8">
        <w:rPr>
          <w:rFonts w:cs="Arial"/>
          <w:sz w:val="24"/>
          <w:szCs w:val="24"/>
        </w:rPr>
        <w:t>Spanjaart</w:t>
      </w:r>
      <w:proofErr w:type="spellEnd"/>
      <w:r w:rsidR="009A66C8">
        <w:rPr>
          <w:rFonts w:cs="Arial"/>
          <w:sz w:val="24"/>
          <w:szCs w:val="24"/>
        </w:rPr>
        <w:t xml:space="preserve">, </w:t>
      </w:r>
      <w:r w:rsidR="003B0596">
        <w:rPr>
          <w:rFonts w:cs="Arial"/>
          <w:sz w:val="24"/>
          <w:szCs w:val="24"/>
        </w:rPr>
        <w:t>Multimodal Transport Law, 2017</w:t>
      </w:r>
      <w:r w:rsidR="00FD7D41" w:rsidRPr="009C69FE">
        <w:rPr>
          <w:rFonts w:cs="Arial"/>
          <w:sz w:val="24"/>
          <w:szCs w:val="24"/>
        </w:rPr>
        <w:br/>
      </w:r>
    </w:p>
    <w:sectPr w:rsidR="008936D6" w:rsidRPr="009C69FE" w:rsidSect="001C7BFB">
      <w:footerReference w:type="default" r:id="rId52"/>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12568F6" w14:textId="77777777" w:rsidR="0012565C" w:rsidRDefault="0012565C" w:rsidP="00853E26">
      <w:pPr>
        <w:spacing w:after="0"/>
      </w:pPr>
      <w:r>
        <w:separator/>
      </w:r>
    </w:p>
  </w:endnote>
  <w:endnote w:type="continuationSeparator" w:id="0">
    <w:p w14:paraId="14A97D27" w14:textId="77777777" w:rsidR="0012565C" w:rsidRDefault="0012565C" w:rsidP="00853E26">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9808742"/>
      <w:docPartObj>
        <w:docPartGallery w:val="Page Numbers (Bottom of Page)"/>
        <w:docPartUnique/>
      </w:docPartObj>
    </w:sdtPr>
    <w:sdtEndPr/>
    <w:sdtContent>
      <w:p w14:paraId="6F08DF9C" w14:textId="77777777" w:rsidR="000442D3" w:rsidRDefault="000442D3">
        <w:pPr>
          <w:pStyle w:val="Footer"/>
          <w:jc w:val="center"/>
        </w:pPr>
        <w:r>
          <w:fldChar w:fldCharType="begin"/>
        </w:r>
        <w:r>
          <w:instrText xml:space="preserve"> PAGE   \* MERGEFORMAT </w:instrText>
        </w:r>
        <w:r>
          <w:fldChar w:fldCharType="separate"/>
        </w:r>
        <w:r>
          <w:rPr>
            <w:noProof/>
          </w:rPr>
          <w:t>44</w:t>
        </w:r>
        <w:r>
          <w:rPr>
            <w:noProof/>
          </w:rPr>
          <w:fldChar w:fldCharType="end"/>
        </w:r>
      </w:p>
    </w:sdtContent>
  </w:sdt>
  <w:p w14:paraId="42775018" w14:textId="77777777" w:rsidR="000442D3" w:rsidRDefault="000442D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1A3A872" w14:textId="77777777" w:rsidR="0012565C" w:rsidRDefault="0012565C" w:rsidP="00853E26">
      <w:pPr>
        <w:spacing w:after="0"/>
      </w:pPr>
      <w:r>
        <w:separator/>
      </w:r>
    </w:p>
  </w:footnote>
  <w:footnote w:type="continuationSeparator" w:id="0">
    <w:p w14:paraId="2E9200C6" w14:textId="77777777" w:rsidR="0012565C" w:rsidRDefault="0012565C" w:rsidP="00853E26">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4E1291"/>
    <w:multiLevelType w:val="hybridMultilevel"/>
    <w:tmpl w:val="409AA9C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215B462C"/>
    <w:multiLevelType w:val="hybridMultilevel"/>
    <w:tmpl w:val="A67EA270"/>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2" w15:restartNumberingAfterBreak="0">
    <w:nsid w:val="2D682763"/>
    <w:multiLevelType w:val="hybridMultilevel"/>
    <w:tmpl w:val="E8EADEB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3587423E"/>
    <w:multiLevelType w:val="hybridMultilevel"/>
    <w:tmpl w:val="DB88A940"/>
    <w:lvl w:ilvl="0" w:tplc="6CB498F8">
      <w:start w:val="1"/>
      <w:numFmt w:val="lowerRoman"/>
      <w:lvlText w:val="%1)"/>
      <w:lvlJc w:val="left"/>
      <w:pPr>
        <w:ind w:left="1080" w:hanging="72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6C537EFB"/>
    <w:multiLevelType w:val="hybridMultilevel"/>
    <w:tmpl w:val="38961E3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16cid:durableId="1973438034">
    <w:abstractNumId w:val="4"/>
  </w:num>
  <w:num w:numId="2" w16cid:durableId="90056704">
    <w:abstractNumId w:val="1"/>
  </w:num>
  <w:num w:numId="3" w16cid:durableId="2135319986">
    <w:abstractNumId w:val="0"/>
  </w:num>
  <w:num w:numId="4" w16cid:durableId="128717423">
    <w:abstractNumId w:val="2"/>
  </w:num>
  <w:num w:numId="5" w16cid:durableId="35959755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8"/>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E3C46"/>
    <w:rsid w:val="00003AA9"/>
    <w:rsid w:val="00004683"/>
    <w:rsid w:val="00011662"/>
    <w:rsid w:val="00014122"/>
    <w:rsid w:val="00014987"/>
    <w:rsid w:val="00015459"/>
    <w:rsid w:val="00020BB5"/>
    <w:rsid w:val="00022BE9"/>
    <w:rsid w:val="00036087"/>
    <w:rsid w:val="000367AF"/>
    <w:rsid w:val="0003728B"/>
    <w:rsid w:val="00037519"/>
    <w:rsid w:val="00042746"/>
    <w:rsid w:val="000442D3"/>
    <w:rsid w:val="00046AA3"/>
    <w:rsid w:val="00047C7C"/>
    <w:rsid w:val="00053104"/>
    <w:rsid w:val="00056A22"/>
    <w:rsid w:val="000610E0"/>
    <w:rsid w:val="00062209"/>
    <w:rsid w:val="0006427A"/>
    <w:rsid w:val="000644F0"/>
    <w:rsid w:val="0006584A"/>
    <w:rsid w:val="00075599"/>
    <w:rsid w:val="000760F8"/>
    <w:rsid w:val="00077AB6"/>
    <w:rsid w:val="00077DD8"/>
    <w:rsid w:val="0009066D"/>
    <w:rsid w:val="00091643"/>
    <w:rsid w:val="000926B5"/>
    <w:rsid w:val="000971A1"/>
    <w:rsid w:val="000A0B8B"/>
    <w:rsid w:val="000A1DBD"/>
    <w:rsid w:val="000A2070"/>
    <w:rsid w:val="000A3E7A"/>
    <w:rsid w:val="000A521F"/>
    <w:rsid w:val="000A55B8"/>
    <w:rsid w:val="000A7018"/>
    <w:rsid w:val="000B06EF"/>
    <w:rsid w:val="000B2F3F"/>
    <w:rsid w:val="000B61D2"/>
    <w:rsid w:val="000B7843"/>
    <w:rsid w:val="000C1F6F"/>
    <w:rsid w:val="000C26B2"/>
    <w:rsid w:val="000C2755"/>
    <w:rsid w:val="000C2BFB"/>
    <w:rsid w:val="000C4436"/>
    <w:rsid w:val="000C4BC8"/>
    <w:rsid w:val="000C6957"/>
    <w:rsid w:val="000D0826"/>
    <w:rsid w:val="000D0A84"/>
    <w:rsid w:val="000D26CB"/>
    <w:rsid w:val="000D461C"/>
    <w:rsid w:val="000D6317"/>
    <w:rsid w:val="000E4688"/>
    <w:rsid w:val="000E667C"/>
    <w:rsid w:val="000F23D6"/>
    <w:rsid w:val="000F655C"/>
    <w:rsid w:val="000F6AE4"/>
    <w:rsid w:val="00102805"/>
    <w:rsid w:val="00111656"/>
    <w:rsid w:val="001140B9"/>
    <w:rsid w:val="00114C85"/>
    <w:rsid w:val="00116FD4"/>
    <w:rsid w:val="00122056"/>
    <w:rsid w:val="001238CD"/>
    <w:rsid w:val="00124655"/>
    <w:rsid w:val="0012565C"/>
    <w:rsid w:val="00125911"/>
    <w:rsid w:val="001259CB"/>
    <w:rsid w:val="00126C03"/>
    <w:rsid w:val="00126CB6"/>
    <w:rsid w:val="001307B8"/>
    <w:rsid w:val="0013195B"/>
    <w:rsid w:val="0014273F"/>
    <w:rsid w:val="001446DF"/>
    <w:rsid w:val="00144F56"/>
    <w:rsid w:val="00150631"/>
    <w:rsid w:val="001509B4"/>
    <w:rsid w:val="00155A98"/>
    <w:rsid w:val="00156B7F"/>
    <w:rsid w:val="00156DFF"/>
    <w:rsid w:val="0015724D"/>
    <w:rsid w:val="00161B1A"/>
    <w:rsid w:val="00161CF7"/>
    <w:rsid w:val="0016364A"/>
    <w:rsid w:val="00166C4B"/>
    <w:rsid w:val="00167EA2"/>
    <w:rsid w:val="0017142E"/>
    <w:rsid w:val="0017144C"/>
    <w:rsid w:val="00172C59"/>
    <w:rsid w:val="00176F6F"/>
    <w:rsid w:val="00177C45"/>
    <w:rsid w:val="00177D5F"/>
    <w:rsid w:val="00177EA6"/>
    <w:rsid w:val="00180750"/>
    <w:rsid w:val="0018168D"/>
    <w:rsid w:val="001845FD"/>
    <w:rsid w:val="0019141C"/>
    <w:rsid w:val="00191634"/>
    <w:rsid w:val="00195571"/>
    <w:rsid w:val="00195BC4"/>
    <w:rsid w:val="001A031F"/>
    <w:rsid w:val="001A073B"/>
    <w:rsid w:val="001A1C64"/>
    <w:rsid w:val="001A4166"/>
    <w:rsid w:val="001A65CE"/>
    <w:rsid w:val="001A75CD"/>
    <w:rsid w:val="001B0994"/>
    <w:rsid w:val="001C626C"/>
    <w:rsid w:val="001C7BFB"/>
    <w:rsid w:val="001D0BF5"/>
    <w:rsid w:val="001D0C65"/>
    <w:rsid w:val="001D16FF"/>
    <w:rsid w:val="001D2175"/>
    <w:rsid w:val="001D2D83"/>
    <w:rsid w:val="001D31F2"/>
    <w:rsid w:val="001D4231"/>
    <w:rsid w:val="001D57B4"/>
    <w:rsid w:val="001D593C"/>
    <w:rsid w:val="001D5F39"/>
    <w:rsid w:val="001E2AFE"/>
    <w:rsid w:val="001E5FE5"/>
    <w:rsid w:val="001E664A"/>
    <w:rsid w:val="001E6702"/>
    <w:rsid w:val="001E6B06"/>
    <w:rsid w:val="001F1809"/>
    <w:rsid w:val="001F2E06"/>
    <w:rsid w:val="001F3107"/>
    <w:rsid w:val="001F6019"/>
    <w:rsid w:val="00201F33"/>
    <w:rsid w:val="00204D87"/>
    <w:rsid w:val="00205749"/>
    <w:rsid w:val="00205CB8"/>
    <w:rsid w:val="0020734A"/>
    <w:rsid w:val="00207B8C"/>
    <w:rsid w:val="0021023C"/>
    <w:rsid w:val="0021201D"/>
    <w:rsid w:val="0021332C"/>
    <w:rsid w:val="002137F7"/>
    <w:rsid w:val="0021438F"/>
    <w:rsid w:val="00214BA7"/>
    <w:rsid w:val="002205B8"/>
    <w:rsid w:val="00224FA3"/>
    <w:rsid w:val="00225C11"/>
    <w:rsid w:val="00226722"/>
    <w:rsid w:val="00233249"/>
    <w:rsid w:val="002369BD"/>
    <w:rsid w:val="0023729C"/>
    <w:rsid w:val="00237966"/>
    <w:rsid w:val="00237E43"/>
    <w:rsid w:val="0024634F"/>
    <w:rsid w:val="00250671"/>
    <w:rsid w:val="00254C4A"/>
    <w:rsid w:val="0026199F"/>
    <w:rsid w:val="00262B56"/>
    <w:rsid w:val="002634FA"/>
    <w:rsid w:val="002738F2"/>
    <w:rsid w:val="0027498E"/>
    <w:rsid w:val="00275998"/>
    <w:rsid w:val="00275E47"/>
    <w:rsid w:val="00280AEA"/>
    <w:rsid w:val="00280BBE"/>
    <w:rsid w:val="0028287F"/>
    <w:rsid w:val="0028388F"/>
    <w:rsid w:val="002871B0"/>
    <w:rsid w:val="002873B6"/>
    <w:rsid w:val="00287C18"/>
    <w:rsid w:val="002917FD"/>
    <w:rsid w:val="00297259"/>
    <w:rsid w:val="002A0923"/>
    <w:rsid w:val="002A15AB"/>
    <w:rsid w:val="002A33DB"/>
    <w:rsid w:val="002B1B58"/>
    <w:rsid w:val="002B2A09"/>
    <w:rsid w:val="002B3C71"/>
    <w:rsid w:val="002B46D7"/>
    <w:rsid w:val="002B4A42"/>
    <w:rsid w:val="002B59A7"/>
    <w:rsid w:val="002B6172"/>
    <w:rsid w:val="002B6233"/>
    <w:rsid w:val="002C17B8"/>
    <w:rsid w:val="002C3484"/>
    <w:rsid w:val="002C3C9A"/>
    <w:rsid w:val="002C415B"/>
    <w:rsid w:val="002C6CC4"/>
    <w:rsid w:val="002D1B76"/>
    <w:rsid w:val="002D50CB"/>
    <w:rsid w:val="002D5F91"/>
    <w:rsid w:val="002E1170"/>
    <w:rsid w:val="002E133A"/>
    <w:rsid w:val="002E1F0F"/>
    <w:rsid w:val="002E47E4"/>
    <w:rsid w:val="002F1974"/>
    <w:rsid w:val="002F2BE1"/>
    <w:rsid w:val="002F385D"/>
    <w:rsid w:val="002F38C6"/>
    <w:rsid w:val="002F5E6C"/>
    <w:rsid w:val="002F6C7E"/>
    <w:rsid w:val="00300B85"/>
    <w:rsid w:val="00303FC3"/>
    <w:rsid w:val="00304A31"/>
    <w:rsid w:val="003102A1"/>
    <w:rsid w:val="003102ED"/>
    <w:rsid w:val="00311731"/>
    <w:rsid w:val="00315DD8"/>
    <w:rsid w:val="00321BDD"/>
    <w:rsid w:val="0032521E"/>
    <w:rsid w:val="003252CA"/>
    <w:rsid w:val="0033448C"/>
    <w:rsid w:val="00335BE5"/>
    <w:rsid w:val="00336B82"/>
    <w:rsid w:val="003373EE"/>
    <w:rsid w:val="00337D1E"/>
    <w:rsid w:val="003404A7"/>
    <w:rsid w:val="0034107C"/>
    <w:rsid w:val="00345E54"/>
    <w:rsid w:val="003508B9"/>
    <w:rsid w:val="00352C6B"/>
    <w:rsid w:val="00356A32"/>
    <w:rsid w:val="003602BB"/>
    <w:rsid w:val="00361B2E"/>
    <w:rsid w:val="003652CE"/>
    <w:rsid w:val="0036728A"/>
    <w:rsid w:val="00371048"/>
    <w:rsid w:val="0037243C"/>
    <w:rsid w:val="00380D5F"/>
    <w:rsid w:val="0038556D"/>
    <w:rsid w:val="0038762B"/>
    <w:rsid w:val="00390796"/>
    <w:rsid w:val="003949A0"/>
    <w:rsid w:val="003A07EE"/>
    <w:rsid w:val="003A196A"/>
    <w:rsid w:val="003A3D95"/>
    <w:rsid w:val="003A489E"/>
    <w:rsid w:val="003A5A07"/>
    <w:rsid w:val="003A5A62"/>
    <w:rsid w:val="003B0596"/>
    <w:rsid w:val="003B2E19"/>
    <w:rsid w:val="003B6816"/>
    <w:rsid w:val="003B7A7E"/>
    <w:rsid w:val="003C2F80"/>
    <w:rsid w:val="003C4596"/>
    <w:rsid w:val="003C6319"/>
    <w:rsid w:val="003D0CA5"/>
    <w:rsid w:val="003D12F0"/>
    <w:rsid w:val="003D228D"/>
    <w:rsid w:val="003D2CE4"/>
    <w:rsid w:val="003D74DE"/>
    <w:rsid w:val="003D7873"/>
    <w:rsid w:val="003E05EF"/>
    <w:rsid w:val="003E65DA"/>
    <w:rsid w:val="003F6D05"/>
    <w:rsid w:val="00402BB7"/>
    <w:rsid w:val="00403AAA"/>
    <w:rsid w:val="00410D53"/>
    <w:rsid w:val="004149D6"/>
    <w:rsid w:val="004160FF"/>
    <w:rsid w:val="004228C7"/>
    <w:rsid w:val="004249E8"/>
    <w:rsid w:val="00430040"/>
    <w:rsid w:val="00430887"/>
    <w:rsid w:val="004312C3"/>
    <w:rsid w:val="004333B9"/>
    <w:rsid w:val="00440AA6"/>
    <w:rsid w:val="00452A0C"/>
    <w:rsid w:val="00453C0A"/>
    <w:rsid w:val="0045471F"/>
    <w:rsid w:val="004548C2"/>
    <w:rsid w:val="00456A02"/>
    <w:rsid w:val="00457E1D"/>
    <w:rsid w:val="004619F8"/>
    <w:rsid w:val="00465D00"/>
    <w:rsid w:val="0047025A"/>
    <w:rsid w:val="004715ED"/>
    <w:rsid w:val="00471FDE"/>
    <w:rsid w:val="004760FD"/>
    <w:rsid w:val="00476C1A"/>
    <w:rsid w:val="00476F12"/>
    <w:rsid w:val="0047765A"/>
    <w:rsid w:val="00477962"/>
    <w:rsid w:val="004839DE"/>
    <w:rsid w:val="0048429D"/>
    <w:rsid w:val="00490864"/>
    <w:rsid w:val="00491A54"/>
    <w:rsid w:val="004929CF"/>
    <w:rsid w:val="004A18FF"/>
    <w:rsid w:val="004A21B1"/>
    <w:rsid w:val="004A418C"/>
    <w:rsid w:val="004A4464"/>
    <w:rsid w:val="004A63CF"/>
    <w:rsid w:val="004A6536"/>
    <w:rsid w:val="004A6899"/>
    <w:rsid w:val="004A733C"/>
    <w:rsid w:val="004A7A98"/>
    <w:rsid w:val="004B1CAE"/>
    <w:rsid w:val="004B2C14"/>
    <w:rsid w:val="004B2D8C"/>
    <w:rsid w:val="004B3914"/>
    <w:rsid w:val="004C6064"/>
    <w:rsid w:val="004D1028"/>
    <w:rsid w:val="004D3E25"/>
    <w:rsid w:val="004D4C5D"/>
    <w:rsid w:val="004E06BC"/>
    <w:rsid w:val="004E3EDF"/>
    <w:rsid w:val="004E5D53"/>
    <w:rsid w:val="004E650A"/>
    <w:rsid w:val="004E7FBF"/>
    <w:rsid w:val="004F0E4E"/>
    <w:rsid w:val="004F5C9E"/>
    <w:rsid w:val="004F6802"/>
    <w:rsid w:val="005004BD"/>
    <w:rsid w:val="0050436C"/>
    <w:rsid w:val="00505E90"/>
    <w:rsid w:val="005155F5"/>
    <w:rsid w:val="00520685"/>
    <w:rsid w:val="005216E8"/>
    <w:rsid w:val="00535309"/>
    <w:rsid w:val="00535735"/>
    <w:rsid w:val="00540B91"/>
    <w:rsid w:val="00544A8B"/>
    <w:rsid w:val="00544F98"/>
    <w:rsid w:val="00546AE0"/>
    <w:rsid w:val="00556691"/>
    <w:rsid w:val="0055796C"/>
    <w:rsid w:val="00557A69"/>
    <w:rsid w:val="00557E22"/>
    <w:rsid w:val="005609F4"/>
    <w:rsid w:val="00564565"/>
    <w:rsid w:val="00565706"/>
    <w:rsid w:val="00565B72"/>
    <w:rsid w:val="00566710"/>
    <w:rsid w:val="00572CE2"/>
    <w:rsid w:val="00575506"/>
    <w:rsid w:val="0058138C"/>
    <w:rsid w:val="005844EE"/>
    <w:rsid w:val="00584602"/>
    <w:rsid w:val="00592C11"/>
    <w:rsid w:val="00593965"/>
    <w:rsid w:val="00593CF8"/>
    <w:rsid w:val="005A1C9A"/>
    <w:rsid w:val="005A3FA4"/>
    <w:rsid w:val="005A5473"/>
    <w:rsid w:val="005A7A92"/>
    <w:rsid w:val="005B0359"/>
    <w:rsid w:val="005B0FF1"/>
    <w:rsid w:val="005B313A"/>
    <w:rsid w:val="005B6C3C"/>
    <w:rsid w:val="005B755E"/>
    <w:rsid w:val="005C19D0"/>
    <w:rsid w:val="005C1FA9"/>
    <w:rsid w:val="005C33CD"/>
    <w:rsid w:val="005C3C56"/>
    <w:rsid w:val="005D2C2F"/>
    <w:rsid w:val="005D413D"/>
    <w:rsid w:val="005D692C"/>
    <w:rsid w:val="005E468C"/>
    <w:rsid w:val="005E4C5B"/>
    <w:rsid w:val="005E72F4"/>
    <w:rsid w:val="00600D02"/>
    <w:rsid w:val="00603824"/>
    <w:rsid w:val="00607458"/>
    <w:rsid w:val="00607C6F"/>
    <w:rsid w:val="00607D8A"/>
    <w:rsid w:val="00610726"/>
    <w:rsid w:val="00612A4E"/>
    <w:rsid w:val="006137E1"/>
    <w:rsid w:val="00616395"/>
    <w:rsid w:val="00616ED2"/>
    <w:rsid w:val="00617FA4"/>
    <w:rsid w:val="0062075F"/>
    <w:rsid w:val="006217A7"/>
    <w:rsid w:val="00623DD9"/>
    <w:rsid w:val="00627573"/>
    <w:rsid w:val="006319FB"/>
    <w:rsid w:val="006322DC"/>
    <w:rsid w:val="006371DE"/>
    <w:rsid w:val="00643DB1"/>
    <w:rsid w:val="00652020"/>
    <w:rsid w:val="00652BE0"/>
    <w:rsid w:val="006629E6"/>
    <w:rsid w:val="00662FDC"/>
    <w:rsid w:val="00664432"/>
    <w:rsid w:val="00665E8E"/>
    <w:rsid w:val="006713A1"/>
    <w:rsid w:val="00671784"/>
    <w:rsid w:val="006722C9"/>
    <w:rsid w:val="00673CD4"/>
    <w:rsid w:val="006759FC"/>
    <w:rsid w:val="00676211"/>
    <w:rsid w:val="006778AE"/>
    <w:rsid w:val="00681CC5"/>
    <w:rsid w:val="0068701B"/>
    <w:rsid w:val="00687785"/>
    <w:rsid w:val="00696C45"/>
    <w:rsid w:val="006971A5"/>
    <w:rsid w:val="006A3BED"/>
    <w:rsid w:val="006B1E59"/>
    <w:rsid w:val="006B5E25"/>
    <w:rsid w:val="006C019D"/>
    <w:rsid w:val="006C0987"/>
    <w:rsid w:val="006C237B"/>
    <w:rsid w:val="006D17E2"/>
    <w:rsid w:val="006D1A7A"/>
    <w:rsid w:val="006D2908"/>
    <w:rsid w:val="006D3B9B"/>
    <w:rsid w:val="006D6134"/>
    <w:rsid w:val="006E48F3"/>
    <w:rsid w:val="006E4D4B"/>
    <w:rsid w:val="006E6933"/>
    <w:rsid w:val="006F3A0C"/>
    <w:rsid w:val="006F473B"/>
    <w:rsid w:val="006F62E0"/>
    <w:rsid w:val="006F7675"/>
    <w:rsid w:val="0070380F"/>
    <w:rsid w:val="007055AC"/>
    <w:rsid w:val="00707FAD"/>
    <w:rsid w:val="007106B5"/>
    <w:rsid w:val="00710A96"/>
    <w:rsid w:val="00710C33"/>
    <w:rsid w:val="00711155"/>
    <w:rsid w:val="00712241"/>
    <w:rsid w:val="00715788"/>
    <w:rsid w:val="0071653E"/>
    <w:rsid w:val="00720A8A"/>
    <w:rsid w:val="00721C31"/>
    <w:rsid w:val="00733831"/>
    <w:rsid w:val="00735667"/>
    <w:rsid w:val="00736B95"/>
    <w:rsid w:val="00737073"/>
    <w:rsid w:val="00737F21"/>
    <w:rsid w:val="00740785"/>
    <w:rsid w:val="00750E3B"/>
    <w:rsid w:val="00755F22"/>
    <w:rsid w:val="0076165A"/>
    <w:rsid w:val="00762846"/>
    <w:rsid w:val="00765169"/>
    <w:rsid w:val="00766455"/>
    <w:rsid w:val="0076691C"/>
    <w:rsid w:val="00766EEB"/>
    <w:rsid w:val="00771229"/>
    <w:rsid w:val="007728E8"/>
    <w:rsid w:val="0077478B"/>
    <w:rsid w:val="007754C5"/>
    <w:rsid w:val="007760A1"/>
    <w:rsid w:val="00777193"/>
    <w:rsid w:val="007815A5"/>
    <w:rsid w:val="00781F72"/>
    <w:rsid w:val="00785152"/>
    <w:rsid w:val="00785367"/>
    <w:rsid w:val="00785752"/>
    <w:rsid w:val="00786CDB"/>
    <w:rsid w:val="00787B4D"/>
    <w:rsid w:val="00790651"/>
    <w:rsid w:val="00793938"/>
    <w:rsid w:val="00794016"/>
    <w:rsid w:val="00794B3D"/>
    <w:rsid w:val="00794BF5"/>
    <w:rsid w:val="007A4BF5"/>
    <w:rsid w:val="007A4D8C"/>
    <w:rsid w:val="007A6833"/>
    <w:rsid w:val="007A77C9"/>
    <w:rsid w:val="007A79E1"/>
    <w:rsid w:val="007B0946"/>
    <w:rsid w:val="007B47B3"/>
    <w:rsid w:val="007B5F97"/>
    <w:rsid w:val="007B704E"/>
    <w:rsid w:val="007C0641"/>
    <w:rsid w:val="007C1BF1"/>
    <w:rsid w:val="007C1DBE"/>
    <w:rsid w:val="007C23D7"/>
    <w:rsid w:val="007C2557"/>
    <w:rsid w:val="007C357B"/>
    <w:rsid w:val="007C4909"/>
    <w:rsid w:val="007D03E8"/>
    <w:rsid w:val="007D3845"/>
    <w:rsid w:val="007E06B7"/>
    <w:rsid w:val="007E2002"/>
    <w:rsid w:val="007E212C"/>
    <w:rsid w:val="007E337E"/>
    <w:rsid w:val="007E4669"/>
    <w:rsid w:val="007E49FE"/>
    <w:rsid w:val="007E5793"/>
    <w:rsid w:val="007F0443"/>
    <w:rsid w:val="007F258B"/>
    <w:rsid w:val="007F2AA7"/>
    <w:rsid w:val="007F2E10"/>
    <w:rsid w:val="007F4ED0"/>
    <w:rsid w:val="007F609B"/>
    <w:rsid w:val="007F6A82"/>
    <w:rsid w:val="007F6EC9"/>
    <w:rsid w:val="00801755"/>
    <w:rsid w:val="0080455C"/>
    <w:rsid w:val="00807D0B"/>
    <w:rsid w:val="00810242"/>
    <w:rsid w:val="008127A7"/>
    <w:rsid w:val="00817AA2"/>
    <w:rsid w:val="008200E8"/>
    <w:rsid w:val="00821411"/>
    <w:rsid w:val="00823DC9"/>
    <w:rsid w:val="00825A36"/>
    <w:rsid w:val="00832BFB"/>
    <w:rsid w:val="00833C14"/>
    <w:rsid w:val="00835DE3"/>
    <w:rsid w:val="00836872"/>
    <w:rsid w:val="00837EF7"/>
    <w:rsid w:val="008400ED"/>
    <w:rsid w:val="008403A3"/>
    <w:rsid w:val="00842867"/>
    <w:rsid w:val="00842BCD"/>
    <w:rsid w:val="00843E2B"/>
    <w:rsid w:val="008515FA"/>
    <w:rsid w:val="00851F74"/>
    <w:rsid w:val="00853E26"/>
    <w:rsid w:val="00853F3B"/>
    <w:rsid w:val="00857B58"/>
    <w:rsid w:val="00866762"/>
    <w:rsid w:val="0087438A"/>
    <w:rsid w:val="00876014"/>
    <w:rsid w:val="00877C78"/>
    <w:rsid w:val="00880FBB"/>
    <w:rsid w:val="008936D6"/>
    <w:rsid w:val="00897137"/>
    <w:rsid w:val="00897925"/>
    <w:rsid w:val="008A0ADC"/>
    <w:rsid w:val="008A0D8A"/>
    <w:rsid w:val="008A19A3"/>
    <w:rsid w:val="008A28C3"/>
    <w:rsid w:val="008A5C6E"/>
    <w:rsid w:val="008A667F"/>
    <w:rsid w:val="008B0CBC"/>
    <w:rsid w:val="008B2F3B"/>
    <w:rsid w:val="008C2C97"/>
    <w:rsid w:val="008C49B0"/>
    <w:rsid w:val="008C4E62"/>
    <w:rsid w:val="008C6F11"/>
    <w:rsid w:val="008C6F6C"/>
    <w:rsid w:val="008D33D5"/>
    <w:rsid w:val="008D7056"/>
    <w:rsid w:val="008E418A"/>
    <w:rsid w:val="008E7166"/>
    <w:rsid w:val="008E74C6"/>
    <w:rsid w:val="008F2546"/>
    <w:rsid w:val="008F31D2"/>
    <w:rsid w:val="008F31E7"/>
    <w:rsid w:val="00902B5B"/>
    <w:rsid w:val="00905631"/>
    <w:rsid w:val="00907ED9"/>
    <w:rsid w:val="00910391"/>
    <w:rsid w:val="00916D87"/>
    <w:rsid w:val="009225CB"/>
    <w:rsid w:val="00924D47"/>
    <w:rsid w:val="00925395"/>
    <w:rsid w:val="00926D00"/>
    <w:rsid w:val="00927AE6"/>
    <w:rsid w:val="00930B02"/>
    <w:rsid w:val="0093323E"/>
    <w:rsid w:val="00934392"/>
    <w:rsid w:val="00934E42"/>
    <w:rsid w:val="00935281"/>
    <w:rsid w:val="0093677F"/>
    <w:rsid w:val="00942626"/>
    <w:rsid w:val="009433DB"/>
    <w:rsid w:val="009437ED"/>
    <w:rsid w:val="00947A22"/>
    <w:rsid w:val="00955D40"/>
    <w:rsid w:val="00961DB7"/>
    <w:rsid w:val="009635CD"/>
    <w:rsid w:val="00963E51"/>
    <w:rsid w:val="0096565C"/>
    <w:rsid w:val="00965C83"/>
    <w:rsid w:val="00970361"/>
    <w:rsid w:val="00970CC3"/>
    <w:rsid w:val="00973F0E"/>
    <w:rsid w:val="009742BF"/>
    <w:rsid w:val="009743ED"/>
    <w:rsid w:val="00974BBC"/>
    <w:rsid w:val="00975818"/>
    <w:rsid w:val="00976CE7"/>
    <w:rsid w:val="009808E5"/>
    <w:rsid w:val="00984055"/>
    <w:rsid w:val="00985BF1"/>
    <w:rsid w:val="009917CB"/>
    <w:rsid w:val="00992920"/>
    <w:rsid w:val="00997FA5"/>
    <w:rsid w:val="009A0233"/>
    <w:rsid w:val="009A09CD"/>
    <w:rsid w:val="009A4883"/>
    <w:rsid w:val="009A5EFA"/>
    <w:rsid w:val="009A66C8"/>
    <w:rsid w:val="009A6B89"/>
    <w:rsid w:val="009B0210"/>
    <w:rsid w:val="009B1D32"/>
    <w:rsid w:val="009B2FE2"/>
    <w:rsid w:val="009B3060"/>
    <w:rsid w:val="009C0ACC"/>
    <w:rsid w:val="009C1B2F"/>
    <w:rsid w:val="009C2C54"/>
    <w:rsid w:val="009C4299"/>
    <w:rsid w:val="009C69FE"/>
    <w:rsid w:val="009D0241"/>
    <w:rsid w:val="009E0A3E"/>
    <w:rsid w:val="009E651A"/>
    <w:rsid w:val="009F4A78"/>
    <w:rsid w:val="009F578F"/>
    <w:rsid w:val="009F7F88"/>
    <w:rsid w:val="00A001D6"/>
    <w:rsid w:val="00A010E0"/>
    <w:rsid w:val="00A048B7"/>
    <w:rsid w:val="00A0657F"/>
    <w:rsid w:val="00A066AD"/>
    <w:rsid w:val="00A07001"/>
    <w:rsid w:val="00A1016F"/>
    <w:rsid w:val="00A11CE6"/>
    <w:rsid w:val="00A1288A"/>
    <w:rsid w:val="00A14FE9"/>
    <w:rsid w:val="00A16058"/>
    <w:rsid w:val="00A1618C"/>
    <w:rsid w:val="00A22F17"/>
    <w:rsid w:val="00A22FE4"/>
    <w:rsid w:val="00A35078"/>
    <w:rsid w:val="00A3656F"/>
    <w:rsid w:val="00A377A7"/>
    <w:rsid w:val="00A42B8E"/>
    <w:rsid w:val="00A463B8"/>
    <w:rsid w:val="00A476A1"/>
    <w:rsid w:val="00A6590C"/>
    <w:rsid w:val="00A711BF"/>
    <w:rsid w:val="00A76883"/>
    <w:rsid w:val="00A841D8"/>
    <w:rsid w:val="00A84654"/>
    <w:rsid w:val="00A862E4"/>
    <w:rsid w:val="00A8694E"/>
    <w:rsid w:val="00A906CE"/>
    <w:rsid w:val="00A90F8A"/>
    <w:rsid w:val="00A96A2C"/>
    <w:rsid w:val="00A96D78"/>
    <w:rsid w:val="00AA45FA"/>
    <w:rsid w:val="00AA5AE4"/>
    <w:rsid w:val="00AA69B4"/>
    <w:rsid w:val="00AB4CBA"/>
    <w:rsid w:val="00AB5CC7"/>
    <w:rsid w:val="00AC1600"/>
    <w:rsid w:val="00AC2411"/>
    <w:rsid w:val="00AC31D4"/>
    <w:rsid w:val="00AC333C"/>
    <w:rsid w:val="00AC342F"/>
    <w:rsid w:val="00AC3C4D"/>
    <w:rsid w:val="00AC6B2A"/>
    <w:rsid w:val="00AD15E0"/>
    <w:rsid w:val="00AD29A4"/>
    <w:rsid w:val="00AD4A63"/>
    <w:rsid w:val="00AD74C3"/>
    <w:rsid w:val="00AD76C3"/>
    <w:rsid w:val="00AE03C6"/>
    <w:rsid w:val="00AE0AB3"/>
    <w:rsid w:val="00AE1E9F"/>
    <w:rsid w:val="00AF0CF0"/>
    <w:rsid w:val="00AF1556"/>
    <w:rsid w:val="00AF5539"/>
    <w:rsid w:val="00AF5C2A"/>
    <w:rsid w:val="00AF72E5"/>
    <w:rsid w:val="00AF7318"/>
    <w:rsid w:val="00B11659"/>
    <w:rsid w:val="00B122FD"/>
    <w:rsid w:val="00B125EC"/>
    <w:rsid w:val="00B13626"/>
    <w:rsid w:val="00B16A81"/>
    <w:rsid w:val="00B20898"/>
    <w:rsid w:val="00B242F4"/>
    <w:rsid w:val="00B27D6D"/>
    <w:rsid w:val="00B31D88"/>
    <w:rsid w:val="00B337BB"/>
    <w:rsid w:val="00B33B6F"/>
    <w:rsid w:val="00B3550B"/>
    <w:rsid w:val="00B4097D"/>
    <w:rsid w:val="00B43329"/>
    <w:rsid w:val="00B434A4"/>
    <w:rsid w:val="00B4616D"/>
    <w:rsid w:val="00B466D9"/>
    <w:rsid w:val="00B536A3"/>
    <w:rsid w:val="00B5552B"/>
    <w:rsid w:val="00B6244F"/>
    <w:rsid w:val="00B65580"/>
    <w:rsid w:val="00B67588"/>
    <w:rsid w:val="00B70B09"/>
    <w:rsid w:val="00B70C1A"/>
    <w:rsid w:val="00B72317"/>
    <w:rsid w:val="00B72EAA"/>
    <w:rsid w:val="00B75F23"/>
    <w:rsid w:val="00B77AA8"/>
    <w:rsid w:val="00B83F24"/>
    <w:rsid w:val="00B869AB"/>
    <w:rsid w:val="00B90510"/>
    <w:rsid w:val="00B91441"/>
    <w:rsid w:val="00B96F6D"/>
    <w:rsid w:val="00BA05D9"/>
    <w:rsid w:val="00BA4F30"/>
    <w:rsid w:val="00BB39E2"/>
    <w:rsid w:val="00BB3B91"/>
    <w:rsid w:val="00BB468A"/>
    <w:rsid w:val="00BC0634"/>
    <w:rsid w:val="00BC2696"/>
    <w:rsid w:val="00BC47E7"/>
    <w:rsid w:val="00BC5902"/>
    <w:rsid w:val="00BC608E"/>
    <w:rsid w:val="00BC7714"/>
    <w:rsid w:val="00BD0C36"/>
    <w:rsid w:val="00BD16D2"/>
    <w:rsid w:val="00BD1783"/>
    <w:rsid w:val="00BD2DBF"/>
    <w:rsid w:val="00BD3ACC"/>
    <w:rsid w:val="00BD4930"/>
    <w:rsid w:val="00BE0AC4"/>
    <w:rsid w:val="00BF7B2D"/>
    <w:rsid w:val="00C016B5"/>
    <w:rsid w:val="00C045AB"/>
    <w:rsid w:val="00C118D9"/>
    <w:rsid w:val="00C12216"/>
    <w:rsid w:val="00C1335C"/>
    <w:rsid w:val="00C15F7B"/>
    <w:rsid w:val="00C17F89"/>
    <w:rsid w:val="00C21C0D"/>
    <w:rsid w:val="00C231B8"/>
    <w:rsid w:val="00C23FF1"/>
    <w:rsid w:val="00C250D5"/>
    <w:rsid w:val="00C31E95"/>
    <w:rsid w:val="00C33D0A"/>
    <w:rsid w:val="00C347DA"/>
    <w:rsid w:val="00C34F9E"/>
    <w:rsid w:val="00C359A8"/>
    <w:rsid w:val="00C36EDE"/>
    <w:rsid w:val="00C41E02"/>
    <w:rsid w:val="00C436E2"/>
    <w:rsid w:val="00C45784"/>
    <w:rsid w:val="00C46805"/>
    <w:rsid w:val="00C47A8B"/>
    <w:rsid w:val="00C50A20"/>
    <w:rsid w:val="00C529DD"/>
    <w:rsid w:val="00C536B3"/>
    <w:rsid w:val="00C54712"/>
    <w:rsid w:val="00C55F30"/>
    <w:rsid w:val="00C61FF1"/>
    <w:rsid w:val="00C62E1A"/>
    <w:rsid w:val="00C62FCE"/>
    <w:rsid w:val="00C653CD"/>
    <w:rsid w:val="00C654CB"/>
    <w:rsid w:val="00C65631"/>
    <w:rsid w:val="00C746B3"/>
    <w:rsid w:val="00C76825"/>
    <w:rsid w:val="00C80775"/>
    <w:rsid w:val="00C80A30"/>
    <w:rsid w:val="00C835E6"/>
    <w:rsid w:val="00C84747"/>
    <w:rsid w:val="00C8513A"/>
    <w:rsid w:val="00C85B93"/>
    <w:rsid w:val="00C9092A"/>
    <w:rsid w:val="00C936E6"/>
    <w:rsid w:val="00C93B9D"/>
    <w:rsid w:val="00C93BE1"/>
    <w:rsid w:val="00C940D0"/>
    <w:rsid w:val="00C94749"/>
    <w:rsid w:val="00C94FF3"/>
    <w:rsid w:val="00C957B3"/>
    <w:rsid w:val="00C968FC"/>
    <w:rsid w:val="00CA1C44"/>
    <w:rsid w:val="00CA1D42"/>
    <w:rsid w:val="00CA250D"/>
    <w:rsid w:val="00CB1867"/>
    <w:rsid w:val="00CB2956"/>
    <w:rsid w:val="00CB4423"/>
    <w:rsid w:val="00CB4CC8"/>
    <w:rsid w:val="00CB79D3"/>
    <w:rsid w:val="00CB7F04"/>
    <w:rsid w:val="00CC0B15"/>
    <w:rsid w:val="00CC6594"/>
    <w:rsid w:val="00CC7AC3"/>
    <w:rsid w:val="00CD4F06"/>
    <w:rsid w:val="00CE3DC5"/>
    <w:rsid w:val="00CE47A8"/>
    <w:rsid w:val="00CE6ECF"/>
    <w:rsid w:val="00CE7698"/>
    <w:rsid w:val="00CE79C7"/>
    <w:rsid w:val="00CF1008"/>
    <w:rsid w:val="00CF247C"/>
    <w:rsid w:val="00D03A7F"/>
    <w:rsid w:val="00D045E2"/>
    <w:rsid w:val="00D06E26"/>
    <w:rsid w:val="00D0757A"/>
    <w:rsid w:val="00D1156E"/>
    <w:rsid w:val="00D11C1C"/>
    <w:rsid w:val="00D152F7"/>
    <w:rsid w:val="00D16A96"/>
    <w:rsid w:val="00D173E1"/>
    <w:rsid w:val="00D2467E"/>
    <w:rsid w:val="00D265A3"/>
    <w:rsid w:val="00D26E05"/>
    <w:rsid w:val="00D3177B"/>
    <w:rsid w:val="00D31FF4"/>
    <w:rsid w:val="00D327E9"/>
    <w:rsid w:val="00D32A10"/>
    <w:rsid w:val="00D341E5"/>
    <w:rsid w:val="00D404E6"/>
    <w:rsid w:val="00D40AD1"/>
    <w:rsid w:val="00D446B2"/>
    <w:rsid w:val="00D456E4"/>
    <w:rsid w:val="00D460A1"/>
    <w:rsid w:val="00D5254E"/>
    <w:rsid w:val="00D56160"/>
    <w:rsid w:val="00D56439"/>
    <w:rsid w:val="00D608DB"/>
    <w:rsid w:val="00D6188F"/>
    <w:rsid w:val="00D645BB"/>
    <w:rsid w:val="00D64F6F"/>
    <w:rsid w:val="00D65850"/>
    <w:rsid w:val="00D70758"/>
    <w:rsid w:val="00D70770"/>
    <w:rsid w:val="00D708C7"/>
    <w:rsid w:val="00D737C3"/>
    <w:rsid w:val="00D73CAD"/>
    <w:rsid w:val="00D74673"/>
    <w:rsid w:val="00D746E1"/>
    <w:rsid w:val="00D74E4F"/>
    <w:rsid w:val="00D75BC0"/>
    <w:rsid w:val="00D84277"/>
    <w:rsid w:val="00D87D33"/>
    <w:rsid w:val="00D93A6F"/>
    <w:rsid w:val="00D97D67"/>
    <w:rsid w:val="00DA1579"/>
    <w:rsid w:val="00DA24DE"/>
    <w:rsid w:val="00DA64CA"/>
    <w:rsid w:val="00DB0375"/>
    <w:rsid w:val="00DB266B"/>
    <w:rsid w:val="00DB4320"/>
    <w:rsid w:val="00DB69E1"/>
    <w:rsid w:val="00DC1EFA"/>
    <w:rsid w:val="00DC20D6"/>
    <w:rsid w:val="00DD5084"/>
    <w:rsid w:val="00DD5ABE"/>
    <w:rsid w:val="00DD62F7"/>
    <w:rsid w:val="00DE0D59"/>
    <w:rsid w:val="00DE0EE7"/>
    <w:rsid w:val="00DE14E4"/>
    <w:rsid w:val="00DE1F63"/>
    <w:rsid w:val="00DE328A"/>
    <w:rsid w:val="00DF02F0"/>
    <w:rsid w:val="00DF1F3B"/>
    <w:rsid w:val="00E00B77"/>
    <w:rsid w:val="00E01EA6"/>
    <w:rsid w:val="00E02E10"/>
    <w:rsid w:val="00E03D92"/>
    <w:rsid w:val="00E10EF8"/>
    <w:rsid w:val="00E11F06"/>
    <w:rsid w:val="00E12137"/>
    <w:rsid w:val="00E222C5"/>
    <w:rsid w:val="00E25A3C"/>
    <w:rsid w:val="00E269D3"/>
    <w:rsid w:val="00E3193B"/>
    <w:rsid w:val="00E33E23"/>
    <w:rsid w:val="00E35BD3"/>
    <w:rsid w:val="00E365B7"/>
    <w:rsid w:val="00E409D0"/>
    <w:rsid w:val="00E40E5B"/>
    <w:rsid w:val="00E47AFD"/>
    <w:rsid w:val="00E525A5"/>
    <w:rsid w:val="00E52BBA"/>
    <w:rsid w:val="00E53DA3"/>
    <w:rsid w:val="00E54C2B"/>
    <w:rsid w:val="00E55B13"/>
    <w:rsid w:val="00E55E21"/>
    <w:rsid w:val="00E6452A"/>
    <w:rsid w:val="00E65CB7"/>
    <w:rsid w:val="00E7135E"/>
    <w:rsid w:val="00E715AA"/>
    <w:rsid w:val="00E72DB7"/>
    <w:rsid w:val="00E773DE"/>
    <w:rsid w:val="00E8115D"/>
    <w:rsid w:val="00E86627"/>
    <w:rsid w:val="00E86FDA"/>
    <w:rsid w:val="00E905BD"/>
    <w:rsid w:val="00E919AC"/>
    <w:rsid w:val="00E9336E"/>
    <w:rsid w:val="00E93BF2"/>
    <w:rsid w:val="00EA4B88"/>
    <w:rsid w:val="00EA5724"/>
    <w:rsid w:val="00EA7D7D"/>
    <w:rsid w:val="00EB05EF"/>
    <w:rsid w:val="00EB10B0"/>
    <w:rsid w:val="00EB156A"/>
    <w:rsid w:val="00EB23AD"/>
    <w:rsid w:val="00EB2950"/>
    <w:rsid w:val="00EC4A74"/>
    <w:rsid w:val="00ED2142"/>
    <w:rsid w:val="00ED40EF"/>
    <w:rsid w:val="00EE3788"/>
    <w:rsid w:val="00EE4B8D"/>
    <w:rsid w:val="00EF2D74"/>
    <w:rsid w:val="00EF315C"/>
    <w:rsid w:val="00EF3494"/>
    <w:rsid w:val="00EF4ABB"/>
    <w:rsid w:val="00EF7A77"/>
    <w:rsid w:val="00F03D69"/>
    <w:rsid w:val="00F123A1"/>
    <w:rsid w:val="00F14C37"/>
    <w:rsid w:val="00F171C9"/>
    <w:rsid w:val="00F22BD4"/>
    <w:rsid w:val="00F23286"/>
    <w:rsid w:val="00F30B09"/>
    <w:rsid w:val="00F30C2D"/>
    <w:rsid w:val="00F31255"/>
    <w:rsid w:val="00F32595"/>
    <w:rsid w:val="00F32954"/>
    <w:rsid w:val="00F32A6E"/>
    <w:rsid w:val="00F3321B"/>
    <w:rsid w:val="00F364FC"/>
    <w:rsid w:val="00F40392"/>
    <w:rsid w:val="00F42752"/>
    <w:rsid w:val="00F42A6C"/>
    <w:rsid w:val="00F42E13"/>
    <w:rsid w:val="00F4393D"/>
    <w:rsid w:val="00F45696"/>
    <w:rsid w:val="00F503E3"/>
    <w:rsid w:val="00F537C8"/>
    <w:rsid w:val="00F567FC"/>
    <w:rsid w:val="00F61A9D"/>
    <w:rsid w:val="00F64CAA"/>
    <w:rsid w:val="00F653C4"/>
    <w:rsid w:val="00F7148A"/>
    <w:rsid w:val="00F75483"/>
    <w:rsid w:val="00F76D06"/>
    <w:rsid w:val="00F8157A"/>
    <w:rsid w:val="00F82E1D"/>
    <w:rsid w:val="00F8423D"/>
    <w:rsid w:val="00F85C53"/>
    <w:rsid w:val="00F904A3"/>
    <w:rsid w:val="00F90EC3"/>
    <w:rsid w:val="00F917A3"/>
    <w:rsid w:val="00FA2B66"/>
    <w:rsid w:val="00FA52DA"/>
    <w:rsid w:val="00FA6152"/>
    <w:rsid w:val="00FA73C6"/>
    <w:rsid w:val="00FA7C9B"/>
    <w:rsid w:val="00FB19EC"/>
    <w:rsid w:val="00FB52D5"/>
    <w:rsid w:val="00FB5B27"/>
    <w:rsid w:val="00FB62F1"/>
    <w:rsid w:val="00FB742F"/>
    <w:rsid w:val="00FC05CE"/>
    <w:rsid w:val="00FC4AF1"/>
    <w:rsid w:val="00FC61BC"/>
    <w:rsid w:val="00FC6F44"/>
    <w:rsid w:val="00FD2493"/>
    <w:rsid w:val="00FD489A"/>
    <w:rsid w:val="00FD5124"/>
    <w:rsid w:val="00FD5CE8"/>
    <w:rsid w:val="00FD737D"/>
    <w:rsid w:val="00FD7D41"/>
    <w:rsid w:val="00FE3C46"/>
    <w:rsid w:val="00FE3EDE"/>
    <w:rsid w:val="00FE4091"/>
    <w:rsid w:val="00FE4C46"/>
    <w:rsid w:val="00FE5B21"/>
    <w:rsid w:val="00FE6320"/>
    <w:rsid w:val="00FF03B7"/>
    <w:rsid w:val="00FF4030"/>
    <w:rsid w:val="00FF4939"/>
    <w:rsid w:val="00FF4F84"/>
    <w:rsid w:val="00FF67D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66FEF1B"/>
  <w15:docId w15:val="{A92D9DE4-2562-4A41-B754-6E0F497AA7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20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C7BF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0760F8"/>
    <w:rPr>
      <w:color w:val="0000FF" w:themeColor="hyperlink"/>
      <w:u w:val="single"/>
    </w:rPr>
  </w:style>
  <w:style w:type="paragraph" w:styleId="Header">
    <w:name w:val="header"/>
    <w:basedOn w:val="Normal"/>
    <w:link w:val="HeaderChar"/>
    <w:uiPriority w:val="99"/>
    <w:semiHidden/>
    <w:unhideWhenUsed/>
    <w:rsid w:val="00853E26"/>
    <w:pPr>
      <w:tabs>
        <w:tab w:val="center" w:pos="4513"/>
        <w:tab w:val="right" w:pos="9026"/>
      </w:tabs>
      <w:spacing w:after="0"/>
    </w:pPr>
  </w:style>
  <w:style w:type="character" w:customStyle="1" w:styleId="HeaderChar">
    <w:name w:val="Header Char"/>
    <w:basedOn w:val="DefaultParagraphFont"/>
    <w:link w:val="Header"/>
    <w:uiPriority w:val="99"/>
    <w:semiHidden/>
    <w:rsid w:val="00853E26"/>
  </w:style>
  <w:style w:type="paragraph" w:styleId="Footer">
    <w:name w:val="footer"/>
    <w:basedOn w:val="Normal"/>
    <w:link w:val="FooterChar"/>
    <w:uiPriority w:val="99"/>
    <w:unhideWhenUsed/>
    <w:rsid w:val="00853E26"/>
    <w:pPr>
      <w:tabs>
        <w:tab w:val="center" w:pos="4513"/>
        <w:tab w:val="right" w:pos="9026"/>
      </w:tabs>
      <w:spacing w:after="0"/>
    </w:pPr>
  </w:style>
  <w:style w:type="character" w:customStyle="1" w:styleId="FooterChar">
    <w:name w:val="Footer Char"/>
    <w:basedOn w:val="DefaultParagraphFont"/>
    <w:link w:val="Footer"/>
    <w:uiPriority w:val="99"/>
    <w:rsid w:val="00853E26"/>
  </w:style>
  <w:style w:type="paragraph" w:styleId="FootnoteText">
    <w:name w:val="footnote text"/>
    <w:basedOn w:val="Normal"/>
    <w:link w:val="FootnoteTextChar"/>
    <w:uiPriority w:val="99"/>
    <w:unhideWhenUsed/>
    <w:rsid w:val="00A1618C"/>
    <w:pPr>
      <w:spacing w:after="0"/>
    </w:pPr>
    <w:rPr>
      <w:sz w:val="20"/>
      <w:szCs w:val="20"/>
    </w:rPr>
  </w:style>
  <w:style w:type="character" w:customStyle="1" w:styleId="FootnoteTextChar">
    <w:name w:val="Footnote Text Char"/>
    <w:basedOn w:val="DefaultParagraphFont"/>
    <w:link w:val="FootnoteText"/>
    <w:uiPriority w:val="99"/>
    <w:rsid w:val="00A1618C"/>
    <w:rPr>
      <w:sz w:val="20"/>
      <w:szCs w:val="20"/>
    </w:rPr>
  </w:style>
  <w:style w:type="character" w:styleId="FootnoteReference">
    <w:name w:val="footnote reference"/>
    <w:basedOn w:val="DefaultParagraphFont"/>
    <w:uiPriority w:val="99"/>
    <w:semiHidden/>
    <w:unhideWhenUsed/>
    <w:rsid w:val="00A1618C"/>
    <w:rPr>
      <w:vertAlign w:val="superscript"/>
    </w:rPr>
  </w:style>
  <w:style w:type="paragraph" w:customStyle="1" w:styleId="Default">
    <w:name w:val="Default"/>
    <w:rsid w:val="00A1618C"/>
    <w:pPr>
      <w:autoSpaceDE w:val="0"/>
      <w:autoSpaceDN w:val="0"/>
      <w:adjustRightInd w:val="0"/>
      <w:spacing w:after="0"/>
    </w:pPr>
    <w:rPr>
      <w:rFonts w:ascii="Times New Roman" w:hAnsi="Times New Roman" w:cs="Times New Roman"/>
      <w:color w:val="000000"/>
      <w:sz w:val="24"/>
      <w:szCs w:val="24"/>
    </w:rPr>
  </w:style>
  <w:style w:type="character" w:styleId="FollowedHyperlink">
    <w:name w:val="FollowedHyperlink"/>
    <w:basedOn w:val="DefaultParagraphFont"/>
    <w:uiPriority w:val="99"/>
    <w:semiHidden/>
    <w:unhideWhenUsed/>
    <w:rsid w:val="009A5EFA"/>
    <w:rPr>
      <w:color w:val="800080" w:themeColor="followedHyperlink"/>
      <w:u w:val="single"/>
    </w:rPr>
  </w:style>
  <w:style w:type="paragraph" w:styleId="ListParagraph">
    <w:name w:val="List Paragraph"/>
    <w:basedOn w:val="Normal"/>
    <w:uiPriority w:val="34"/>
    <w:qFormat/>
    <w:rsid w:val="003A196A"/>
    <w:pPr>
      <w:ind w:left="720"/>
      <w:contextualSpacing/>
    </w:pPr>
  </w:style>
  <w:style w:type="paragraph" w:styleId="NormalWeb">
    <w:name w:val="Normal (Web)"/>
    <w:basedOn w:val="Normal"/>
    <w:uiPriority w:val="99"/>
    <w:unhideWhenUsed/>
    <w:rsid w:val="00AD74C3"/>
    <w:pPr>
      <w:spacing w:before="100" w:beforeAutospacing="1" w:after="100" w:afterAutospacing="1"/>
    </w:pPr>
    <w:rPr>
      <w:rFonts w:ascii="Times New Roman" w:eastAsia="Times New Roman" w:hAnsi="Times New Roman" w:cs="Times New Roman"/>
      <w:sz w:val="24"/>
      <w:szCs w:val="24"/>
      <w:lang w:eastAsia="en-GB"/>
    </w:rPr>
  </w:style>
  <w:style w:type="character" w:customStyle="1" w:styleId="brk">
    <w:name w:val="brk"/>
    <w:rsid w:val="005E468C"/>
  </w:style>
  <w:style w:type="paragraph" w:styleId="BalloonText">
    <w:name w:val="Balloon Text"/>
    <w:basedOn w:val="Normal"/>
    <w:link w:val="BalloonTextChar"/>
    <w:uiPriority w:val="99"/>
    <w:semiHidden/>
    <w:unhideWhenUsed/>
    <w:rsid w:val="008515FA"/>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8515FA"/>
    <w:rPr>
      <w:rFonts w:ascii="Tahoma" w:hAnsi="Tahoma" w:cs="Tahoma"/>
      <w:sz w:val="16"/>
      <w:szCs w:val="16"/>
    </w:rPr>
  </w:style>
  <w:style w:type="character" w:styleId="UnresolvedMention">
    <w:name w:val="Unresolved Mention"/>
    <w:basedOn w:val="DefaultParagraphFont"/>
    <w:uiPriority w:val="99"/>
    <w:semiHidden/>
    <w:unhideWhenUsed/>
    <w:rsid w:val="00E72DB7"/>
    <w:rPr>
      <w:color w:val="605E5C"/>
      <w:shd w:val="clear" w:color="auto" w:fill="E1DFDD"/>
    </w:rPr>
  </w:style>
  <w:style w:type="paragraph" w:customStyle="1" w:styleId="legclearfix">
    <w:name w:val="legclearfix"/>
    <w:basedOn w:val="Normal"/>
    <w:rsid w:val="003B2E19"/>
    <w:pPr>
      <w:spacing w:before="100" w:beforeAutospacing="1" w:after="100" w:afterAutospacing="1"/>
    </w:pPr>
    <w:rPr>
      <w:rFonts w:ascii="Times New Roman" w:eastAsia="Times New Roman" w:hAnsi="Times New Roman" w:cs="Times New Roman"/>
      <w:sz w:val="24"/>
      <w:szCs w:val="24"/>
      <w:lang w:eastAsia="en-GB"/>
    </w:rPr>
  </w:style>
  <w:style w:type="character" w:customStyle="1" w:styleId="legds">
    <w:name w:val="legds"/>
    <w:basedOn w:val="DefaultParagraphFont"/>
    <w:rsid w:val="003B2E19"/>
  </w:style>
  <w:style w:type="paragraph" w:customStyle="1" w:styleId="legrhs">
    <w:name w:val="legrhs"/>
    <w:basedOn w:val="Normal"/>
    <w:rsid w:val="003B2E19"/>
    <w:pPr>
      <w:spacing w:before="100" w:beforeAutospacing="1" w:after="100" w:afterAutospacing="1"/>
    </w:pPr>
    <w:rPr>
      <w:rFonts w:ascii="Times New Roman" w:eastAsia="Times New Roman" w:hAnsi="Times New Roman" w:cs="Times New Roman"/>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56501132">
      <w:bodyDiv w:val="1"/>
      <w:marLeft w:val="0"/>
      <w:marRight w:val="0"/>
      <w:marTop w:val="0"/>
      <w:marBottom w:val="0"/>
      <w:divBdr>
        <w:top w:val="none" w:sz="0" w:space="0" w:color="auto"/>
        <w:left w:val="none" w:sz="0" w:space="0" w:color="auto"/>
        <w:bottom w:val="none" w:sz="0" w:space="0" w:color="auto"/>
        <w:right w:val="none" w:sz="0" w:space="0" w:color="auto"/>
      </w:divBdr>
    </w:div>
    <w:div w:id="1627815090">
      <w:bodyDiv w:val="1"/>
      <w:marLeft w:val="0"/>
      <w:marRight w:val="0"/>
      <w:marTop w:val="0"/>
      <w:marBottom w:val="0"/>
      <w:divBdr>
        <w:top w:val="none" w:sz="0" w:space="0" w:color="auto"/>
        <w:left w:val="none" w:sz="0" w:space="0" w:color="auto"/>
        <w:bottom w:val="none" w:sz="0" w:space="0" w:color="auto"/>
        <w:right w:val="none" w:sz="0" w:space="0" w:color="auto"/>
      </w:divBdr>
    </w:div>
    <w:div w:id="18759196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www.uirr.com/" TargetMode="External"/><Relationship Id="rId18" Type="http://schemas.openxmlformats.org/officeDocument/2006/relationships/hyperlink" Target="https://www.unece.org/fileadmin/DAM/trans/doc/2017/sc2/ECE-TRANS-SC2-GEURL-2017-id6e.pdf" TargetMode="External"/><Relationship Id="rId26" Type="http://schemas.openxmlformats.org/officeDocument/2006/relationships/hyperlink" Target="https://www.shippeo.com/blog/how-ecmrs-are-changing-the-game-for-road-transportation" TargetMode="External"/><Relationship Id="rId39" Type="http://schemas.openxmlformats.org/officeDocument/2006/relationships/hyperlink" Target="file:///C:/Users/user/Documents/containers%20and%20multimodal%20materials/combiconbill%202016.pdf" TargetMode="External"/><Relationship Id="rId21" Type="http://schemas.openxmlformats.org/officeDocument/2006/relationships/hyperlink" Target="http://www.legislation.gov.uk/ukpga/1965/37" TargetMode="External"/><Relationship Id="rId34" Type="http://schemas.openxmlformats.org/officeDocument/2006/relationships/hyperlink" Target="https://law.nus.edu.sg/cml/pdfs/wps/CML-WPS-1807.pdf" TargetMode="External"/><Relationship Id="rId42" Type="http://schemas.openxmlformats.org/officeDocument/2006/relationships/hyperlink" Target="https://fiata.cdn.prismic.io/fiata/afedd989-c99b-4142-9f64-8281c99aa4c5_FIATA_Documents_and_Forms.pdf" TargetMode="External"/><Relationship Id="rId47" Type="http://schemas.openxmlformats.org/officeDocument/2006/relationships/hyperlink" Target="https://terms.maersk.com/carriage" TargetMode="External"/><Relationship Id="rId50" Type="http://schemas.openxmlformats.org/officeDocument/2006/relationships/hyperlink" Target="https://svw.no/en/news/news/2018/march/the-rotterdam-rules--yet-another-failed-attempt-of-replacing-the-hague-visby-rules/" TargetMode="External"/><Relationship Id="rId7" Type="http://schemas.openxmlformats.org/officeDocument/2006/relationships/hyperlink" Target="https://mydroneauthority.com/industry/drone-delivery/" TargetMode="External"/><Relationship Id="rId2" Type="http://schemas.openxmlformats.org/officeDocument/2006/relationships/styles" Target="styles.xml"/><Relationship Id="rId16" Type="http://schemas.openxmlformats.org/officeDocument/2006/relationships/hyperlink" Target="https://www.cit-rail.org/en/freight-traffic/cim-smgs/" TargetMode="External"/><Relationship Id="rId29" Type="http://schemas.openxmlformats.org/officeDocument/2006/relationships/hyperlink" Target="https://www.lawcom.gov.uk/project/electronic-trade-documents/" TargetMode="External"/><Relationship Id="rId11" Type="http://schemas.openxmlformats.org/officeDocument/2006/relationships/hyperlink" Target="https://www.searates.com/reference/uld/" TargetMode="External"/><Relationship Id="rId24" Type="http://schemas.openxmlformats.org/officeDocument/2006/relationships/hyperlink" Target="http://www.unece.org/trans/doc/2008/sc1/ECE-TRANS-2008-CRP-01a1e.pdf" TargetMode="External"/><Relationship Id="rId32" Type="http://schemas.openxmlformats.org/officeDocument/2006/relationships/hyperlink" Target="http://www.e-title.net/" TargetMode="External"/><Relationship Id="rId37" Type="http://schemas.openxmlformats.org/officeDocument/2006/relationships/hyperlink" Target="http://otif.org/fileadmin/user_upload/otif_verlinkte_files/07_veroeff/03_erlaeut/05_CIM_e_Consolidated_Explanatory_report.pdf" TargetMode="External"/><Relationship Id="rId40" Type="http://schemas.openxmlformats.org/officeDocument/2006/relationships/hyperlink" Target="https://www.dfds.com/en-gb/legal" TargetMode="External"/><Relationship Id="rId45" Type="http://schemas.openxmlformats.org/officeDocument/2006/relationships/hyperlink" Target="https://www.uirr.com/" TargetMode="External"/><Relationship Id="rId53"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yperlink" Target="https://www.iata.org/en/programs/cargo/cargo-operations/unit-load-devices/" TargetMode="External"/><Relationship Id="rId19" Type="http://schemas.openxmlformats.org/officeDocument/2006/relationships/hyperlink" Target="https://eur03.safelinks.protection.outlook.com/?url=https%3A%2F%2Fdaglass.uk%2Fauthor%2Fcmrman%2F&amp;data=05%7C01%7CGlass%40cardiff.ac.uk%7C83a204bf84ae4c5f107208daf873e384%7Cbdb74b3095684856bdbf06759778fcbc%7C1%7C0%7C638095473884026193%7CUnknown%7CTWFpbGZsb3d8eyJWIjoiMC4wLjAwMDAiLCJQIjoiV2luMzIiLCJBTiI6Ik1haWwiLCJXVCI6Mn0%3D%7C3000%7C%7C%7C&amp;sdata=8SzEnAVjznXeO7H5AJY7EjKCFcxnbnuWpFosE%2FQVuUA%3D&amp;reserved=0" TargetMode="External"/><Relationship Id="rId31" Type="http://schemas.openxmlformats.org/officeDocument/2006/relationships/hyperlink" Target="https://www.essdocs.com/" TargetMode="External"/><Relationship Id="rId44" Type="http://schemas.openxmlformats.org/officeDocument/2006/relationships/hyperlink" Target="https://www.bimco.org/Contracts-and-clauses/BIMCO-Contracts/MULTIDOC-95" TargetMode="External"/><Relationship Id="rId52"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yperlink" Target="http://news.bbc.co.uk/1/hi/in_pictures/7620233.stm" TargetMode="External"/><Relationship Id="rId14" Type="http://schemas.openxmlformats.org/officeDocument/2006/relationships/hyperlink" Target="https://eur-lex.europa.eu/legal-content/EN/TXT/?uri=CELEX:31992L0106" TargetMode="External"/><Relationship Id="rId22" Type="http://schemas.openxmlformats.org/officeDocument/2006/relationships/hyperlink" Target="https://www.bbc.co.uk/news/technology-46794087" TargetMode="External"/><Relationship Id="rId27" Type="http://schemas.openxmlformats.org/officeDocument/2006/relationships/hyperlink" Target="https://www.ukhaulier.co.uk/news/road-transport/haulage/first-border-crossing-to-use-united-nations-e-cmr-electronic-consignment-note-involving-the-uk-france-and-the-netherlands/" TargetMode="External"/><Relationship Id="rId30" Type="http://schemas.openxmlformats.org/officeDocument/2006/relationships/hyperlink" Target="http://www.bolero.net/home/electronic-bills-lading/" TargetMode="External"/><Relationship Id="rId35" Type="http://schemas.openxmlformats.org/officeDocument/2006/relationships/hyperlink" Target="http://otif.org/fileadmin/user_upload/otif_verlinkte_files/07_veroeff/03_erlaeut/05_Appendix_B.pdf" TargetMode="External"/><Relationship Id="rId43" Type="http://schemas.openxmlformats.org/officeDocument/2006/relationships/hyperlink" Target="https://fiata.com/about-fiata/fiata-documents/digital-efbl.html" TargetMode="External"/><Relationship Id="rId48" Type="http://schemas.openxmlformats.org/officeDocument/2006/relationships/hyperlink" Target="https://unctad.org/en/PublicationsLibrary/tdmtconf17_en.pdf" TargetMode="External"/><Relationship Id="rId8" Type="http://schemas.openxmlformats.org/officeDocument/2006/relationships/hyperlink" Target="http://news.bbc.co.uk/1/hi/in_depth/business/2008/the_box/default.stm" TargetMode="External"/><Relationship Id="rId51" Type="http://schemas.openxmlformats.org/officeDocument/2006/relationships/hyperlink" Target="https://www.cit-rail.org/media/files/public/cit-info/2018/cit-info_2018-4/cit_info_4_2018_en_b1Igbed.pdf" TargetMode="External"/><Relationship Id="rId3" Type="http://schemas.openxmlformats.org/officeDocument/2006/relationships/settings" Target="settings.xml"/><Relationship Id="rId12" Type="http://schemas.openxmlformats.org/officeDocument/2006/relationships/hyperlink" Target="https://www.dsv.com/en/our-solutions/modes-of-transport/air-freight/sea-air-freight" TargetMode="External"/><Relationship Id="rId17" Type="http://schemas.openxmlformats.org/officeDocument/2006/relationships/hyperlink" Target="https://www.globalrailwayreview.com/article/80492/new-legal-regime-rail-freight/" TargetMode="External"/><Relationship Id="rId25" Type="http://schemas.openxmlformats.org/officeDocument/2006/relationships/hyperlink" Target="https://www.iru.org/what-we-do/facilitating-trade-and-transit/e-cmr" TargetMode="External"/><Relationship Id="rId33" Type="http://schemas.openxmlformats.org/officeDocument/2006/relationships/hyperlink" Target="https://cargox.io/platform/Smart-BL/" TargetMode="External"/><Relationship Id="rId38" Type="http://schemas.openxmlformats.org/officeDocument/2006/relationships/hyperlink" Target="https://undocs.org/en/A/CN.9/WG.III/WP.29" TargetMode="External"/><Relationship Id="rId46" Type="http://schemas.openxmlformats.org/officeDocument/2006/relationships/hyperlink" Target="https://terms.maersk.com/HBL" TargetMode="External"/><Relationship Id="rId20" Type="http://schemas.openxmlformats.org/officeDocument/2006/relationships/hyperlink" Target="http://www.idit.asso.fr/sommaire.php?anglais=1" TargetMode="External"/><Relationship Id="rId41" Type="http://schemas.openxmlformats.org/officeDocument/2006/relationships/hyperlink" Target="https://terms.maersk.com/carriage" TargetMode="External"/><Relationship Id="rId54"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5" Type="http://schemas.openxmlformats.org/officeDocument/2006/relationships/hyperlink" Target="https://transport.ec.europa.eu/system/files/2016-09/2015-01-freight-logistics-lot2-combined-transport.pdf" TargetMode="External"/><Relationship Id="rId23" Type="http://schemas.openxmlformats.org/officeDocument/2006/relationships/hyperlink" Target="https://www.iru.org/sites/default/files/2017-01/how-to-fill-cmr-model-iru-2007-en.pdf" TargetMode="External"/><Relationship Id="rId28" Type="http://schemas.openxmlformats.org/officeDocument/2006/relationships/hyperlink" Target="https://uncitral.un.org/en/texts/ecommerce/modellaw/electronic_transferable_records" TargetMode="External"/><Relationship Id="rId36" Type="http://schemas.openxmlformats.org/officeDocument/2006/relationships/hyperlink" Target="http://www.cit-rail.org" TargetMode="External"/><Relationship Id="rId49" Type="http://schemas.openxmlformats.org/officeDocument/2006/relationships/hyperlink" Target="https://unctad.org/en/PublicationsLibrary/tradewp4inf.117_corr.1_en.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56</Pages>
  <Words>27727</Words>
  <Characters>158050</Characters>
  <Application>Microsoft Office Word</Application>
  <DocSecurity>0</DocSecurity>
  <Lines>1317</Lines>
  <Paragraphs>370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185407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Glass</dc:creator>
  <cp:lastModifiedBy>David Glass</cp:lastModifiedBy>
  <cp:revision>2</cp:revision>
  <dcterms:created xsi:type="dcterms:W3CDTF">2023-02-27T15:48:00Z</dcterms:created>
  <dcterms:modified xsi:type="dcterms:W3CDTF">2023-02-27T15:48:00Z</dcterms:modified>
</cp:coreProperties>
</file>